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Xilio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98422T100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98422T100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6,030,028.00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6,030,028.00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6,030,028.00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98422T100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6,030,028.00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6,030,028.00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6,030,028.00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StemPoint Capital Management GP LLC is 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98422T100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Michelle Ross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26"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6,030,028.00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6,030,028.00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6,030,028.00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Xilio Therapeutics, Inc.</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38" w:orient="portrait"/>
          <w:cols w:equalWidth="0" w:num="1">
            <w:col w:w="10139"/>
          </w:cols>
          <w:pgMar w:left="320" w:top="126" w:right="1440" w:bottom="0" w:gutter="0" w:footer="0" w:header="0"/>
          <w:type w:val="continuous"/>
        </w:sectPr>
      </w:pPr>
    </w:p>
    <w:bookmarkStart w:id="3" w:name="page4"/>
    <w:bookmarkEnd w:id="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828 Winter Street, Suite 300 Waltham, MA, 02451</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This filing is being jointly filed by StemPoint Capital LP, StemPoint Capital Management GP LLC, and Michelle Ross (collectively, the "Reporting Persons" and each a "Reporting Person").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business addresses of each Reporting Person is: 520 Madison Avenue, 19th Floor New York, NY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10200"/>
          </w:cols>
          <w:pgMar w:left="360" w:top="112" w:right="419" w:bottom="25" w:gutter="0" w:footer="0" w:header="0"/>
        </w:sectPr>
      </w:pPr>
    </w:p>
    <w:p>
      <w:pPr>
        <w:spacing w:after="0" w:line="33" w:lineRule="exact"/>
        <w:rPr>
          <w:sz w:val="20"/>
          <w:szCs w:val="20"/>
          <w:color w:val="auto"/>
        </w:rPr>
      </w:pPr>
    </w:p>
    <w:p>
      <w:pPr>
        <w:ind w:left="920" w:right="2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StemPoint Capital LP is a limited partnership organized under the laws of the State of Delaware. StemPoint Capital Management GP LLC is a limited liability company organized under the laws of the State of Delaware. Michelle Ross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98422T100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Items 5-9 of each cover page are incorporated by reference. Each Reporting Person may be deemed to be the</w:t>
      </w:r>
    </w:p>
    <w:p>
      <w:pPr>
        <w:spacing w:after="0" w:line="14" w:lineRule="exact"/>
        <w:rPr>
          <w:sz w:val="20"/>
          <w:szCs w:val="20"/>
          <w:color w:val="auto"/>
        </w:rPr>
      </w:pPr>
    </w:p>
    <w:p>
      <w:pPr>
        <w:ind w:left="9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 of 6,030,028 Shares of the issuer's Common Stock which amount consists of 2,030,028 Shares of Common Stock, as well as and the exercise of pre-funded Warrants for 2,000,000 Shares of Common Stock and Class A Warrants for 2,000,000 shares of Common Stock. The amount beneficially owned is reported as of January 2,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Each Reporting Person may be deemed to beneficially own 8.4% of the issuer's outstanding Common Stock, which is</w:t>
      </w:r>
    </w:p>
    <w:p>
      <w:pPr>
        <w:spacing w:after="0" w:line="25" w:lineRule="exact"/>
        <w:rPr>
          <w:rFonts w:ascii="Times New Roman" w:cs="Times New Roman" w:eastAsia="Times New Roman" w:hAnsi="Times New Roman"/>
          <w:sz w:val="22"/>
          <w:szCs w:val="22"/>
          <w:color w:val="auto"/>
        </w:rPr>
      </w:pPr>
    </w:p>
    <w:p>
      <w:pPr>
        <w:ind w:left="92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calculated based on 67,540,930 shares outstanding of Common Stock as of January 2, 2026, as reported in the Issuer's report on Form 8-K filed with the SEC on January 5, 2026, and the total number of Shares of Common Stock that the Reporting Persons have the right to acquire upon the exercise of Warrants, subject to a 9.9% beneficial ownership limitation, which amount has been added to the shares outstanding in accordance with Rule 13d-3(d)(1)(i) under the Act.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1240" w:hanging="314"/>
        <w:spacing w:after="0"/>
        <w:tabs>
          <w:tab w:leader="none" w:pos="12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ind w:left="920" w:right="720"/>
        <w:spacing w:after="0" w:line="258" w:lineRule="auto"/>
        <w:rPr>
          <w:sz w:val="20"/>
          <w:szCs w:val="20"/>
          <w:color w:val="auto"/>
        </w:rPr>
      </w:pPr>
      <w:r>
        <w:rPr>
          <w:rFonts w:ascii="Times New Roman" w:cs="Times New Roman" w:eastAsia="Times New Roman" w:hAnsi="Times New Roman"/>
          <w:sz w:val="22"/>
          <w:szCs w:val="22"/>
          <w:color w:val="auto"/>
        </w:rPr>
        <w:t>6,030,028. Comment: Shared voting power includes 4,000,000 Warrants beneficially owned by the Reporting Persons.</w:t>
      </w:r>
    </w:p>
    <w:p>
      <w:pPr>
        <w:sectPr>
          <w:pgSz w:w="11900" w:h="16838" w:orient="portrait"/>
          <w:cols w:equalWidth="0" w:num="1">
            <w:col w:w="11120"/>
          </w:cols>
          <w:pgMar w:left="360" w:top="112" w:right="419" w:bottom="25"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6,030,028. Comment: Shared dispositive power includes 4,000,000 Warrants beneficially owned by the Reporting Persons.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Sean C. Tan, Authorized Signatory</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Sean C. Tan, Authorized Signatory</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Michelle Ross</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Michelle Ross</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Michelle Ross</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54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 PURSUANT TO RULE 13d-1(k)</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2026</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STEMPOINT CAPITAL LP</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STEMPOINT CAPITAL MANAGEMENT GP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SEAN C.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NAME: SEAN C. TAN</w:t>
      </w:r>
    </w:p>
    <w:p>
      <w:pPr>
        <w:spacing w:after="0" w:line="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STEMPOINT CAPITAL MANAGEMENT GP LLC</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SEAN C.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NAME: SEAN C. TAN</w:t>
      </w:r>
    </w:p>
    <w:p>
      <w:pPr>
        <w:spacing w:after="0" w:line="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MICHELLE ROSS</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 MICHELLE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26035</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2026-02-17T10:01:21Z</dcterms:created>
  <dcterms:modified xsi:type="dcterms:W3CDTF">2026-02-17T10:01:21Z</dcterms:modified>
</cp:coreProperties>
</file>