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825500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842645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64135</wp:posOffset>
            </wp:positionV>
            <wp:extent cx="16116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w:t>
      </w:r>
      <w:r>
        <w:rPr>
          <w:rFonts w:ascii="Times New Roman" w:cs="Times New Roman" w:eastAsia="Times New Roman" w:hAnsi="Times New Roman"/>
          <w:sz w:val="25"/>
          <w:szCs w:val="25"/>
          <w:color w:val="auto"/>
        </w:rPr>
        <w:t>-</w:t>
      </w:r>
      <w:r>
        <w:rPr>
          <w:rFonts w:ascii="Times New Roman" w:cs="Times New Roman" w:eastAsia="Times New Roman" w:hAnsi="Times New Roman"/>
          <w:sz w:val="25"/>
          <w:szCs w:val="25"/>
          <w:b w:val="1"/>
          <w:bCs w:val="1"/>
          <w:color w:val="auto"/>
        </w:rPr>
        <w:t>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84455</wp:posOffset>
            </wp:positionV>
            <wp:extent cx="16116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2026</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8"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86" w:lineRule="exact"/>
        <w:rPr>
          <w:sz w:val="24"/>
          <w:szCs w:val="24"/>
          <w:color w:val="auto"/>
        </w:rPr>
      </w:pPr>
    </w:p>
    <w:tbl>
      <w:tblPr>
        <w:tblLayout w:type="fixed"/>
        <w:tblInd w:w="3960" w:type="dxa"/>
        <w:tblCellMar>
          <w:top w:w="0" w:type="dxa"/>
          <w:left w:w="0" w:type="dxa"/>
          <w:bottom w:w="0" w:type="dxa"/>
          <w:right w:w="0" w:type="dxa"/>
        </w:tblCellMar>
      </w:tblPr>
      <w:tr>
        <w:trPr>
          <w:trHeight w:val="161"/>
        </w:trPr>
        <w:tc>
          <w:tcPr>
            <w:tcW w:w="1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680" w:type="dxa"/>
            <w:vAlign w:val="bottom"/>
            <w:tcBorders>
              <w:bottom w:val="single" w:sz="8" w:color="auto"/>
            </w:tcBorders>
          </w:tcPr>
          <w:p>
            <w:pPr>
              <w:spacing w:after="0"/>
              <w:rPr>
                <w:sz w:val="13"/>
                <w:szCs w:val="13"/>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w:t>
            </w:r>
          </w:p>
        </w:tc>
      </w:tr>
      <w:tr>
        <w:trPr>
          <w:trHeight w:val="240"/>
        </w:trPr>
        <w:tc>
          <w:tcPr>
            <w:tcW w:w="280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Commission File Number: 001-40925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57785</wp:posOffset>
            </wp:positionV>
            <wp:extent cx="16116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438"/>
        </w:trPr>
        <w:tc>
          <w:tcPr>
            <w:tcW w:w="3800" w:type="dxa"/>
            <w:vAlign w:val="bottom"/>
          </w:tcPr>
          <w:p>
            <w:pPr>
              <w:spacing w:after="0"/>
              <w:rPr>
                <w:sz w:val="24"/>
                <w:szCs w:val="24"/>
                <w:color w:val="auto"/>
              </w:rPr>
            </w:pPr>
          </w:p>
        </w:tc>
        <w:tc>
          <w:tcPr>
            <w:tcW w:w="3780" w:type="dxa"/>
            <w:vAlign w:val="bottom"/>
            <w:gridSpan w:val="7"/>
          </w:tcPr>
          <w:p>
            <w:pPr>
              <w:jc w:val="center"/>
              <w:ind w:right="120"/>
              <w:spacing w:after="0"/>
              <w:rPr>
                <w:sz w:val="20"/>
                <w:szCs w:val="20"/>
                <w:color w:val="auto"/>
              </w:rPr>
            </w:pPr>
            <w:r>
              <w:rPr>
                <w:rFonts w:ascii="Times New Roman" w:cs="Times New Roman" w:eastAsia="Times New Roman" w:hAnsi="Times New Roman"/>
                <w:sz w:val="36"/>
                <w:szCs w:val="36"/>
                <w:b w:val="1"/>
                <w:bCs w:val="1"/>
                <w:color w:val="auto"/>
                <w:w w:val="99"/>
              </w:rPr>
              <w:t>Xilio Therapeutics, Inc.</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800" w:type="dxa"/>
            <w:vAlign w:val="bottom"/>
          </w:tcPr>
          <w:p>
            <w:pPr>
              <w:spacing w:after="0"/>
              <w:rPr>
                <w:sz w:val="16"/>
                <w:szCs w:val="16"/>
                <w:color w:val="auto"/>
              </w:rPr>
            </w:pPr>
          </w:p>
        </w:tc>
        <w:tc>
          <w:tcPr>
            <w:tcW w:w="378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3800" w:type="dxa"/>
            <w:vAlign w:val="bottom"/>
            <w:vMerge w:val="restart"/>
          </w:tcPr>
          <w:p>
            <w:pPr>
              <w:jc w:val="center"/>
              <w:ind w:left="17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80" w:type="dxa"/>
            <w:vAlign w:val="bottom"/>
          </w:tcPr>
          <w:p>
            <w:pPr>
              <w:spacing w:after="0"/>
              <w:rPr>
                <w:sz w:val="6"/>
                <w:szCs w:val="6"/>
                <w:color w:val="auto"/>
              </w:rPr>
            </w:pPr>
          </w:p>
        </w:tc>
        <w:tc>
          <w:tcPr>
            <w:tcW w:w="3660" w:type="dxa"/>
            <w:vAlign w:val="bottom"/>
            <w:vMerge w:val="restart"/>
          </w:tcPr>
          <w:p>
            <w:pPr>
              <w:jc w:val="right"/>
              <w:ind w:right="2303"/>
              <w:spacing w:after="0"/>
              <w:rPr>
                <w:sz w:val="20"/>
                <w:szCs w:val="20"/>
                <w:color w:val="auto"/>
              </w:rPr>
            </w:pPr>
            <w:r>
              <w:rPr>
                <w:rFonts w:ascii="Times New Roman" w:cs="Times New Roman" w:eastAsia="Times New Roman" w:hAnsi="Times New Roman"/>
                <w:sz w:val="18"/>
                <w:szCs w:val="18"/>
                <w:b w:val="1"/>
                <w:bCs w:val="1"/>
                <w:color w:val="auto"/>
              </w:rPr>
              <w:t>85-1623397</w:t>
            </w:r>
          </w:p>
        </w:tc>
        <w:tc>
          <w:tcPr>
            <w:tcW w:w="0" w:type="dxa"/>
            <w:vAlign w:val="bottom"/>
          </w:tcPr>
          <w:p>
            <w:pPr>
              <w:spacing w:after="0"/>
              <w:rPr>
                <w:sz w:val="1"/>
                <w:szCs w:val="1"/>
                <w:color w:val="auto"/>
              </w:rPr>
            </w:pPr>
          </w:p>
        </w:tc>
      </w:tr>
      <w:tr>
        <w:trPr>
          <w:trHeight w:val="266"/>
        </w:trPr>
        <w:tc>
          <w:tcPr>
            <w:tcW w:w="3800" w:type="dxa"/>
            <w:vAlign w:val="bottom"/>
            <w:vMerge w:val="continue"/>
          </w:tcPr>
          <w:p>
            <w:pPr>
              <w:spacing w:after="0"/>
              <w:rPr>
                <w:sz w:val="23"/>
                <w:szCs w:val="23"/>
                <w:color w:val="auto"/>
              </w:rPr>
            </w:pP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3800" w:type="dxa"/>
            <w:vAlign w:val="bottom"/>
          </w:tcPr>
          <w:p>
            <w:pPr>
              <w:jc w:val="center"/>
              <w:ind w:left="176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60" w:type="dxa"/>
            <w:vAlign w:val="bottom"/>
          </w:tcPr>
          <w:p>
            <w:pPr>
              <w:jc w:val="center"/>
              <w:ind w:right="1863"/>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800" w:type="dxa"/>
            <w:vAlign w:val="bottom"/>
          </w:tcPr>
          <w:p>
            <w:pPr>
              <w:jc w:val="center"/>
              <w:ind w:left="17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60" w:type="dxa"/>
            <w:vAlign w:val="bottom"/>
          </w:tcPr>
          <w:p>
            <w:pPr>
              <w:jc w:val="center"/>
              <w:ind w:right="1883"/>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c>
          <w:tcPr>
            <w:tcW w:w="0" w:type="dxa"/>
            <w:vAlign w:val="bottom"/>
          </w:tcPr>
          <w:p>
            <w:pPr>
              <w:spacing w:after="0"/>
              <w:rPr>
                <w:sz w:val="1"/>
                <w:szCs w:val="1"/>
                <w:color w:val="auto"/>
              </w:rPr>
            </w:pPr>
          </w:p>
        </w:tc>
      </w:tr>
      <w:tr>
        <w:trPr>
          <w:trHeight w:val="271"/>
        </w:trPr>
        <w:tc>
          <w:tcPr>
            <w:tcW w:w="7580" w:type="dxa"/>
            <w:vAlign w:val="bottom"/>
            <w:gridSpan w:val="8"/>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9"/>
              </w:rPr>
              <w:t>828 Winter Street, Suite 300</w:t>
            </w:r>
          </w:p>
        </w:tc>
        <w:tc>
          <w:tcPr>
            <w:tcW w:w="3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3800" w:type="dxa"/>
            <w:vAlign w:val="bottom"/>
          </w:tcPr>
          <w:p>
            <w:pPr>
              <w:jc w:val="center"/>
              <w:ind w:left="1760"/>
              <w:spacing w:after="0"/>
              <w:rPr>
                <w:sz w:val="20"/>
                <w:szCs w:val="20"/>
                <w:color w:val="auto"/>
              </w:rPr>
            </w:pPr>
            <w:r>
              <w:rPr>
                <w:rFonts w:ascii="Times New Roman" w:cs="Times New Roman" w:eastAsia="Times New Roman" w:hAnsi="Times New Roman"/>
                <w:sz w:val="18"/>
                <w:szCs w:val="18"/>
                <w:b w:val="1"/>
                <w:bCs w:val="1"/>
                <w:color w:val="auto"/>
                <w:w w:val="99"/>
              </w:rPr>
              <w:t>Waltham, Massachusetts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60" w:type="dxa"/>
            <w:vAlign w:val="bottom"/>
          </w:tcPr>
          <w:p>
            <w:pPr>
              <w:jc w:val="right"/>
              <w:ind w:right="2503"/>
              <w:spacing w:after="0"/>
              <w:rPr>
                <w:sz w:val="20"/>
                <w:szCs w:val="20"/>
                <w:color w:val="auto"/>
              </w:rPr>
            </w:pPr>
            <w:r>
              <w:rPr>
                <w:rFonts w:ascii="Times New Roman" w:cs="Times New Roman" w:eastAsia="Times New Roman" w:hAnsi="Times New Roman"/>
                <w:sz w:val="18"/>
                <w:szCs w:val="18"/>
                <w:b w:val="1"/>
                <w:bCs w:val="1"/>
                <w:color w:val="auto"/>
              </w:rPr>
              <w:t>02451</w:t>
            </w:r>
          </w:p>
        </w:tc>
        <w:tc>
          <w:tcPr>
            <w:tcW w:w="0" w:type="dxa"/>
            <w:vAlign w:val="bottom"/>
          </w:tcPr>
          <w:p>
            <w:pPr>
              <w:spacing w:after="0"/>
              <w:rPr>
                <w:sz w:val="1"/>
                <w:szCs w:val="1"/>
                <w:color w:val="auto"/>
              </w:rPr>
            </w:pPr>
          </w:p>
        </w:tc>
      </w:tr>
      <w:tr>
        <w:trPr>
          <w:trHeight w:val="190"/>
        </w:trPr>
        <w:tc>
          <w:tcPr>
            <w:tcW w:w="7580" w:type="dxa"/>
            <w:vAlign w:val="bottom"/>
            <w:gridSpan w:val="8"/>
          </w:tcPr>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60" w:type="dxa"/>
            <w:vAlign w:val="bottom"/>
          </w:tcPr>
          <w:p>
            <w:pPr>
              <w:jc w:val="center"/>
              <w:ind w:right="1883"/>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80"/>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(857) 524-2466</w:t>
            </w:r>
          </w:p>
        </w:tc>
        <w:tc>
          <w:tcPr>
            <w:tcW w:w="0" w:type="dxa"/>
            <w:vAlign w:val="bottom"/>
          </w:tcPr>
          <w:p>
            <w:pPr>
              <w:spacing w:after="0"/>
              <w:rPr>
                <w:sz w:val="1"/>
                <w:szCs w:val="1"/>
                <w:color w:val="auto"/>
              </w:rPr>
            </w:pPr>
          </w:p>
        </w:tc>
      </w:tr>
      <w:tr>
        <w:trPr>
          <w:trHeight w:val="94"/>
        </w:trPr>
        <w:tc>
          <w:tcPr>
            <w:tcW w:w="3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3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3800" w:type="dxa"/>
            <w:vAlign w:val="bottom"/>
          </w:tcPr>
          <w:p>
            <w:pPr>
              <w:spacing w:after="0"/>
              <w:rPr>
                <w:sz w:val="20"/>
                <w:szCs w:val="20"/>
                <w:color w:val="auto"/>
              </w:rPr>
            </w:pPr>
          </w:p>
        </w:tc>
        <w:tc>
          <w:tcPr>
            <w:tcW w:w="3780" w:type="dxa"/>
            <w:vAlign w:val="bottom"/>
            <w:gridSpan w:val="7"/>
          </w:tcPr>
          <w:p>
            <w:pPr>
              <w:jc w:val="center"/>
              <w:ind w:right="14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800" w:type="dxa"/>
            <w:vAlign w:val="bottom"/>
          </w:tcPr>
          <w:p>
            <w:pPr>
              <w:jc w:val="center"/>
              <w:ind w:left="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gridSpan w:val="4"/>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660" w:type="dxa"/>
            <w:vAlign w:val="bottom"/>
          </w:tcPr>
          <w:p>
            <w:pPr>
              <w:jc w:val="center"/>
              <w:ind w:right="663"/>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2"/>
        </w:trPr>
        <w:tc>
          <w:tcPr>
            <w:tcW w:w="3800" w:type="dxa"/>
            <w:vAlign w:val="bottom"/>
            <w:tcBorders>
              <w:top w:val="single" w:sz="8" w:color="auto"/>
            </w:tcBorders>
          </w:tcPr>
          <w:p>
            <w:pPr>
              <w:jc w:val="center"/>
              <w:ind w:left="340"/>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4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XLO</w:t>
            </w:r>
          </w:p>
        </w:tc>
        <w:tc>
          <w:tcPr>
            <w:tcW w:w="300" w:type="dxa"/>
            <w:vAlign w:val="bottom"/>
          </w:tcPr>
          <w:p>
            <w:pPr>
              <w:spacing w:after="0"/>
              <w:rPr>
                <w:sz w:val="15"/>
                <w:szCs w:val="15"/>
                <w:color w:val="auto"/>
              </w:rPr>
            </w:pPr>
          </w:p>
        </w:tc>
        <w:tc>
          <w:tcPr>
            <w:tcW w:w="720" w:type="dxa"/>
            <w:vAlign w:val="bottom"/>
            <w:tcBorders>
              <w:top w:val="single" w:sz="8" w:color="auto"/>
            </w:tcBorders>
            <w:gridSpan w:val="2"/>
          </w:tcPr>
          <w:p>
            <w:pPr>
              <w:spacing w:after="0"/>
              <w:rPr>
                <w:sz w:val="15"/>
                <w:szCs w:val="15"/>
                <w:color w:val="auto"/>
              </w:rPr>
            </w:pPr>
          </w:p>
        </w:tc>
        <w:tc>
          <w:tcPr>
            <w:tcW w:w="3660" w:type="dxa"/>
            <w:vAlign w:val="bottom"/>
            <w:tcBorders>
              <w:top w:val="single" w:sz="8" w:color="auto"/>
            </w:tcBorders>
          </w:tcPr>
          <w:p>
            <w:pPr>
              <w:jc w:val="center"/>
              <w:ind w:right="643"/>
              <w:spacing w:after="0"/>
              <w:rPr>
                <w:sz w:val="20"/>
                <w:szCs w:val="20"/>
                <w:color w:val="auto"/>
              </w:rPr>
            </w:pPr>
            <w:r>
              <w:rPr>
                <w:rFonts w:ascii="Times New Roman" w:cs="Times New Roman" w:eastAsia="Times New Roman" w:hAnsi="Times New Roman"/>
                <w:sz w:val="14"/>
                <w:szCs w:val="14"/>
                <w:color w:val="auto"/>
              </w:rPr>
              <w:t>Nasdaq Capital Market</w:t>
            </w: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3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Accelerated filer</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2"/>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6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1" w:lineRule="exact"/>
        <w:rPr>
          <w:sz w:val="24"/>
          <w:szCs w:val="24"/>
          <w:color w:val="auto"/>
        </w:rPr>
      </w:pPr>
    </w:p>
    <w:p>
      <w:pPr>
        <w:ind w:firstLine="50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Number of shares of the registrant's common stock, $0.0001 par value per share, outstanding on May 8, 2026: 5,982,839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707390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References to Xilio</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Unless otherwise stated, all references to “us,” “our,” “we,” “Xilio,” “Xilio Therapeutics,” “the Company” and similar references in this Quarterly Report on Form 10-Q refer to Xilio Therapeutics, Inc. and its consolidated subsidiaries. Xilio Therapeutics and its associated logos are registered trademarks of Xilio Therapeutics, Inc. Other brands, names and trademarks contained in this Quarterly Report on Form 10-Q are the property of their respective owners.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U.S. Private Securities Litigation Reform Act of 1995 that involve substantial risks and uncertainties. All statements, other than statements of historical facts, contained in this Quarterly Report on Form 10-Q are forward-looking statements. In some cases, you can identify forward-looking statements by words such as “aim,” “anticipate,” “believe,” “contemplate,” “continue,” “could,” “estimate,” “expect,” “intend,” “may,” “might,” “plan,” “potential,” “predict,” “project,” “should,” “target,” “would,” or the negative of these words or other comparable terminology, although not all forward-looking statements contain these identifying words.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forward-looking statements in this Quarterly Report on Form 10-Q include, but are not limited to, statements about:</w:t>
      </w:r>
    </w:p>
    <w:p>
      <w:pPr>
        <w:spacing w:after="0" w:line="117"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research and development programs, including preclinical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and capital requirements and our expectations regarding our ability to fund our operating expenses and capital expenditure requirements with our cash and cash equivalents;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and strategic partnerships and realize the expected benefits of such arrangements, including our collaboration agreement with AbbVie Group Holdings Limited, or AbbVie, and our license agreement with Gilead Sciences, Inc., or Gilead;</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milestones, option-related fees and other contingent payments under our collaboration agreement with AbbVie and our license agreement with Gilead;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receipt of up to $36.2 million in additional gross proceeds in the second half of 2026 if all of the Series C common stock warrants issued in connection with our June 2025 follow-on offering are exercised at their current exercise price of $10.50 per warrant;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additional capital in the future;</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and benefits of our current and future product candidates, including our beliefs regarding the potential benefits of our current and future product candidates in combination with other agents;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plans to research, develop and, if approved, subsequently commercialize any product candidates we may develop;</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products, product candidates or technologies with significant potential that are consistent with our research, development and commercial objectives;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capabilities and strategy, including our reliance on third parties to manufacture our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 for our product candidates;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submit investigational new drug applications or biologic license applications for, and, if cleared or approved, maintain such regulatory applications or approvals for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and marketing capabilities and strategy related to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addressable patient population and potential market opportunity for our current and future product candidates;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or impacting our competitors and our industry, including the impact of current or future government laws and regulations on us, third parties with whom we do business and our industry;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or future government laws and regulations on us or third parties with whom we do business and our industry;</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expectations regarding developments and projections relating to our current or future competitors and any competing therapies that are or become available;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an emerging growth company under the Jumpstart Our Business Startups Act, or JOBS Act;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general economic conditions, including inflation and the imposition of new or revised global trade tariffs.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forward-looking statements in this Quarterly Report on Form 10-Q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those described in the “Risk Factor Summary” and “Risk Factors” section in Part II, Item 1A of this Quarterly Report on Form 10-Q, that could cause actual results or events to differ materially from the forward-looking statements that we make.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have filed as exhibits to this Quarterly Report on Form 10-Q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Risk Factor Summary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that, if realized, could materially and adversely affect our business, financial condition, results of operations and future growth prospects. These risks are discussed more fully in Part II, Item 1A. “Risk Factors” in this Quarterly Report on Form 10-Q. These risks include, but are not limited to, the following:</w:t>
      </w:r>
    </w:p>
    <w:p>
      <w:pPr>
        <w:spacing w:after="0" w:line="176" w:lineRule="exact"/>
        <w:rPr>
          <w:sz w:val="20"/>
          <w:szCs w:val="20"/>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obtain substantial additional capital in the future to finance our operations and complete the development of any current or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operating losses since our inception and expect to incur significant losses for the foreseeable future.</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highly dependent on the success of our current product candidates, which are in the early stages of development and will require significant additional preclinical and clinical development before we can seek regulatory approval for and commercially launch a product.</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the discovery and development of product candidates based on our technological approaches is unproven, and we do not know whether we will be able to develop any products of commercial value.</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development is uncertain. Our preclinical programs may experience delays or may never advance to clinical trials, which would adversely affect our ability to obtain regulatory approvals or commercialize these programs on a timely basis or at all, which would have an adverse effect on our business.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substantial delays in the commencement or completion, or termination or suspension, of our clinical trials, which could result in increased costs to us, delay or limit our ability to generate revenue and adversely affect our commercial prospects.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undesirable or unexpectedly severe side effects that could delay or prevent their regulatory approval, limit the commercial profile of an approved label, or result in significant negative consequences following marketing approval, if any.</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develop certain of our product candidates in combination with third-party drugs and we will have limited or no control over the safety, supply, regulatory status or regulatory approval of such drugs.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biologics is complex, and we may experience manufacturing problems that result in delays in our development or commercialization programs. In addition, certain of our research and development and manufacturing activities take place in China through WuXi Biologics (Hong Kong) Limited, or WuXi Biologics. A significant disruption in our ability to rely on WuXi Biologics could materially adversely affect our business, financial condition and results of operations.</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rely on third parties to conduct, supervise and monitor IND-enabling studies and clinical trials, and if these third parties perform in an unsatisfactory manner, it may harm our business, reputation and results of operations.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and may in the future seek to enter into, collaborations, licenses, or similar arrangements with third parties for the research, development and commercialization of certain of our current or future product candidates. If any such arrangements are not successful, we may not be able to capitalize on the market potential of those product candidates.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we do.</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1020" w:hanging="503"/>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for any product candidates we develop or for other proprietary technologies we may develop, or if the scope of the patent protection obtained is not sufficiently broad, our competitors could develop and commercialize product candidates and technology similar or identical to our product candidates and technology, and our ability to successfully commercialize any product candidates we may develop, and our technology may be adversely affected.</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in-license agreements for patent rights with respect to our product candidates and may in the future acquire or in-license additional third-party intellectual property rights on which we may similarly rely. We face risks with respect to such reliance, including the risk that we could lose these rights that are important to our business if we fail to comply with our obligations under these licenses or that we may be unable to acquire or in-license third-party intellectual property that may be necessary or important to our business operations.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complete the necessary preclinical studies and clinical trials, the regulatory approval process is expensive, time consuming and uncertain and may prevent us from obtaining approvals for the commercialization of some or all of our product candidates. As a result, we cannot predict when or if, and in which territories, we will obtain marketing approval to commercialize a product candidate.</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has been and, in the future, could be subject to volatility related or unrelated to our operations, and purchasers of our common stock could suffer a decline in value.</w:t>
      </w:r>
    </w:p>
    <w:p>
      <w:pPr>
        <w:spacing w:after="0" w:line="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Availability of Other Information About Xilio Therapeutics, Inc.</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Investors and others should note that we communicate with our investors and the public using our company website (www.xiliotx.com), including but not limited to investor presentations and scientific presentations, filings with the U.S. Securities and Exchange Commission, press releases, public conference calls and webcasts. You can also connect with us on LinkedIn. The information that we post on these channels and websites could be deemed to be material information. As a result, we encourage investors, the media and others interested in our company to review the information that we post on these channels, including our investor relations website, on a regular basis. This list of channels may be updated from time to time on our investor relations website (ir.xiliotx.com) and may include other social media channels than the ones described above. The contents of our website or these channels, or any other website that may be accessed from our website or these channels, shall not be deemed incorporated by reference in any filing under the Securities Act of 1933, as amended.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780" w:type="dxa"/>
            <w:vAlign w:val="bottom"/>
            <w:gridSpan w:val="8"/>
          </w:tcPr>
          <w:p>
            <w:pPr>
              <w:ind w:left="1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20" w:type="dxa"/>
            <w:vAlign w:val="bottom"/>
          </w:tcPr>
          <w:p>
            <w:pPr>
              <w:spacing w:after="0"/>
              <w:rPr>
                <w:sz w:val="20"/>
                <w:szCs w:val="20"/>
                <w:color w:val="auto"/>
              </w:rPr>
            </w:pPr>
          </w:p>
        </w:tc>
      </w:tr>
      <w:tr>
        <w:trPr>
          <w:trHeight w:val="43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85"/>
        </w:trPr>
        <w:tc>
          <w:tcPr>
            <w:tcW w:w="10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1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w w:val="97"/>
              </w:rPr>
              <w:t>Item 1.</w:t>
            </w:r>
          </w:p>
        </w:tc>
        <w:tc>
          <w:tcPr>
            <w:tcW w:w="540" w:type="dxa"/>
            <w:vAlign w:val="bottom"/>
            <w:gridSpan w:val="4"/>
          </w:tcPr>
          <w:p>
            <w:pPr>
              <w:spacing w:after="0"/>
              <w:rPr>
                <w:sz w:val="24"/>
                <w:szCs w:val="24"/>
                <w:color w:val="auto"/>
              </w:rPr>
            </w:pPr>
          </w:p>
        </w:tc>
        <w:tc>
          <w:tcPr>
            <w:tcW w:w="23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auto"/>
                <w:w w:val="99"/>
              </w:rPr>
              <w:t>Financial Statements (unaudited)</w:t>
            </w:r>
          </w:p>
        </w:tc>
        <w:tc>
          <w:tcPr>
            <w:tcW w:w="6780" w:type="dxa"/>
            <w:vAlign w:val="bottom"/>
            <w:gridSpan w:val="8"/>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196"/>
        </w:trPr>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auto"/>
                <w:w w:val="99"/>
              </w:rPr>
              <w:t>Condensed Consolidated Balance Sheets as of March 31, 2026 and December 31, 2025</w:t>
            </w:r>
          </w:p>
        </w:tc>
        <w:tc>
          <w:tcPr>
            <w:tcW w:w="2880" w:type="dxa"/>
            <w:vAlign w:val="bottom"/>
            <w:gridSpan w:val="5"/>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1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auto"/>
              </w:rPr>
              <w:t>Condensed Consolidated Statements of Operations and Comprehensive Loss for the three months ended March 31, 2026 and</w:t>
            </w:r>
          </w:p>
        </w:tc>
        <w:tc>
          <w:tcPr>
            <w:tcW w:w="102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auto"/>
                <w:w w:val="94"/>
              </w:rPr>
              <w:t>2025</w:t>
            </w: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1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auto"/>
              </w:rPr>
              <w:t>Condensed Consolidated Statements of Stockholders’ Equity for the three months ended March 31, 2026 and 2025</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6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auto"/>
              </w:rPr>
              <w:t>Condensed Consolidated Statements of Cash Flows for the three months ended March 31, 2026 and 2025</w:t>
            </w:r>
          </w:p>
        </w:tc>
        <w:tc>
          <w:tcPr>
            <w:tcW w:w="900" w:type="dxa"/>
            <w:vAlign w:val="bottom"/>
            <w:gridSpan w:val="2"/>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w w:val="99"/>
              </w:rPr>
              <w:t>Notes to Condensed Consolidated Financial Statements</w:t>
            </w:r>
          </w:p>
        </w:tc>
        <w:tc>
          <w:tcPr>
            <w:tcW w:w="3580" w:type="dxa"/>
            <w:vAlign w:val="bottom"/>
            <w:tcBorders>
              <w:top w:val="single" w:sz="8" w:color="0000EE"/>
            </w:tcBorders>
            <w:gridSpan w:val="4"/>
          </w:tcPr>
          <w:p>
            <w:pPr>
              <w:spacing w:after="0"/>
              <w:rPr>
                <w:sz w:val="17"/>
                <w:szCs w:val="17"/>
                <w:color w:val="auto"/>
              </w:rPr>
            </w:pPr>
          </w:p>
        </w:tc>
        <w:tc>
          <w:tcPr>
            <w:tcW w:w="1580" w:type="dxa"/>
            <w:vAlign w:val="bottom"/>
            <w:gridSpan w:val="3"/>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5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w w:val="97"/>
              </w:rPr>
              <w:t>Item 2.</w:t>
            </w:r>
          </w:p>
        </w:tc>
        <w:tc>
          <w:tcPr>
            <w:tcW w:w="540" w:type="dxa"/>
            <w:vAlign w:val="bottom"/>
            <w:gridSpan w:val="4"/>
          </w:tcPr>
          <w:p>
            <w:pPr>
              <w:spacing w:after="0"/>
              <w:rPr>
                <w:sz w:val="17"/>
                <w:szCs w:val="17"/>
                <w:color w:val="auto"/>
              </w:rPr>
            </w:pPr>
          </w:p>
        </w:tc>
        <w:tc>
          <w:tcPr>
            <w:tcW w:w="91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52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7"/>
              </w:rPr>
              <w:t>Item 3.</w:t>
            </w:r>
          </w:p>
        </w:tc>
        <w:tc>
          <w:tcPr>
            <w:tcW w:w="540" w:type="dxa"/>
            <w:vAlign w:val="bottom"/>
            <w:gridSpan w:val="4"/>
          </w:tcPr>
          <w:p>
            <w:pPr>
              <w:spacing w:after="0"/>
              <w:rPr>
                <w:sz w:val="17"/>
                <w:szCs w:val="17"/>
                <w:color w:val="auto"/>
              </w:rPr>
            </w:pPr>
          </w:p>
        </w:tc>
        <w:tc>
          <w:tcPr>
            <w:tcW w:w="646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2700" w:type="dxa"/>
            <w:vAlign w:val="bottom"/>
            <w:gridSpan w:val="4"/>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52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7"/>
              </w:rPr>
              <w:t>Item 4.</w:t>
            </w:r>
          </w:p>
        </w:tc>
        <w:tc>
          <w:tcPr>
            <w:tcW w:w="540" w:type="dxa"/>
            <w:vAlign w:val="bottom"/>
            <w:gridSpan w:val="4"/>
          </w:tcPr>
          <w:p>
            <w:pPr>
              <w:spacing w:after="0"/>
              <w:rPr>
                <w:sz w:val="17"/>
                <w:szCs w:val="17"/>
                <w:color w:val="auto"/>
              </w:rPr>
            </w:pPr>
          </w:p>
        </w:tc>
        <w:tc>
          <w:tcPr>
            <w:tcW w:w="430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auto"/>
              </w:rPr>
              <w:t>Controls and Procedures</w:t>
            </w:r>
          </w:p>
        </w:tc>
        <w:tc>
          <w:tcPr>
            <w:tcW w:w="4860" w:type="dxa"/>
            <w:vAlign w:val="bottom"/>
            <w:gridSpan w:val="6"/>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400" w:type="dxa"/>
            <w:vAlign w:val="bottom"/>
            <w:gridSpan w:val="9"/>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Part II</w:t>
            </w:r>
          </w:p>
        </w:tc>
        <w:tc>
          <w:tcPr>
            <w:tcW w:w="520" w:type="dxa"/>
            <w:vAlign w:val="bottom"/>
            <w:gridSpan w:val="3"/>
          </w:tcPr>
          <w:p>
            <w:pPr>
              <w:spacing w:after="0"/>
              <w:rPr>
                <w:sz w:val="24"/>
                <w:szCs w:val="24"/>
                <w:color w:val="auto"/>
              </w:rPr>
            </w:pPr>
          </w:p>
        </w:tc>
        <w:tc>
          <w:tcPr>
            <w:tcW w:w="91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5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720" w:type="dxa"/>
            <w:vAlign w:val="bottom"/>
            <w:gridSpan w:val="11"/>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1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1A.</w:t>
            </w:r>
          </w:p>
        </w:tc>
        <w:tc>
          <w:tcPr>
            <w:tcW w:w="91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40" w:type="dxa"/>
            <w:vAlign w:val="bottom"/>
            <w:gridSpan w:val="1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7"/>
              </w:rPr>
              <w:t>Item 5.</w:t>
            </w:r>
          </w:p>
        </w:tc>
        <w:tc>
          <w:tcPr>
            <w:tcW w:w="120" w:type="dxa"/>
            <w:vAlign w:val="bottom"/>
            <w:gridSpan w:val="2"/>
          </w:tcPr>
          <w:p>
            <w:pPr>
              <w:spacing w:after="0"/>
              <w:rPr>
                <w:sz w:val="17"/>
                <w:szCs w:val="17"/>
                <w:color w:val="auto"/>
              </w:rPr>
            </w:pPr>
          </w:p>
        </w:tc>
        <w:tc>
          <w:tcPr>
            <w:tcW w:w="420" w:type="dxa"/>
            <w:vAlign w:val="bottom"/>
            <w:gridSpan w:val="2"/>
          </w:tcPr>
          <w:p>
            <w:pPr>
              <w:spacing w:after="0"/>
              <w:rPr>
                <w:sz w:val="17"/>
                <w:szCs w:val="17"/>
                <w:color w:val="auto"/>
              </w:rPr>
            </w:pPr>
          </w:p>
        </w:tc>
        <w:tc>
          <w:tcPr>
            <w:tcW w:w="13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w w:val="98"/>
              </w:rPr>
              <w:t>Other Information</w:t>
            </w:r>
          </w:p>
        </w:tc>
        <w:tc>
          <w:tcPr>
            <w:tcW w:w="7840" w:type="dxa"/>
            <w:vAlign w:val="bottom"/>
            <w:gridSpan w:val="12"/>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r>
      <w:tr>
        <w:trPr>
          <w:trHeight w:val="196"/>
        </w:trPr>
        <w:tc>
          <w:tcPr>
            <w:tcW w:w="5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w w:val="97"/>
              </w:rPr>
              <w:t>Item 6.</w:t>
            </w:r>
          </w:p>
        </w:tc>
        <w:tc>
          <w:tcPr>
            <w:tcW w:w="540" w:type="dxa"/>
            <w:vAlign w:val="bottom"/>
            <w:gridSpan w:val="4"/>
          </w:tcPr>
          <w:p>
            <w:pPr>
              <w:spacing w:after="0"/>
              <w:rPr>
                <w:sz w:val="17"/>
                <w:szCs w:val="17"/>
                <w:color w:val="auto"/>
              </w:rPr>
            </w:pPr>
          </w:p>
        </w:tc>
        <w:tc>
          <w:tcPr>
            <w:tcW w:w="91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auto"/>
              </w:rPr>
              <w:t>Exhibits</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1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Signatures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885"/>
        </w:trPr>
        <w:tc>
          <w:tcPr>
            <w:tcW w:w="4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6280" w:type="dxa"/>
            <w:vAlign w:val="bottom"/>
            <w:gridSpan w:val="11"/>
          </w:tcPr>
          <w:p>
            <w:pPr>
              <w:ind w:left="452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249"/>
        </w:trPr>
        <w:tc>
          <w:tcPr>
            <w:tcW w:w="4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XILIO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150,333</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137,531</w:t>
            </w:r>
          </w:p>
        </w:tc>
      </w:tr>
      <w:tr>
        <w:trPr>
          <w:trHeight w:val="216"/>
        </w:trPr>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Collaboration and license agreement receivable</w:t>
            </w:r>
          </w:p>
        </w:tc>
        <w:tc>
          <w:tcPr>
            <w:tcW w:w="22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82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3,874</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2,496</w:t>
            </w:r>
          </w:p>
        </w:tc>
      </w:tr>
      <w:tr>
        <w:trPr>
          <w:trHeight w:val="210"/>
        </w:trPr>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154,207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145,027</w:t>
            </w:r>
          </w:p>
        </w:tc>
      </w:tr>
      <w:tr>
        <w:trPr>
          <w:trHeight w:val="216"/>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1,813</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1,807</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3,680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3,892</w:t>
            </w:r>
          </w:p>
        </w:tc>
      </w:tr>
      <w:tr>
        <w:trPr>
          <w:trHeight w:val="216"/>
        </w:trPr>
        <w:tc>
          <w:tcPr>
            <w:tcW w:w="8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3,787</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3,959</w:t>
            </w:r>
          </w:p>
        </w:tc>
      </w:tr>
      <w:tr>
        <w:trPr>
          <w:trHeight w:val="210"/>
        </w:trPr>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163,487</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154,685</w:t>
            </w:r>
          </w:p>
        </w:tc>
      </w:tr>
      <w:tr>
        <w:trPr>
          <w:trHeight w:val="20"/>
        </w:trPr>
        <w:tc>
          <w:tcPr>
            <w:tcW w:w="8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82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1,064</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3,168</w:t>
            </w:r>
          </w:p>
        </w:tc>
      </w:tr>
      <w:tr>
        <w:trPr>
          <w:trHeight w:val="216"/>
        </w:trPr>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8,970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11,739</w:t>
            </w:r>
          </w:p>
        </w:tc>
      </w:tr>
      <w:tr>
        <w:trPr>
          <w:trHeight w:val="216"/>
        </w:trPr>
        <w:tc>
          <w:tcPr>
            <w:tcW w:w="8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31,542</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40,023</w:t>
            </w:r>
          </w:p>
        </w:tc>
      </w:tr>
      <w:tr>
        <w:trPr>
          <w:trHeight w:val="216"/>
        </w:trPr>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1,384</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1,343</w:t>
            </w:r>
          </w:p>
        </w:tc>
      </w:tr>
      <w:tr>
        <w:trPr>
          <w:trHeight w:val="210"/>
        </w:trPr>
        <w:tc>
          <w:tcPr>
            <w:tcW w:w="8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42,960</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56,273</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2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16,468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20,635</w:t>
            </w:r>
          </w:p>
        </w:tc>
      </w:tr>
      <w:tr>
        <w:trPr>
          <w:trHeight w:val="216"/>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5,254</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5,611</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warrant liabilities</w:t>
            </w:r>
          </w:p>
        </w:tc>
        <w:tc>
          <w:tcPr>
            <w:tcW w:w="22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26,260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29,560</w:t>
            </w:r>
          </w:p>
        </w:tc>
      </w:tr>
      <w:tr>
        <w:trPr>
          <w:trHeight w:val="216"/>
        </w:trPr>
        <w:tc>
          <w:tcPr>
            <w:tcW w:w="8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to issue common stock</w:t>
            </w:r>
          </w:p>
        </w:tc>
        <w:tc>
          <w:tcPr>
            <w:tcW w:w="2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7,333</w:t>
            </w:r>
          </w:p>
        </w:tc>
      </w:tr>
      <w:tr>
        <w:trPr>
          <w:trHeight w:val="210"/>
        </w:trPr>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90,942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119,412</w:t>
            </w:r>
          </w:p>
        </w:tc>
      </w:tr>
      <w:tr>
        <w:trPr>
          <w:trHeight w:val="216"/>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 $0.0001 par value; 5,000,000 shares authorized, no shares issued or outstanding</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600,000,000 shares authorized; 5,782,536 shares issued and outstanding at</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4"/>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March 31, 2026; 4,530,641 shares issued and outstanding at December 31, 2025</w:t>
            </w:r>
          </w:p>
        </w:tc>
        <w:tc>
          <w:tcPr>
            <w:tcW w:w="22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500,862</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454,062</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(428,318)</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(418,789)</w:t>
            </w:r>
          </w:p>
        </w:tc>
      </w:tr>
      <w:tr>
        <w:trPr>
          <w:trHeight w:val="210"/>
        </w:trPr>
        <w:tc>
          <w:tcPr>
            <w:tcW w:w="82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72,545</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35,273</w:t>
            </w:r>
          </w:p>
        </w:tc>
      </w:tr>
      <w:tr>
        <w:trPr>
          <w:trHeight w:val="210"/>
        </w:trPr>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163,487</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154,685</w:t>
            </w:r>
          </w:p>
        </w:tc>
      </w:tr>
      <w:tr>
        <w:trPr>
          <w:trHeight w:val="20"/>
        </w:trPr>
        <w:tc>
          <w:tcPr>
            <w:tcW w:w="8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-3668395</wp:posOffset>
            </wp:positionV>
            <wp:extent cx="1200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-3110865</wp:posOffset>
            </wp:positionV>
            <wp:extent cx="1200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-1422400</wp:posOffset>
            </wp:positionV>
            <wp:extent cx="120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120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XILIO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540" w:type="dxa"/>
            <w:vAlign w:val="bottom"/>
            <w:gridSpan w:val="5"/>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0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6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6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09"/>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12,648</w:t>
            </w:r>
          </w:p>
        </w:tc>
        <w:tc>
          <w:tcPr>
            <w:tcW w:w="38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120" w:type="dxa"/>
            <w:vAlign w:val="bottom"/>
          </w:tcPr>
          <w:p>
            <w:pPr>
              <w:spacing w:after="0"/>
              <w:rPr>
                <w:sz w:val="18"/>
                <w:szCs w:val="18"/>
                <w:color w:val="auto"/>
              </w:rPr>
            </w:pPr>
          </w:p>
        </w:tc>
      </w:tr>
      <w:tr>
        <w:trPr>
          <w:trHeight w:val="210"/>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32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12,648</w:t>
            </w:r>
          </w:p>
        </w:tc>
        <w:tc>
          <w:tcPr>
            <w:tcW w:w="38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12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19,832</w:t>
            </w:r>
          </w:p>
        </w:tc>
        <w:tc>
          <w:tcPr>
            <w:tcW w:w="38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120" w:type="dxa"/>
            <w:vAlign w:val="bottom"/>
            <w:shd w:val="clear" w:color="auto" w:fill="CFF0FC"/>
          </w:tcPr>
          <w:p>
            <w:pPr>
              <w:spacing w:after="0"/>
              <w:rPr>
                <w:sz w:val="18"/>
                <w:szCs w:val="18"/>
                <w:color w:val="auto"/>
              </w:rPr>
            </w:pPr>
          </w:p>
        </w:tc>
      </w:tr>
      <w:tr>
        <w:trPr>
          <w:trHeight w:val="216"/>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6,928</w:t>
            </w:r>
          </w:p>
        </w:tc>
        <w:tc>
          <w:tcPr>
            <w:tcW w:w="3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8,515</w:t>
            </w:r>
          </w:p>
        </w:tc>
        <w:tc>
          <w:tcPr>
            <w:tcW w:w="120" w:type="dxa"/>
            <w:vAlign w:val="bottom"/>
          </w:tcPr>
          <w:p>
            <w:pPr>
              <w:spacing w:after="0"/>
              <w:rPr>
                <w:sz w:val="18"/>
                <w:szCs w:val="18"/>
                <w:color w:val="auto"/>
              </w:rPr>
            </w:pPr>
          </w:p>
        </w:tc>
      </w:tr>
      <w:tr>
        <w:trPr>
          <w:trHeight w:val="210"/>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26,760</w:t>
            </w:r>
          </w:p>
        </w:tc>
        <w:tc>
          <w:tcPr>
            <w:tcW w:w="3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16,781</w:t>
            </w:r>
          </w:p>
        </w:tc>
        <w:tc>
          <w:tcPr>
            <w:tcW w:w="120" w:type="dxa"/>
            <w:vAlign w:val="bottom"/>
            <w:shd w:val="clear" w:color="auto" w:fill="CFF0FC"/>
          </w:tcPr>
          <w:p>
            <w:pPr>
              <w:spacing w:after="0"/>
              <w:rPr>
                <w:sz w:val="18"/>
                <w:szCs w:val="18"/>
                <w:color w:val="auto"/>
              </w:rPr>
            </w:pPr>
          </w:p>
        </w:tc>
      </w:tr>
      <w:tr>
        <w:trPr>
          <w:trHeight w:val="216"/>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from operations</w:t>
            </w: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(14,112)</w:t>
            </w:r>
          </w:p>
        </w:tc>
        <w:tc>
          <w:tcPr>
            <w:tcW w:w="40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(13,851)</w:t>
            </w: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common stock warrant liabilities</w:t>
            </w: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13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3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other income, net</w:t>
            </w:r>
          </w:p>
        </w:tc>
        <w:tc>
          <w:tcPr>
            <w:tcW w:w="13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3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Pr>
          <w:p>
            <w:pPr>
              <w:spacing w:after="0"/>
              <w:rPr>
                <w:sz w:val="18"/>
                <w:szCs w:val="18"/>
                <w:color w:val="auto"/>
              </w:rPr>
            </w:pPr>
          </w:p>
        </w:tc>
      </w:tr>
      <w:tr>
        <w:trPr>
          <w:trHeight w:val="229"/>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(9,529)</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(13,265)</w:t>
            </w:r>
          </w:p>
        </w:tc>
      </w:tr>
      <w:tr>
        <w:trPr>
          <w:trHeight w:val="20"/>
        </w:trPr>
        <w:tc>
          <w:tcPr>
            <w:tcW w:w="600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6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1700" w:type="dxa"/>
            <w:vAlign w:val="bottom"/>
            <w:gridSpan w:val="2"/>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(0.58)</w:t>
            </w:r>
          </w:p>
        </w:tc>
        <w:tc>
          <w:tcPr>
            <w:tcW w:w="400" w:type="dxa"/>
            <w:vAlign w:val="bottom"/>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(2.49)</w:t>
            </w:r>
          </w:p>
        </w:tc>
      </w:tr>
      <w:tr>
        <w:trPr>
          <w:trHeight w:val="20"/>
        </w:trPr>
        <w:tc>
          <w:tcPr>
            <w:tcW w:w="6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60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3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16,347,538</w:t>
            </w:r>
          </w:p>
        </w:tc>
        <w:tc>
          <w:tcPr>
            <w:tcW w:w="38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5,335,740</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-642620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-642620</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-350520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-334010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-350520</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-334010</wp:posOffset>
            </wp:positionV>
            <wp:extent cx="774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-24765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XILIO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940" w:type="dxa"/>
            <w:vAlign w:val="bottom"/>
            <w:gridSpan w:val="3"/>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5160" w:type="dxa"/>
            <w:vAlign w:val="bottom"/>
          </w:tcPr>
          <w:p>
            <w:pPr>
              <w:spacing w:after="0"/>
              <w:rPr>
                <w:sz w:val="13"/>
                <w:szCs w:val="13"/>
                <w:color w:val="auto"/>
              </w:rPr>
            </w:pPr>
          </w:p>
        </w:tc>
        <w:tc>
          <w:tcPr>
            <w:tcW w:w="1940" w:type="dxa"/>
            <w:vAlign w:val="bottom"/>
            <w:tcBorders>
              <w:bottom w:val="single" w:sz="8" w:color="auto"/>
            </w:tcBorders>
            <w:gridSpan w:val="3"/>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328"/>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ind w:right="148"/>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center"/>
              <w:ind w:right="148"/>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0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148"/>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51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10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4,530,641</w:t>
            </w:r>
          </w:p>
        </w:tc>
        <w:tc>
          <w:tcPr>
            <w:tcW w:w="920" w:type="dxa"/>
            <w:vAlign w:val="bottom"/>
            <w:gridSpan w:val="2"/>
            <w:shd w:val="clear" w:color="auto" w:fill="CFF0FC"/>
          </w:tcPr>
          <w:p>
            <w:pPr>
              <w:jc w:val="right"/>
              <w:ind w:right="6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454,062</w:t>
            </w:r>
          </w:p>
        </w:tc>
        <w:tc>
          <w:tcPr>
            <w:tcW w:w="2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(418,789)</w:t>
            </w:r>
          </w:p>
        </w:tc>
        <w:tc>
          <w:tcPr>
            <w:tcW w:w="2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35,273</w:t>
            </w:r>
          </w:p>
        </w:tc>
        <w:tc>
          <w:tcPr>
            <w:tcW w:w="0" w:type="dxa"/>
            <w:vAlign w:val="bottom"/>
          </w:tcPr>
          <w:p>
            <w:pPr>
              <w:spacing w:after="0"/>
              <w:rPr>
                <w:sz w:val="1"/>
                <w:szCs w:val="1"/>
                <w:color w:val="auto"/>
              </w:rPr>
            </w:pPr>
          </w:p>
        </w:tc>
      </w:tr>
      <w:tr>
        <w:trPr>
          <w:trHeight w:val="126"/>
        </w:trPr>
        <w:tc>
          <w:tcPr>
            <w:tcW w:w="51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prefunded warrants in connection with a follow-on offering, net of</w:t>
            </w:r>
          </w:p>
        </w:tc>
        <w:tc>
          <w:tcPr>
            <w:tcW w:w="10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37,256</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37,256</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20"/>
                <w:szCs w:val="20"/>
                <w:color w:val="auto"/>
              </w:rPr>
            </w:pPr>
            <w:r>
              <w:rPr>
                <w:rFonts w:ascii="Times New Roman" w:cs="Times New Roman" w:eastAsia="Times New Roman" w:hAnsi="Times New Roman"/>
                <w:sz w:val="14"/>
                <w:szCs w:val="14"/>
                <w:color w:val="auto"/>
              </w:rPr>
              <w:t>issuance costs</w:t>
            </w: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to settle the liabilities to issue common stock</w:t>
            </w:r>
          </w:p>
        </w:tc>
        <w:tc>
          <w:tcPr>
            <w:tcW w:w="10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708,223</w:t>
            </w: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7,332</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7,333</w:t>
            </w:r>
          </w:p>
        </w:tc>
        <w:tc>
          <w:tcPr>
            <w:tcW w:w="0" w:type="dxa"/>
            <w:vAlign w:val="bottom"/>
          </w:tcPr>
          <w:p>
            <w:pPr>
              <w:spacing w:after="0"/>
              <w:rPr>
                <w:sz w:val="1"/>
                <w:szCs w:val="1"/>
                <w:color w:val="auto"/>
              </w:rPr>
            </w:pPr>
          </w:p>
        </w:tc>
      </w:tr>
      <w:tr>
        <w:trPr>
          <w:trHeight w:val="148"/>
        </w:trPr>
        <w:tc>
          <w:tcPr>
            <w:tcW w:w="5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in connection with the exercise of prefunded warrants</w:t>
            </w:r>
          </w:p>
        </w:tc>
        <w:tc>
          <w:tcPr>
            <w:tcW w:w="10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535,611</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10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7,952</w:t>
            </w: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10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5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0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2,211</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2,211</w:t>
            </w:r>
          </w:p>
        </w:tc>
        <w:tc>
          <w:tcPr>
            <w:tcW w:w="0" w:type="dxa"/>
            <w:vAlign w:val="bottom"/>
          </w:tcPr>
          <w:p>
            <w:pPr>
              <w:spacing w:after="0"/>
              <w:rPr>
                <w:sz w:val="1"/>
                <w:szCs w:val="1"/>
                <w:color w:val="auto"/>
              </w:rPr>
            </w:pPr>
          </w:p>
        </w:tc>
      </w:tr>
      <w:tr>
        <w:trPr>
          <w:trHeight w:val="148"/>
        </w:trPr>
        <w:tc>
          <w:tcPr>
            <w:tcW w:w="5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(9,529)</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(9,529)</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2026</w:t>
            </w:r>
          </w:p>
        </w:tc>
        <w:tc>
          <w:tcPr>
            <w:tcW w:w="10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5,782,536</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6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500,862</w:t>
            </w:r>
          </w:p>
        </w:tc>
        <w:tc>
          <w:tcPr>
            <w:tcW w:w="2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(428,318)</w:t>
            </w:r>
          </w:p>
        </w:tc>
        <w:tc>
          <w:tcPr>
            <w:tcW w:w="2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72,545</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-24765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-7620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-24765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-24765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940" w:type="dxa"/>
            <w:vAlign w:val="bottom"/>
            <w:gridSpan w:val="3"/>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5160" w:type="dxa"/>
            <w:vAlign w:val="bottom"/>
          </w:tcPr>
          <w:p>
            <w:pPr>
              <w:spacing w:after="0"/>
              <w:rPr>
                <w:sz w:val="13"/>
                <w:szCs w:val="13"/>
                <w:color w:val="auto"/>
              </w:rPr>
            </w:pPr>
          </w:p>
        </w:tc>
        <w:tc>
          <w:tcPr>
            <w:tcW w:w="1940" w:type="dxa"/>
            <w:vAlign w:val="bottom"/>
            <w:tcBorders>
              <w:bottom w:val="single" w:sz="8" w:color="auto"/>
            </w:tcBorders>
            <w:gridSpan w:val="3"/>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328"/>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ind w:right="148"/>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center"/>
              <w:ind w:right="148"/>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0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148"/>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51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0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3,268,299</w:t>
            </w:r>
          </w:p>
        </w:tc>
        <w:tc>
          <w:tcPr>
            <w:tcW w:w="920" w:type="dxa"/>
            <w:vAlign w:val="bottom"/>
            <w:gridSpan w:val="2"/>
            <w:shd w:val="clear" w:color="auto" w:fill="CFF0FC"/>
          </w:tcPr>
          <w:p>
            <w:pPr>
              <w:jc w:val="right"/>
              <w:ind w:right="6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401,351</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(383,753)</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17,598</w:t>
            </w:r>
          </w:p>
        </w:tc>
        <w:tc>
          <w:tcPr>
            <w:tcW w:w="0" w:type="dxa"/>
            <w:vAlign w:val="bottom"/>
          </w:tcPr>
          <w:p>
            <w:pPr>
              <w:spacing w:after="0"/>
              <w:rPr>
                <w:sz w:val="1"/>
                <w:szCs w:val="1"/>
                <w:color w:val="auto"/>
              </w:rPr>
            </w:pPr>
          </w:p>
        </w:tc>
      </w:tr>
      <w:tr>
        <w:trPr>
          <w:trHeight w:val="126"/>
        </w:trPr>
        <w:tc>
          <w:tcPr>
            <w:tcW w:w="51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 with the AbbVie stock purchase agreement,</w:t>
            </w:r>
          </w:p>
        </w:tc>
        <w:tc>
          <w:tcPr>
            <w:tcW w:w="10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310,559</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2,810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2,810</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20"/>
                <w:szCs w:val="20"/>
                <w:color w:val="auto"/>
              </w:rPr>
            </w:pPr>
            <w:r>
              <w:rPr>
                <w:rFonts w:ascii="Times New Roman" w:cs="Times New Roman" w:eastAsia="Times New Roman" w:hAnsi="Times New Roman"/>
                <w:sz w:val="14"/>
                <w:szCs w:val="14"/>
                <w:color w:val="auto"/>
              </w:rPr>
              <w:t>net of issuance costs</w:t>
            </w: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1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 with at-the-market offerings, net of issuance</w:t>
            </w:r>
          </w:p>
        </w:tc>
        <w:tc>
          <w:tcPr>
            <w:tcW w:w="10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110,747</w:t>
            </w: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34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2,017</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2,017</w:t>
            </w:r>
          </w:p>
        </w:tc>
        <w:tc>
          <w:tcPr>
            <w:tcW w:w="0" w:type="dxa"/>
            <w:vAlign w:val="bottom"/>
          </w:tcPr>
          <w:p>
            <w:pPr>
              <w:spacing w:after="0"/>
              <w:rPr>
                <w:sz w:val="1"/>
                <w:szCs w:val="1"/>
                <w:color w:val="auto"/>
              </w:rPr>
            </w:pPr>
          </w:p>
        </w:tc>
      </w:tr>
      <w:tr>
        <w:trPr>
          <w:trHeight w:val="171"/>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costs</w:t>
            </w:r>
          </w:p>
        </w:tc>
        <w:tc>
          <w:tcPr>
            <w:tcW w:w="10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10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7,952</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10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648</w:t>
            </w: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8"/>
        </w:trPr>
        <w:tc>
          <w:tcPr>
            <w:tcW w:w="5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0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1,535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1,535</w:t>
            </w:r>
          </w:p>
        </w:tc>
        <w:tc>
          <w:tcPr>
            <w:tcW w:w="0" w:type="dxa"/>
            <w:vAlign w:val="bottom"/>
          </w:tcPr>
          <w:p>
            <w:pPr>
              <w:spacing w:after="0"/>
              <w:rPr>
                <w:sz w:val="1"/>
                <w:szCs w:val="1"/>
                <w:color w:val="auto"/>
              </w:rPr>
            </w:pPr>
          </w:p>
        </w:tc>
      </w:tr>
      <w:tr>
        <w:trPr>
          <w:trHeight w:val="149"/>
        </w:trPr>
        <w:tc>
          <w:tcPr>
            <w:tcW w:w="51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2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(13,265)</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(13,265)</w:t>
            </w:r>
          </w:p>
        </w:tc>
        <w:tc>
          <w:tcPr>
            <w:tcW w:w="0" w:type="dxa"/>
            <w:vAlign w:val="bottom"/>
          </w:tcPr>
          <w:p>
            <w:pPr>
              <w:spacing w:after="0"/>
              <w:rPr>
                <w:sz w:val="1"/>
                <w:szCs w:val="1"/>
                <w:color w:val="auto"/>
              </w:rPr>
            </w:pPr>
          </w:p>
        </w:tc>
      </w:tr>
      <w:tr>
        <w:trPr>
          <w:trHeight w:val="142"/>
        </w:trPr>
        <w:tc>
          <w:tcPr>
            <w:tcW w:w="51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102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3,698,205</w:t>
            </w:r>
          </w:p>
        </w:tc>
        <w:tc>
          <w:tcPr>
            <w:tcW w:w="100" w:type="dxa"/>
            <w:vAlign w:val="bottom"/>
          </w:tcPr>
          <w:p>
            <w:pPr>
              <w:spacing w:after="0"/>
              <w:rPr>
                <w:sz w:val="12"/>
                <w:szCs w:val="12"/>
                <w:color w:val="auto"/>
              </w:rPr>
            </w:pPr>
          </w:p>
        </w:tc>
        <w:tc>
          <w:tcPr>
            <w:tcW w:w="820" w:type="dxa"/>
            <w:vAlign w:val="bottom"/>
            <w:tcBorders>
              <w:bottom w:val="single" w:sz="8" w:color="auto"/>
            </w:tcBorders>
          </w:tcPr>
          <w:p>
            <w:pPr>
              <w:jc w:val="right"/>
              <w:ind w:right="6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tcPr>
          <w:p>
            <w:pPr>
              <w:ind w:left="6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407,718</w:t>
            </w: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(397,018)</w:t>
            </w: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rPr>
              <w:t>10,700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-128270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-128270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-128270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-128270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XILIO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8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(9,529)</w:t>
            </w:r>
          </w:p>
        </w:tc>
        <w:tc>
          <w:tcPr>
            <w:tcW w:w="4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(13,265)</w:t>
            </w:r>
          </w:p>
        </w:tc>
      </w:tr>
      <w:tr>
        <w:trPr>
          <w:trHeight w:val="203"/>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provided by operating activities:</w:t>
            </w: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3"/>
        </w:trPr>
        <w:tc>
          <w:tcPr>
            <w:tcW w:w="8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7"/>
                <w:szCs w:val="17"/>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344</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497</w:t>
            </w:r>
          </w:p>
        </w:tc>
      </w:tr>
      <w:tr>
        <w:trPr>
          <w:trHeight w:val="203"/>
        </w:trPr>
        <w:tc>
          <w:tcPr>
            <w:tcW w:w="8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2,211</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1,535</w:t>
            </w:r>
          </w:p>
        </w:tc>
      </w:tr>
      <w:tr>
        <w:trPr>
          <w:trHeight w:val="203"/>
        </w:trPr>
        <w:tc>
          <w:tcPr>
            <w:tcW w:w="8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Change in fair value of common stock warrant liabilities</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(3,300)</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3"/>
        </w:trPr>
        <w:tc>
          <w:tcPr>
            <w:tcW w:w="8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Collaboration and license agreement receivable</w:t>
            </w:r>
          </w:p>
        </w:tc>
        <w:tc>
          <w:tcPr>
            <w:tcW w:w="260" w:type="dxa"/>
            <w:vAlign w:val="bottom"/>
          </w:tcPr>
          <w:p>
            <w:pPr>
              <w:spacing w:after="0"/>
              <w:rPr>
                <w:sz w:val="17"/>
                <w:szCs w:val="17"/>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5,000</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Prepaid and other assets</w:t>
            </w: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964</w:t>
            </w:r>
          </w:p>
        </w:tc>
      </w:tr>
      <w:tr>
        <w:trPr>
          <w:trHeight w:val="203"/>
        </w:trPr>
        <w:tc>
          <w:tcPr>
            <w:tcW w:w="8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w:t>
            </w:r>
          </w:p>
        </w:tc>
      </w:tr>
      <w:tr>
        <w:trPr>
          <w:trHeight w:val="203"/>
        </w:trPr>
        <w:tc>
          <w:tcPr>
            <w:tcW w:w="8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(6,376)</w:t>
            </w:r>
          </w:p>
        </w:tc>
      </w:tr>
      <w:tr>
        <w:trPr>
          <w:trHeight w:val="203"/>
        </w:trPr>
        <w:tc>
          <w:tcPr>
            <w:tcW w:w="8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revenue</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(12,648)</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46,213</w:t>
            </w:r>
          </w:p>
        </w:tc>
      </w:tr>
      <w:tr>
        <w:trPr>
          <w:trHeight w:val="196"/>
        </w:trPr>
        <w:tc>
          <w:tcPr>
            <w:tcW w:w="8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2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(22,343)</w:t>
            </w:r>
          </w:p>
        </w:tc>
        <w:tc>
          <w:tcPr>
            <w:tcW w:w="1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28,978</w:t>
            </w:r>
          </w:p>
        </w:tc>
      </w:tr>
      <w:tr>
        <w:trPr>
          <w:trHeight w:val="196"/>
        </w:trPr>
        <w:tc>
          <w:tcPr>
            <w:tcW w:w="8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82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196"/>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196"/>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3"/>
        </w:trPr>
        <w:tc>
          <w:tcPr>
            <w:tcW w:w="8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issuance of prefunded warrants in connection with a follow-on offering, net of issuance costs</w:t>
            </w:r>
          </w:p>
        </w:tc>
        <w:tc>
          <w:tcPr>
            <w:tcW w:w="260" w:type="dxa"/>
            <w:vAlign w:val="bottom"/>
          </w:tcPr>
          <w:p>
            <w:pPr>
              <w:spacing w:after="0"/>
              <w:rPr>
                <w:sz w:val="17"/>
                <w:szCs w:val="17"/>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37,256</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Proceeds from issuance of common stock in connection with the AbbVie stock purchase agreement, net of issuance costs</w:t>
            </w: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2,810</w:t>
            </w:r>
          </w:p>
        </w:tc>
      </w:tr>
      <w:tr>
        <w:trPr>
          <w:trHeight w:val="203"/>
        </w:trPr>
        <w:tc>
          <w:tcPr>
            <w:tcW w:w="8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issuance of common stock in connection with at-the-market offerings, net of issuance costs</w:t>
            </w:r>
          </w:p>
        </w:tc>
        <w:tc>
          <w:tcPr>
            <w:tcW w:w="260" w:type="dxa"/>
            <w:vAlign w:val="bottom"/>
          </w:tcPr>
          <w:p>
            <w:pPr>
              <w:spacing w:after="0"/>
              <w:rPr>
                <w:sz w:val="17"/>
                <w:szCs w:val="17"/>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2,017</w:t>
            </w:r>
          </w:p>
        </w:tc>
      </w:tr>
      <w:tr>
        <w:trPr>
          <w:trHeight w:val="203"/>
        </w:trPr>
        <w:tc>
          <w:tcPr>
            <w:tcW w:w="8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r>
      <w:tr>
        <w:trPr>
          <w:trHeight w:val="203"/>
        </w:trPr>
        <w:tc>
          <w:tcPr>
            <w:tcW w:w="8240" w:type="dxa"/>
            <w:vAlign w:val="bottom"/>
            <w:tcBorders>
              <w:bottom w:val="single" w:sz="8" w:color="CFF0FC"/>
            </w:tcBorders>
          </w:tcPr>
          <w:p>
            <w:pPr>
              <w:ind w:left="160"/>
              <w:spacing w:after="0"/>
              <w:rPr>
                <w:sz w:val="20"/>
                <w:szCs w:val="20"/>
                <w:color w:val="auto"/>
              </w:rPr>
            </w:pPr>
            <w:r>
              <w:rPr>
                <w:rFonts w:ascii="Times New Roman" w:cs="Times New Roman" w:eastAsia="Times New Roman" w:hAnsi="Times New Roman"/>
                <w:sz w:val="16"/>
                <w:szCs w:val="16"/>
                <w:color w:val="auto"/>
              </w:rPr>
              <w:t>Payments of issuance costs included in accounts payable or accrued expenses at prior year end</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18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8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35,707</w:t>
            </w:r>
          </w:p>
        </w:tc>
        <w:tc>
          <w:tcPr>
            <w:tcW w:w="1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4,832</w:t>
            </w:r>
          </w:p>
        </w:tc>
      </w:tr>
      <w:tr>
        <w:trPr>
          <w:trHeight w:val="196"/>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Increase in cash, cash equivalents and restricted cash</w:t>
            </w:r>
          </w:p>
        </w:tc>
        <w:tc>
          <w:tcPr>
            <w:tcW w:w="260" w:type="dxa"/>
            <w:vAlign w:val="bottom"/>
          </w:tcPr>
          <w:p>
            <w:pPr>
              <w:spacing w:after="0"/>
              <w:rPr>
                <w:sz w:val="17"/>
                <w:szCs w:val="17"/>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12,808</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33,788</w:t>
            </w:r>
          </w:p>
        </w:tc>
      </w:tr>
      <w:tr>
        <w:trPr>
          <w:trHeight w:val="203"/>
        </w:trPr>
        <w:tc>
          <w:tcPr>
            <w:tcW w:w="8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2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139,338</w:t>
            </w:r>
          </w:p>
        </w:tc>
        <w:tc>
          <w:tcPr>
            <w:tcW w:w="1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57,073</w:t>
            </w:r>
          </w:p>
        </w:tc>
      </w:tr>
      <w:tr>
        <w:trPr>
          <w:trHeight w:val="196"/>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152,146</w:t>
            </w:r>
          </w:p>
        </w:tc>
        <w:tc>
          <w:tcPr>
            <w:tcW w:w="4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90,861</w:t>
            </w:r>
          </w:p>
        </w:tc>
      </w:tr>
      <w:tr>
        <w:trPr>
          <w:trHeight w:val="20"/>
        </w:trPr>
        <w:tc>
          <w:tcPr>
            <w:tcW w:w="8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activities:</w:t>
            </w:r>
          </w:p>
        </w:tc>
        <w:tc>
          <w:tcPr>
            <w:tcW w:w="2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r>
      <w:tr>
        <w:trPr>
          <w:trHeight w:val="203"/>
        </w:trPr>
        <w:tc>
          <w:tcPr>
            <w:tcW w:w="8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Capital expenditures included in accounts payable or accrued expenses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w:t>
            </w:r>
          </w:p>
        </w:tc>
        <w:tc>
          <w:tcPr>
            <w:tcW w:w="4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292</w:t>
            </w:r>
          </w:p>
        </w:tc>
      </w:tr>
      <w:tr>
        <w:trPr>
          <w:trHeight w:val="203"/>
        </w:trPr>
        <w:tc>
          <w:tcPr>
            <w:tcW w:w="8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Settlement of liabilities to issue common stock by issuing common stock</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7,332</w:t>
            </w:r>
          </w:p>
        </w:tc>
        <w:tc>
          <w:tcPr>
            <w:tcW w:w="4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Reconciliation to amounts within the consolidated balance sheets: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8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150,333</w:t>
            </w:r>
          </w:p>
        </w:tc>
        <w:tc>
          <w:tcPr>
            <w:tcW w:w="4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89,073</w:t>
            </w:r>
          </w:p>
        </w:tc>
      </w:tr>
      <w:tr>
        <w:trPr>
          <w:trHeight w:val="203"/>
        </w:trPr>
        <w:tc>
          <w:tcPr>
            <w:tcW w:w="8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Restricted cash</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1,813</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1,788</w:t>
            </w:r>
          </w:p>
        </w:tc>
      </w:tr>
      <w:tr>
        <w:trPr>
          <w:trHeight w:val="236"/>
        </w:trPr>
        <w:tc>
          <w:tcPr>
            <w:tcW w:w="82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152,146</w:t>
            </w:r>
          </w:p>
        </w:tc>
        <w:tc>
          <w:tcPr>
            <w:tcW w:w="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90,861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-2682240</wp:posOffset>
            </wp:positionV>
            <wp:extent cx="120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-2416810</wp:posOffset>
            </wp:positionV>
            <wp:extent cx="120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6121400</wp:posOffset>
            </wp:positionH>
            <wp:positionV relativeFrom="paragraph">
              <wp:posOffset>-1511935</wp:posOffset>
            </wp:positionV>
            <wp:extent cx="145415" cy="1708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5415" cy="1708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-1096645</wp:posOffset>
            </wp:positionV>
            <wp:extent cx="1200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120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120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XILIO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Liquidity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Xilio Therapeutics, Inc. (“Xilio” or the “Company”) is a clinical-stage biotechnology company dedicated to discovering and developing masked immuno-oncology (“I-O”) therapies with the goal of significantly improving outcomes for people living with cancer without the systemic side effects of current I-O treatments. The Company was incorporated in Delaware in June 2020, and its headquarters are located in Waltham, Massachusetts.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its inception, the Company has devoted substantially all of its financial resources and efforts to research and development activities. As of March 31, 2026, the Company had an accumulated deficit of $428.3 million and has incurred significant operating losses, including net losses of $9.5 million and $13.3 million for the three months ended March 31, 2026 and 2025, respectively. The Company expects its operating losses and negative operating cash flows to continue for the foreseeable future as it continues to advance its product candidates through clinical trials, maintains the infrastructure necessary to support these activities and continues to incur costs associated with operating as a public company.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cash and cash equivalents of $150.3 million. Based on its current operating plans, the Company anticipates that its existing cash and cash equivalents as of March 31, 2026 will be sufficient to enable it to fund its operating expenses and capital expenditure requirements for at least twelve months from the date of the issuance of these condensed consolidated financial statements.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However, the Company has based its estimates on assumptions that may prove to be wrong. If actual results differ from the Company’s estimates, the Company could exhaust its available capital resources sooner than it anticipates, in which case, the Company would be required to seek additional capital sooner or curtail planned activities to reduce operating expenses, which may have an adverse impact on the Company’s ability to achieve its business objectives.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unaudited interim condensed consolidated financial statements have been prepared in conformity with accounting principles generally accepted in the United States (“U.S. GAAP”), and pursuant to the rules and regulations of the U.S. Securities and Exchange Commission (the “SEC”). Any reference in these notes to applicable guidance is meant to refer to the authoritative U.S. GAAP as found in the Accounting Standards Codification (“ASC”) and Accounting Standards Updates (“ASUs”) of the Financial Accounting Standards Board (“FASB”). Certain information and footnote disclosures normally included in financial statements prepared in accordance with U.S. GAAP have been condensed or omitted from this report, as is permitted by such rules and regulations. Accordingly, these unaudited interim condensed consolidated financial statements should be read in conjunction with the audited financial statements as of and for the year ended December 31, 2025 and notes thereto, included in the Company’s Annual Report on Form 10-K filed with the SEC on March 23, 2026. The unaudited interim condensed consolidated financial statements have been prepared on the same basis as the audited financial statements. In the opinion of the Company’s management, the unaudited interim condensed consolidated financial statements contain all adjustments which are necessary to present fairly the Company’s financial position as of March 31, 2026 and the results of its operations for the three months ended March 31, 2026 and 2025 and cash flows for the three months ended March 31, 2026 and 2025. Such adjustments are of a normal and recurring nature. The results for the three months ended March 31, 2026 are not necessarily indicative of the results for the year ending December 31, 2026 or for any future period.</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13, 2026, the Company effected a reverse stock split of its common stock at a ratio of 1-for-14. The reverse stock split did not impact the number of authorized shares of common stock or preferred stock or the par value per share of the common stock or preferred stock. All share and per share amounts in these condensed consolidated financial statements and notes thereto have been adjusted retroactively to reflect the reverse stock split for all periods presented.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its wholly owned subsidiaries: Xilio Development, Inc. (“Xilio Development”), a Delaware corporation, and Xilio Securities Corporation, a Massachusetts security corporation. All intercompany accounts and transactions have been eliminated in consolidation.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significant accounting policies used in preparation of the unaudited condensed consolidated financial statements are described in Note 2, “</w:t>
      </w:r>
      <w:r>
        <w:rPr>
          <w:rFonts w:ascii="Times New Roman" w:cs="Times New Roman" w:eastAsia="Times New Roman" w:hAnsi="Times New Roman"/>
          <w:sz w:val="18"/>
          <w:szCs w:val="18"/>
          <w:i w:val="1"/>
          <w:iCs w:val="1"/>
          <w:color w:val="auto"/>
        </w:rPr>
        <w:t>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of the audited consolidated financial statements included in the Company’s Annual Report on Form 10-K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2025. There have been no material changes to the significant accounting policies previously disclosed in the Company’s Annual Report on Form 10-K for the year ended December 31, 2025.</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estimates and judgments that may affect the reported amounts of assets and liabilities and related disclosures of contingent assets and liabilities at the date of the financial statements and the related reporting of revenue and expenses during the reporting period. Management considers many factors in selecting appropriate financial accounting policies and controls and in developing the estimates and assumptions that are used in the preparation of these condensed consolidated financial statements. Factors that may affect estimates include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Significant estimates of accounting reflected in these condensed consolidated financial statements include, but are not limited to, estimates related to revenue recognition, accrued expenses, the valuation of the common stock warrant liabilities, the valuation of stock-based compensation, including stock options and restricted stock units, useful life of long-lived assets and income taxes. Actual results could differ from those estimates.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and cash equivalents. The Company holds all cash and cash equivalents at accredited financial institutions. Bank accounts in the United States are generally insured by the Federal Deposit Insurance Corporation (“FDIC”) up to $250,000. Substantially all of the Company’s cash and cash equivalents are FDIC insured, including funds held through an insured cash sweep program. The Company has not experienced any losses in its cash and cash equivalents and does not believe that it is subject to unusual credit risk beyond the normal credit risk associated with commercial banking relationships.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one operating and reportable segment, the consolidated Company operations, reflecting the integrated nature of its business focused on discovering and developing masked I-O therapies. The Company’s chief operating decision maker (“CODM”) is its chief executive officer. The CODM allocates resources and assesses performance on a consolidated basis, focused on the Company’s cash resources and an assessment of the probability of success of its ongoing research and development activities. Resource allocation decisions are informed by forecasted cash expenditures and actual expenses incurred to date. The CODM is not regularly provided with disaggregated actual expense information, other than the actual expense information included in the consolidated statements of operations and comprehensive loss, as the Company’s integrated operating model emphasizes shared resources and centralized decision-making.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the Company’s collaboration and license revenue is generated in the United States and all of the Company’s long-lived assets are held in the United States.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Accounting Standards Update No. 2024-03, </w:t>
      </w:r>
      <w:r>
        <w:rPr>
          <w:rFonts w:ascii="Times New Roman" w:cs="Times New Roman" w:eastAsia="Times New Roman" w:hAnsi="Times New Roman"/>
          <w:sz w:val="18"/>
          <w:szCs w:val="18"/>
          <w:i w:val="1"/>
          <w:iCs w:val="1"/>
          <w:color w:val="auto"/>
        </w:rPr>
        <w:t>Income Statement—Reporting Comprehensive Income—Expense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Disclosures (Subtopic 220-40): Disaggregation of Income Statement Expenses </w:t>
      </w:r>
      <w:r>
        <w:rPr>
          <w:rFonts w:ascii="Times New Roman" w:cs="Times New Roman" w:eastAsia="Times New Roman" w:hAnsi="Times New Roman"/>
          <w:sz w:val="18"/>
          <w:szCs w:val="18"/>
          <w:color w:val="auto"/>
        </w:rPr>
        <w:t>(“ASU 2024-03”), which requires disclosure, in the notes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of specified information about certain costs and expenses. The guidance is effective for annual reporting periods beginning after December 15, 2026, and interim reporting periods beginning after December 15, 2027. Early adoption is permitted. The Company is currently evaluating the potential impact of adopting this new guidance on its consolidated financial statements and related disclosures.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measured at fair value on a recurring basis consist of the following as of March 31, 2026: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w w:val="99"/>
              </w:rPr>
              <w:t>Quoted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63"/>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63"/>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83"/>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63"/>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161"/>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060" w:type="dxa"/>
            <w:vAlign w:val="bottom"/>
            <w:gridSpan w:val="2"/>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63"/>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Series A warrants to purchase common stock</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20,560</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20,560</w:t>
            </w:r>
          </w:p>
        </w:tc>
        <w:tc>
          <w:tcPr>
            <w:tcW w:w="0" w:type="dxa"/>
            <w:vAlign w:val="bottom"/>
          </w:tcPr>
          <w:p>
            <w:pPr>
              <w:spacing w:after="0"/>
              <w:rPr>
                <w:sz w:val="1"/>
                <w:szCs w:val="1"/>
                <w:color w:val="auto"/>
              </w:rPr>
            </w:pPr>
          </w:p>
        </w:tc>
      </w:tr>
      <w:tr>
        <w:trPr>
          <w:trHeight w:val="216"/>
        </w:trPr>
        <w:tc>
          <w:tcPr>
            <w:tcW w:w="62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Series C warrants to purchase common stock</w:t>
            </w: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5,700</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5,700</w:t>
            </w:r>
          </w:p>
        </w:tc>
        <w:tc>
          <w:tcPr>
            <w:tcW w:w="0" w:type="dxa"/>
            <w:vAlign w:val="bottom"/>
          </w:tcPr>
          <w:p>
            <w:pPr>
              <w:spacing w:after="0"/>
              <w:rPr>
                <w:sz w:val="1"/>
                <w:szCs w:val="1"/>
                <w:color w:val="auto"/>
              </w:rPr>
            </w:pPr>
          </w:p>
        </w:tc>
      </w:tr>
      <w:tr>
        <w:trPr>
          <w:trHeight w:val="21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Total financial liabilities at March 31, 2026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26,260</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26,260</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-170815</wp:posOffset>
            </wp:positionV>
            <wp:extent cx="1460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-170815</wp:posOffset>
            </wp:positionV>
            <wp:extent cx="137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-170815</wp:posOffset>
            </wp:positionV>
            <wp:extent cx="137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measured at fair value on a recurring basis consist of the following as of December 31, 2025:</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Quoted</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3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jc w:val="center"/>
              <w:ind w:right="3310"/>
              <w:spacing w:after="0"/>
              <w:rPr>
                <w:sz w:val="20"/>
                <w:szCs w:val="20"/>
                <w:color w:val="auto"/>
              </w:rPr>
            </w:pPr>
            <w:r>
              <w:rPr>
                <w:rFonts w:ascii="Times New Roman" w:cs="Times New Roman" w:eastAsia="Times New Roman" w:hAnsi="Times New Roman"/>
                <w:sz w:val="18"/>
                <w:szCs w:val="18"/>
                <w:color w:val="auto"/>
              </w:rPr>
              <w:t>Series A warrants to purchase common stock</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23,100</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Borders>
              <w:bottom w:val="single" w:sz="8" w:color="CFF0FC"/>
            </w:tcBorders>
            <w:shd w:val="clear" w:color="auto" w:fill="CFF0FC"/>
          </w:tcPr>
          <w:p>
            <w:pPr>
              <w:jc w:val="center"/>
              <w:ind w:right="3330"/>
              <w:spacing w:after="0"/>
              <w:rPr>
                <w:sz w:val="20"/>
                <w:szCs w:val="20"/>
                <w:color w:val="auto"/>
              </w:rPr>
            </w:pPr>
            <w:r>
              <w:rPr>
                <w:rFonts w:ascii="Times New Roman" w:cs="Times New Roman" w:eastAsia="Times New Roman" w:hAnsi="Times New Roman"/>
                <w:sz w:val="18"/>
                <w:szCs w:val="18"/>
                <w:color w:val="auto"/>
              </w:rPr>
              <w:t>Series C warrants to purchase common stock</w:t>
            </w: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80" w:type="dxa"/>
            <w:vAlign w:val="bottom"/>
          </w:tcPr>
          <w:p>
            <w:pPr>
              <w:jc w:val="center"/>
              <w:ind w:right="3270"/>
              <w:spacing w:after="0"/>
              <w:rPr>
                <w:sz w:val="20"/>
                <w:szCs w:val="20"/>
                <w:color w:val="auto"/>
              </w:rPr>
            </w:pPr>
            <w:r>
              <w:rPr>
                <w:rFonts w:ascii="Times New Roman" w:cs="Times New Roman" w:eastAsia="Times New Roman" w:hAnsi="Times New Roman"/>
                <w:sz w:val="18"/>
                <w:szCs w:val="18"/>
                <w:color w:val="auto"/>
              </w:rPr>
              <w:t>Total financial liabilities at December 31, 2025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29,560</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-170815</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-170815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-170815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of the common stock warrant liabilities, which are described in more detail in Note 8, are calculated utilizing a Black-Scholes option pricing model for the Series A warrants and a Monte Carlo simulation model for the Series C warrants. The Black-Scholes option pricing model and the Monte Carlo simulation model both require the use of assumptions, certain of which are not observable in the market, which represent Level 3 measurements within the fair value hierarchy. The Black-Scholes pricing model and the Monte Carlo simulation model assumptions include the warrant exercise price, the expected term of the warrant, the current price of the Company’s common stock, expected volatility, the risk-free interest rate for the expected term of the warrant and expected dividend yield. The Monte Carlo simulation assumptions also include the potential impacts of the warrant strike price reset features.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802005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assumptions were used in determining the fair value of the Company’s common stock warrant liabilities as of March 31,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6"/>
                <w:szCs w:val="16"/>
                <w:color w:val="auto"/>
              </w:rPr>
            </w:pPr>
          </w:p>
        </w:tc>
      </w:tr>
      <w:tr>
        <w:trPr>
          <w:trHeight w:val="199"/>
        </w:trPr>
        <w:tc>
          <w:tcPr>
            <w:tcW w:w="78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7"/>
                <w:szCs w:val="17"/>
                <w:color w:val="auto"/>
              </w:rPr>
            </w:pPr>
          </w:p>
        </w:tc>
      </w:tr>
      <w:tr>
        <w:trPr>
          <w:trHeight w:val="209"/>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Closing price of common stock</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7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340" w:type="dxa"/>
            <w:vAlign w:val="bottom"/>
            <w:shd w:val="clear" w:color="auto" w:fill="CFF0FC"/>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Warrant exercise price</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340" w:type="dxa"/>
            <w:vAlign w:val="bottom"/>
          </w:tcPr>
          <w:p>
            <w:pPr>
              <w:spacing w:after="0"/>
              <w:rPr>
                <w:sz w:val="18"/>
                <w:szCs w:val="18"/>
                <w:color w:val="auto"/>
              </w:rPr>
            </w:pPr>
          </w:p>
        </w:tc>
      </w:tr>
      <w:tr>
        <w:trPr>
          <w:trHeight w:val="216"/>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r>
      <w:tr>
        <w:trPr>
          <w:trHeight w:val="234"/>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0.67 - 4.18</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0.92 - 4.43</w:t>
            </w:r>
          </w:p>
        </w:tc>
        <w:tc>
          <w:tcPr>
            <w:tcW w:w="340" w:type="dxa"/>
            <w:vAlign w:val="bottom"/>
          </w:tcPr>
          <w:p>
            <w:pPr>
              <w:spacing w:after="0"/>
              <w:rPr>
                <w:sz w:val="20"/>
                <w:szCs w:val="20"/>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fair market value of the Company’s common stock warrant liabilities, which are classified within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fair value hierarchy:</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Total level 3</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restart"/>
          </w:tcPr>
          <w:p>
            <w:pPr>
              <w:jc w:val="center"/>
              <w:ind w:left="392"/>
              <w:spacing w:after="0"/>
              <w:rPr>
                <w:sz w:val="20"/>
                <w:szCs w:val="20"/>
                <w:color w:val="auto"/>
              </w:rPr>
            </w:pPr>
            <w:r>
              <w:rPr>
                <w:rFonts w:ascii="Times New Roman" w:cs="Times New Roman" w:eastAsia="Times New Roman" w:hAnsi="Times New Roman"/>
                <w:sz w:val="14"/>
                <w:szCs w:val="14"/>
                <w:b w:val="1"/>
                <w:bCs w:val="1"/>
                <w:color w:val="auto"/>
              </w:rPr>
              <w:t>Series C</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center"/>
              <w:ind w:right="256"/>
              <w:spacing w:after="0" w:line="149"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0" w:type="dxa"/>
            <w:vAlign w:val="bottom"/>
          </w:tcPr>
          <w:p>
            <w:pPr>
              <w:spacing w:after="0"/>
              <w:rPr>
                <w:sz w:val="1"/>
                <w:szCs w:val="1"/>
                <w:color w:val="auto"/>
              </w:rPr>
            </w:pPr>
          </w:p>
        </w:tc>
      </w:tr>
      <w:tr>
        <w:trPr>
          <w:trHeight w:val="173"/>
        </w:trPr>
        <w:tc>
          <w:tcPr>
            <w:tcW w:w="4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20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82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23,100</w:t>
            </w:r>
          </w:p>
        </w:tc>
        <w:tc>
          <w:tcPr>
            <w:tcW w:w="1360" w:type="dxa"/>
            <w:vAlign w:val="bottom"/>
            <w:gridSpan w:val="2"/>
            <w:shd w:val="clear" w:color="auto" w:fill="CFF0FC"/>
          </w:tcPr>
          <w:p>
            <w:pPr>
              <w:jc w:val="right"/>
              <w:ind w:right="91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6,460</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29,560</w:t>
            </w:r>
          </w:p>
        </w:tc>
        <w:tc>
          <w:tcPr>
            <w:tcW w:w="0" w:type="dxa"/>
            <w:vAlign w:val="bottom"/>
          </w:tcPr>
          <w:p>
            <w:pPr>
              <w:spacing w:after="0"/>
              <w:rPr>
                <w:sz w:val="1"/>
                <w:szCs w:val="1"/>
                <w:color w:val="auto"/>
              </w:rPr>
            </w:pPr>
          </w:p>
        </w:tc>
      </w:tr>
      <w:tr>
        <w:trPr>
          <w:trHeight w:val="216"/>
        </w:trPr>
        <w:tc>
          <w:tcPr>
            <w:tcW w:w="4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in fair value of common stock warrant liabilities</w:t>
            </w:r>
          </w:p>
        </w:tc>
        <w:tc>
          <w:tcPr>
            <w:tcW w:w="8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28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(760)</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0" w:type="dxa"/>
            <w:vAlign w:val="bottom"/>
          </w:tcPr>
          <w:p>
            <w:pPr>
              <w:spacing w:after="0"/>
              <w:rPr>
                <w:sz w:val="1"/>
                <w:szCs w:val="1"/>
                <w:color w:val="auto"/>
              </w:rPr>
            </w:pPr>
          </w:p>
        </w:tc>
      </w:tr>
      <w:tr>
        <w:trPr>
          <w:trHeight w:val="25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182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20,560</w:t>
            </w:r>
          </w:p>
        </w:tc>
        <w:tc>
          <w:tcPr>
            <w:tcW w:w="1360" w:type="dxa"/>
            <w:vAlign w:val="bottom"/>
            <w:gridSpan w:val="2"/>
            <w:shd w:val="clear" w:color="auto" w:fill="CFF0FC"/>
          </w:tcPr>
          <w:p>
            <w:pPr>
              <w:jc w:val="right"/>
              <w:ind w:right="91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5,700</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26,260</w:t>
            </w:r>
          </w:p>
        </w:tc>
        <w:tc>
          <w:tcPr>
            <w:tcW w:w="0" w:type="dxa"/>
            <w:vAlign w:val="bottom"/>
          </w:tcPr>
          <w:p>
            <w:pPr>
              <w:spacing w:after="0"/>
              <w:rPr>
                <w:sz w:val="1"/>
                <w:szCs w:val="1"/>
                <w:color w:val="auto"/>
              </w:rPr>
            </w:pPr>
          </w:p>
        </w:tc>
      </w:tr>
      <w:tr>
        <w:trPr>
          <w:trHeight w:val="561"/>
        </w:trPr>
        <w:tc>
          <w:tcPr>
            <w:tcW w:w="49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tc>
        <w:tc>
          <w:tcPr>
            <w:tcW w:w="800" w:type="dxa"/>
            <w:vAlign w:val="bottom"/>
            <w:tcBorders>
              <w:top w:val="single" w:sz="8" w:color="CFF0FC"/>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 as of March 31, 2026 and December 31, 2025:</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4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center"/>
              <w:ind w:left="39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Borders>
              <w:bottom w:val="single" w:sz="8" w:color="auto"/>
            </w:tcBorders>
          </w:tcPr>
          <w:p>
            <w:pPr>
              <w:jc w:val="center"/>
              <w:ind w:left="3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8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95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6,943</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6,381</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8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20" w:type="dxa"/>
            <w:vAlign w:val="bottom"/>
            <w:tcBorders>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5,124</w:t>
            </w:r>
          </w:p>
        </w:tc>
        <w:tc>
          <w:tcPr>
            <w:tcW w:w="2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5,124</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10"/>
        </w:trPr>
        <w:tc>
          <w:tcPr>
            <w:tcW w:w="4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8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20" w:type="dxa"/>
            <w:vAlign w:val="bottom"/>
            <w:tcBorders>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12,777</w:t>
            </w:r>
          </w:p>
        </w:tc>
        <w:tc>
          <w:tcPr>
            <w:tcW w:w="2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12,645</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(9,097)</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(8,753)</w:t>
            </w: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1080" w:type="dxa"/>
            <w:vAlign w:val="bottom"/>
            <w:shd w:val="clear" w:color="auto" w:fill="CFF0FC"/>
          </w:tcPr>
          <w:p>
            <w:pPr>
              <w:jc w:val="right"/>
              <w:ind w:right="952"/>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3,680</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3,892</w:t>
            </w:r>
          </w:p>
        </w:tc>
        <w:tc>
          <w:tcPr>
            <w:tcW w:w="0" w:type="dxa"/>
            <w:vAlign w:val="bottom"/>
          </w:tcPr>
          <w:p>
            <w:pPr>
              <w:spacing w:after="0"/>
              <w:rPr>
                <w:sz w:val="1"/>
                <w:szCs w:val="1"/>
                <w:color w:val="auto"/>
              </w:rPr>
            </w:pPr>
          </w:p>
        </w:tc>
      </w:tr>
      <w:tr>
        <w:trPr>
          <w:trHeight w:val="20"/>
        </w:trPr>
        <w:tc>
          <w:tcPr>
            <w:tcW w:w="49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-1979295</wp:posOffset>
            </wp:positionV>
            <wp:extent cx="1803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-1962150</wp:posOffset>
            </wp:positionV>
            <wp:extent cx="1803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-1979295</wp:posOffset>
            </wp:positionV>
            <wp:extent cx="1797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-1962150</wp:posOffset>
            </wp:positionV>
            <wp:extent cx="1797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1111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1111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depreciation and amortization expense related to property and equipment of $0.3 million and $0.5 million for the three months ended March 31, 2026 and 2025,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Accrued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 of the following as of March 31, 2026 and December 31, 2025:</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0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1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468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6,160</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3,767</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Personnel-related</w:t>
            </w:r>
          </w:p>
        </w:tc>
        <w:tc>
          <w:tcPr>
            <w:tcW w:w="3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5,733</w:t>
            </w: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and consulting fees</w:t>
            </w:r>
          </w:p>
        </w:tc>
        <w:tc>
          <w:tcPr>
            <w:tcW w:w="35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917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2,156</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5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198</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83</w:t>
            </w:r>
          </w:p>
        </w:tc>
      </w:tr>
      <w:tr>
        <w:trPr>
          <w:trHeight w:val="249"/>
        </w:trPr>
        <w:tc>
          <w:tcPr>
            <w:tcW w:w="4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accrued expenses</w:t>
            </w:r>
          </w:p>
        </w:tc>
        <w:tc>
          <w:tcPr>
            <w:tcW w:w="468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8,970</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11,739</w:t>
            </w:r>
          </w:p>
        </w:tc>
      </w:tr>
      <w:tr>
        <w:trPr>
          <w:trHeight w:val="844"/>
        </w:trPr>
        <w:tc>
          <w:tcPr>
            <w:tcW w:w="4040" w:type="dxa"/>
            <w:vAlign w:val="bottom"/>
            <w:tcBorders>
              <w:top w:val="single" w:sz="8" w:color="CFF0FC"/>
            </w:tcBorders>
          </w:tcPr>
          <w:p>
            <w:pPr>
              <w:spacing w:after="0"/>
              <w:rPr>
                <w:sz w:val="24"/>
                <w:szCs w:val="24"/>
                <w:color w:val="auto"/>
              </w:rPr>
            </w:pPr>
          </w:p>
        </w:tc>
        <w:tc>
          <w:tcPr>
            <w:tcW w:w="3540" w:type="dxa"/>
            <w:vAlign w:val="bottom"/>
            <w:tcBorders>
              <w:top w:val="single" w:sz="8" w:color="CFF0FC"/>
            </w:tcBorders>
          </w:tcPr>
          <w:p>
            <w:pPr>
              <w:jc w:val="right"/>
              <w:ind w:right="1770"/>
              <w:spacing w:after="0"/>
              <w:rPr>
                <w:sz w:val="20"/>
                <w:szCs w:val="20"/>
                <w:color w:val="auto"/>
              </w:rPr>
            </w:pPr>
            <w:r>
              <w:rPr>
                <w:rFonts w:ascii="Times New Roman" w:cs="Times New Roman" w:eastAsia="Times New Roman" w:hAnsi="Times New Roman"/>
                <w:sz w:val="18"/>
                <w:szCs w:val="18"/>
                <w:color w:val="auto"/>
              </w:rPr>
              <w:t>14</w:t>
            </w:r>
          </w:p>
        </w:tc>
        <w:tc>
          <w:tcPr>
            <w:tcW w:w="1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r>
      <w:tr>
        <w:trPr>
          <w:trHeight w:val="1249"/>
        </w:trPr>
        <w:tc>
          <w:tcPr>
            <w:tcW w:w="404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-1379220</wp:posOffset>
            </wp:positionV>
            <wp:extent cx="1803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-1362075</wp:posOffset>
            </wp:positionV>
            <wp:extent cx="18034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034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Collaboration, License and Option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License and Option Agreement with AbbVie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2025, Xilio Development entered into a collaboration, license and option agreement (the “Collaboration Agreement”) with AbbVie Group Holdings Limited ("AbbVie") for up to four programs leveraging the Company’s proprietary masking technology and platform, consisting of (i) an exclusive license for a program to develop and commercialize a masked antibody-based immunotherapy (the “Collaboration Program”) and (ii) an exclusive option for (a) an initial program to discover, develop and commercialize masked T cell engager molecules for an agreed upon initial target and backup target (“Initial Option Program”), and (b) subject to the terms of the Collaboration Agreement, up to two additional programs (each, an “Additional Option Program” and together with the Initial Option Program, the “Option Programs”).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Collaboration Program, Xilio Development is responsible for conducting all preclinical development through lead generation (“Collaboration Program Services”). For the Initial Option Program, AbbVie’s option right is exercisable beginning on the effective date of the Collaboration Agreement, and for each Additional Option Program, AbbVie’s option right is exercisable following delivery of written notice of nomination of such Additional Option Program. During the </w:t>
      </w:r>
      <w:r>
        <w:rPr>
          <w:rFonts w:ascii="Times New Roman" w:cs="Times New Roman" w:eastAsia="Times New Roman" w:hAnsi="Times New Roman"/>
          <w:sz w:val="18"/>
          <w:szCs w:val="18"/>
          <w:b w:val="1"/>
          <w:bCs w:val="1"/>
          <w:color w:val="auto"/>
        </w:rPr>
        <w:t>three-year</w:t>
      </w:r>
      <w:r>
        <w:rPr>
          <w:rFonts w:ascii="Times New Roman" w:cs="Times New Roman" w:eastAsia="Times New Roman" w:hAnsi="Times New Roman"/>
          <w:sz w:val="18"/>
          <w:szCs w:val="18"/>
          <w:color w:val="auto"/>
        </w:rPr>
        <w:t xml:space="preserve"> period following the effective date of the Collaboration Agreement, AbbVie has the right to initiate up to two Additional Option Programs by (a) selecting an initial target and backup target for each such Additional Option Program (excluding the target known as prostate-specific membrane antigen and any other target for which Xilio Development has completed specified activities prior to lead selection) and (b) paying Xilio Development an additional program nomination fee for each Additional Option Program. For each Option Program, prior to option exercise, Xilio Development is responsible for conducting preclinical discovery and development up to the completion of investigational new drug application (“IND”) enabling studies, subject to AbbVie paying Xilio Development option extension fees upon completion of specified stages of preclinical discovery and development (“Option Program Services”). Unless AbbVie elects to extend preclinical development through the next stage and pays the applicable option extension fee, AbbVie’s option right terminates within a specified time period following completion of each stage of preclinical development. Upon exercising its option for an Option Program, AbbVie will be responsible for any remaining preclinical development, if applicable, and all clinical development, regulatory and commercialization activities with respect to licensed products under the applicable Option Program.</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on an Option Program-by-Option Program basis, prior to the initiation of specified activities related to lead optimization and selection for the initial target for such Option Program, AbbVie has a one-time right to substitute the initial target with the backup target agreed upon by the parties at the time of Option Program initiation, subject to the payment by AbbVie of a one-time substitution fee with respect to such substituted target and the other terms of the Collaboration Agreement.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execution of the Collaboration Agreement, in February 2025, the Company also entered into a stock purchase agreement with AbbVie Inc. pursuant to which the Company issued and sold 310,559 shares of its common stock to AbbVie Inc. in a private placement at a purchase price of $32.20 per share for an aggregate purchase price of $10.0 million.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March 31, 2026, the Company has received $57.0 million in payments under the AbbVie agreements, consisting of a $42.0 million upfront cash payment under the Collaboration Agreement, $10.0 million in gross proceeds from the private placement under the stock purchase agreement and a $5.0 million development milestone related to the Collaboration Program, which was recorded as a receivable on the condensed consolidated balance sheet as of December 31, 2025 and was received in the first quarter of 2026. In the second quarter of 2026, the Company achieved an additional $6.0 million development milestone. The Company is eligible to receive up to approximately $2.1 billion in additional contingent payments under the Collaboration Agreement, consisting of (i) up to $305.0 million in aggregate program nomination fees, preclinical development option extension fees and option fees for the Option Programs and (ii) up to $1.8 billion in aggregate development, regulatory and sales-based milestones for all Option Programs and the Collaboration Program. In addition, the Company is eligible to receive tiered royalties ranging in the high single digits on annual global net product sales for the Option Program and is eligible to receive tiered royalties ranging in the mid-single digits on annual global net product sales for the Collaboration Program.</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considered the criteria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for combining contracts and determined the Collaboration Agreement and the stock purchase agreement should be combined into a single contract because they were negotiated and entered into in contemplation of one another. The Company accounted for the common stock issued to AbbVie Inc. based on the fair market value of the common stock on the date of issuance. The fair market value of the common stock issued to AbbVie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 was $2.9 million, based on the closing price of the Company’s common stock on the date of issuance, resulting in a $7.1 million premium. The Company determined that the premium paid by AbbVie Inc. for the common stock purchased should be attributed to the transaction price of the Collaboration Agreement.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determined that the Collaboration Agreement represents a contract with a customer within the scope of ASC 606 and identified the following promises under the Collaboration Agreement: (i) the exclusive license granted to AbbVie related to the Collaboration Program, (ii) the Collaboration Program Services and (iii) the Option Program Services for the Initial Option Program. In addition, the Company identified several customer options that were evaluated to determine if such options represented material rights, each of which would be considered a performance obligation at contract inception only if the option provides a material right to AbbVie that it would not receive without entering into that contract.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determined that the exclusive license and development services related to the Collaboration Program Services were not capable of being distinct on the basis that the services to be provided by Xilio Development are specialized in nature, specifically with respect to its specialized expertise in developing masked antibody-based immunotherapies and the Company’s proprietary platform for masked biologics. Accordingly, the Company concluded that these promises should be a combined performance obligation consisting of the exclusive license and the development services for the Collaboration Program Services. As such, the Company identified the following performance obligations at contract inception: (i) the performance obligation consisting of the exclusive license and the Collaboration Program Services (the “Collaboration Program Performance Obligation”); (ii) the Option Program Services for the Initial Option Program (the “Initial Option Program Performance Obligation”); (iii) a material right to receive an exclusive license to the Initial Option Program; (iv) a material right to receive additional services related to the Initial Option Program; and (v) a material right related to AbbVie’s one-time right to substitute the initial target with the backup target for the Initial Option Program.</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purposes of ASC 606, the transaction price at the outset of the arrangement was determined to be $49.1 million, which consisted of the upfront cash payment of $42.0 million under the Collaboration Agreement and the $7.1 million premium on the sale of common stock to AbbVie Inc. The Company used the most likely amount method to estimate variable consideration. During the year ended December 31, 2025, the overall transaction price was adjusted to include the achievement of the $5.0 million development milestone related to the Collaboration Program in the fourth quarter of 2025. All additional contingent payments are fully constrained as of March 31, 2026, as the achievement of the milestones underlying such contingent payments is based on either the Company or AbbVie’s ability to execute under the development plan which is not certain at contact inception. Accordingly, all such contingent payments are excluded from the transaction price. The Company reevaluates the transaction price at the end of each reporting period and as uncertain events are resolved or other changes in circumstances occur and may adjust the transaction price as necessary. Sales-based royalties, including milestone payments based on the level of sales, were also excluded from the transaction price, as the license is deemed to be the predominant item to which the royalties relate. The Company plans to recognize such revenue at the later of (i) when the related sales occur or (ii) when the performance obligation to which some or all of the royalty has been allocated has been satisfied (or partially satisfied).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allocated the transaction price at the outset of the arrangements to the performance obligations on a relative selling price basis as follows: (i) $32.4 million related to the Collaboration Program Performance Obligation; (ii) $6.9 million related to the Initial Option Program Performance Obligation;</w:t>
      </w:r>
    </w:p>
    <w:p>
      <w:pPr>
        <w:jc w:val="both"/>
        <w:ind w:firstLine="8"/>
        <w:spacing w:after="0" w:line="251" w:lineRule="auto"/>
        <w:tabs>
          <w:tab w:leader="none" w:pos="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 million related to the material right to receive an exclusive license to the Initial Option Program; (iv) $1.1 million related to the material right to receive additional services related to the Initial Option Program; and (v) $0.5 million related to the material right for AbbVie’s one-time right to substitute the initial target with the backup target for the Initial Option Program. The Company determined the estimated standalone selling price for the licenses using an adjusted market assessment approach, whereby the Company adjusted a comparable transaction previously entered into by the Company and comparable third-party transactions to reflect the stage of development of the Company’s assets under the Collaboration Agreement. The Company determined the estimated standalone selling price for services based on estimated costs to be incurred plus a reasonable margin. The Company determined the estimated standalone selling price for material rights by estimating the standalone selling price of the underlying performance obligations included in the material right and estimating the probability that AbbVie will exercise such material right.</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associated with the Collaboration Program Performance Obligation and the Initial Option Program Performance Obligation is recognized as the underlying services are provided as control is transferred over time. The Company measures progress based on the amount of costs incurred relative to the total costs expected to fulfill the combined performance obligation. In management’s judgment, this input method is the best measure of progress towards satisfying the combined performance obligation and reflects a faithful depiction of the transfer of goods and services. Revenue associated with the material rights will be recognized upon expiry if the option is not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exercised. If the material right is exercised, the Company will evaluate the performance obligations underlying the option exercised and recognize the amount allocated to the material right and any additional consideration over the appropriate recognition period associated with the underlying performance obligations.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recognized collaboration and license revenue of $8.0 million and $0.7 million, respectively, under the Collaboration Agreement and the stock purchase agreement. As of March 31, 2026, the Company recorded deferred revenue of $26.0 million, of which $16.1 million was recorded as a current liability on the Company’s condensed consolidated balance sheet. The deferred revenue is expected to be recognized as collaboration and license revenue through at least 2026 depending on (i) the timing of services being provided for the Collaboration Program and the Initial Option Program and (ii) the timing of AbbVie’s exercise or expiration of the material rights.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Gilead Sciences, Inc.</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2024, Xilio Development entered into a license agreement (the "License Agreement") with Gilead Sciences, Inc. ("Gilead"), pursuant to which it granted Gilead an exclusive global license to develop and commercialize efarindodekin alfa, the Company’s masked IL-12 product candidate, and specified other molecules directed to IL-12. Xilio Development is responsible for conducting clinical development for efarindodekin alfa through an initial Phase 2 clinical trial. Following the delivery by Xilio Development of a specified clinical data package for efarindodekin alfa related to the Phase 1 clinical trial and the initial Phase 2 clinical trial, Gilead can elect to transition responsibilities for the development and commercialization of efarindodekin alfa to Gilead, subject to the terms of the License Agreement and payment by Gilead of a $75.0 million transition fee.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License Agreement, in March 2024, the Company also entered into a stock purchase agreement with Gilead. Under the stock purchase agreement, Gilead purchased $25.0 million of the Company’s common stock and prefunded warrants in three private placements, consisting of an aggregate of 650,387 shares of common stock and prefunded warrants to purchase up to an aggregate of 712,514 shares of its common stock. The prefunded warrants are exercisable any time at an exercise price of $0.0014 per share, subject to Gilead not being deemed a beneficial owner of greater than 19.9% of the Company’s common stock upon the exercise of the prefunded warrants.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received $72.5 million in payments under the Gilead agreements, consisting of the $30.0 million upfront cash payment under the License Agreement, $25.0 million in gross proceeds from private placements under the stock purchase agreement and a $17.5 million development milestone. As of March 31, 2026, the Company is eligible to receive up to $575.0 million in additional contingent payments, which consist of a $75.0 million transition fee if Gilead exercises its option for the IL-12 program and up to $500.0 million in specified development, regulatory and sales-based milestones after opt-in. In addition, the Company is eligible to receive tiered royalties ranging from high single digits to mid-teens on annual global net product sales.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considered the ASC 606 criteria for combining contracts and determined the License Agreement and the stock purchase agreement should be combined into a single contract because they were negotiated and entered into in contemplation of one another. The Company concluded the initial private placement and the additional private placements do not represent freestanding financial instruments as such instruments are not legally detachable due to contractual transfer restrictions. The Company accounted for the common stock issued to Gilead in the initial private placement based on the fair market value of the common stock on the date of issuance. The fair market value of the common stock issued to Gilead in the initial private placement was $4.4 million, based on the closing price of the Company’s common stock on the date of issuance, resulting in a $9.1 million premium. The Company determined that the premium paid by Gilead for the common stock purchased in the initial private placement should be attributed to the transaction price of the License Agreement.</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determined that the License Agreement represents a contract with a customer within the scope of ASC 606 and identified two promises under the License Agreement: (i) the exclusive licenses granted to Gilead related to the Company’s IL-12 program and (ii) the provision by Xilio Development and its affiliates of development services related to ongoing and planned clinical trials for efarindodekin alfa through an initial Phase 2 clinical trial. The Company determined that the exclusive license and development services were not capable of being distinct on the basis that the development services to be provided by Xilio Development are specialized in nature, specifically with respect to its specialized expertise related to efarindodekin alfa, the IL-12 program and the Company’s proprietary platform for masked biologics. Accordingly, the Company concluded that there is a single identified combined performance obligation consisting of the exclusive license and the development services.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purposes of ASC 606, the transaction price of the License Agreement at the outset of the arrangement was determined to be $39.1 million, which consisted of the upfront cash payment of $30.0 million under the License Agreement and the $9.1 million premium on the sale of common stock to Gilead in the initial private placement, which was allocated to the single combined performance obligation. The Company used the most likely amount method to estimate variable consideration. During the year ended December 31, 2025, the overall transaction price was adjusted to include the achievement of the $17.5 million development milestone in the third quarter of 2025. All additional contingent payments are fully constrained as of March 31, 2026, as the achievement of the milestones underlying such contingent payments are uncertain and highly susceptible to factors outside of the Company’s control. Accordingly, all such additional contingent payments are excluded from the transaction price. The Company reevaluates the transaction price at the end of each reporting period and as uncertain events are resolved or other changes in circumstances occur and may adjust the transaction price as necessary. Sales-based royalties, including milestone payments based on the level of sales, were also excluded from the transaction price, as the license is deemed to be the predominant item to which the royalties relate. The Company plans to recognize such revenue at the later of (i) when the related sales occur or (ii) when the performance obligation to which some or all of the royalty has been allocated has been satisfied (or partially satisfied).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associated with the combined performance obligation is recognized as services are provided as control is transferred over time. The Company measures progress based on the amount of costs incurred relative to the total costs expected to fulfill the combined performance obligation. In management’s judgment, this input method is the best measure of progress towards satisfying the combined performance obligation and reflects a faithful depiction of the transfer of goods and services.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recognized collaboration and license revenue of $4.7 million and $2.2 million, respectively, under the License Agreement and the stock purchase agreement with Gilead. As of March 31, 2026, the Company recorded deferred revenue under the License Agreement and the stock purchase agreement of $22.0 million, of which $15.5 million was recorded as a current liability on the Company’s condensed consolidated balance sheet. The deferred revenue is expected to be recognized as collaboration and license revenue through at least 2027 depending on the timing of certain clinical development activities.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Contract Assets and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the balances of the Company's contract liabilities: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2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Gilead</w:t>
            </w:r>
          </w:p>
        </w:tc>
        <w:tc>
          <w:tcPr>
            <w:tcW w:w="6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AbbVie</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as of December 31, 2025</w:t>
            </w:r>
          </w:p>
        </w:tc>
        <w:tc>
          <w:tcPr>
            <w:tcW w:w="94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6"/>
              </w:rPr>
              <w:t>26,651</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34,007</w:t>
            </w:r>
          </w:p>
        </w:tc>
        <w:tc>
          <w:tcPr>
            <w:tcW w:w="4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60,658</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Collaboration and license revenue recognized</w:t>
            </w: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(7,995)</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(12,648)</w:t>
            </w:r>
          </w:p>
        </w:tc>
      </w:tr>
      <w:tr>
        <w:trPr>
          <w:trHeight w:val="250"/>
        </w:trPr>
        <w:tc>
          <w:tcPr>
            <w:tcW w:w="6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as of March 31, 2026</w:t>
            </w: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6"/>
              </w:rPr>
              <w:t>21,998</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26,012</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48,010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-24765</wp:posOffset>
            </wp:positionV>
            <wp:extent cx="946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946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857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857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 Collaboration with F. Hoffmann-La Roche Ltd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2023, the Company and F. Hoffmann-La Roche Ltd (“Roche”) entered into a clinical trial collaboration pursuant to a clinical supply agreement to evaluate vilastobart in combination with atezolizumab (Tecentriq®) in a Phase 1/2 clinical trial in patients with microsatellite stable metastatic colorectal cancer.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clinical supply agreement, the Company is eligible to receive specified cost-sharing payments from Roche. As of March 31, 2026, the Company has received $8.0 million in total cost-sharing payments from Roche. The Company is responsible for conducting the Phase 1/2 clinical trial and retains global development and commercialization rights to vilastobart.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concluded that the cost-sharing payments under the clinical supply agreement are not in the scope of ASC 606 because the Company does not consider performing research and development services for reimbursement to be part of its ongoing major or central operations. Therefore, the Company applied a reasonable, rational, and consistently applied accounting policy election to record the cost-sharing payments under the clinical supply agreement as a reduction of research and development expenses in the condensed consolidated statements of operations and comprehensive loss for the period in which a study development event is achieved. During the three months ended March 31, 2026, the Company did not recognize a reduction of research and development expense and during the three months ended March 31, 2025, the Company recognized a reduction of research and development expense of $2.0 million.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has an operating lease for its headquarters and a finance lease for certain lab equipment. In August 2019, the Company entered into a facility lease agreement with a landlord providing funding for tenant improvements and occupancy of approximately 27,830 square feet of office and laboratory space (the “premises”) at 828 Winter Street, Waltham, Massachusetts. The initial term of the lease expires in March 2030, unless terminated earlier in accordance with the terms of the lease. The Company has an option </w:t>
      </w:r>
      <w:r>
        <w:rPr>
          <w:rFonts w:ascii="Times New Roman" w:cs="Times New Roman" w:eastAsia="Times New Roman" w:hAnsi="Times New Roman"/>
          <w:sz w:val="18"/>
          <w:szCs w:val="18"/>
          <w:b w:val="1"/>
          <w:bCs w:val="1"/>
          <w:color w:val="auto"/>
        </w:rPr>
        <w:t>to extend</w:t>
      </w:r>
      <w:r>
        <w:rPr>
          <w:rFonts w:ascii="Times New Roman" w:cs="Times New Roman" w:eastAsia="Times New Roman" w:hAnsi="Times New Roman"/>
          <w:sz w:val="18"/>
          <w:szCs w:val="18"/>
          <w:color w:val="auto"/>
        </w:rPr>
        <w:t xml:space="preserve"> the lease for an additional term of </w:t>
      </w:r>
      <w:r>
        <w:rPr>
          <w:rFonts w:ascii="Times New Roman" w:cs="Times New Roman" w:eastAsia="Times New Roman" w:hAnsi="Times New Roman"/>
          <w:sz w:val="18"/>
          <w:szCs w:val="18"/>
          <w:b w:val="1"/>
          <w:bCs w:val="1"/>
          <w:color w:val="auto"/>
        </w:rPr>
        <w:t>five years</w:t>
      </w:r>
      <w:r>
        <w:rPr>
          <w:rFonts w:ascii="Times New Roman" w:cs="Times New Roman" w:eastAsia="Times New Roman" w:hAnsi="Times New Roman"/>
          <w:sz w:val="18"/>
          <w:szCs w:val="18"/>
          <w:color w:val="auto"/>
        </w:rPr>
        <w:t xml:space="preserve"> at then-market rates. The Company is obligated to pay its portion of real estate taxes and costs related to the premises, including costs of operations, maintenance, repair, replacement, and management of the leased premises, which it began paying simultaneous with the rent commencement date in March 2020. As of March 31, 2026 and December 31, 2025, the Company had a letter of credit for the benefit of its landlord in the amount of $1.8 million, collateralized by a money market account, which is recorded as restricted cash on the condensed consolidated balance sheets.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Preferred Stock and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Company’s restated certificate of incorporation, as amended, authorizes the Company to issue up to 5,000,000 shares of undesignated preferred stock at $0.0001 par value per share. As of March 31, 2026 and December 31, 2025, there were no shares of preferred stock issued or outstanding.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Company’s restated certificate of incorporation, as amended, authorized the Company to issue up to 600,000,000 shares of common stock, $0.0001 par value per share.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2026 Follow-On Offering</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2026, the Company closed a follow-on offering of prefunded warrants and received net proceeds of $37.3 million. In connection with the offering, the Company issued prefunded warrants to purchase 5,341,404 shares of its common stock. Each prefunded warrant is exercisable for one share of the Company's common stock. The purchase price of each prefunded warrant was $7.4886. Each prefunded warrant has an exercise price of $0.0014 per share and will be exercisable from the date of issuance until fully exercised, subject to beneficial ownership limitations for each holder.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June 2025 Follow-On Offering</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2025, the Company closed a follow-on offering of prefunded warrants and accompanying common stock warrants and received net proceeds of $47.0 million. In connection with the offering, the Company issued prefunded warrants to purchase 4,762,533 shares of common stock, accompanied by Series A warrants to purchase 4,762,533 shares of common stock (or prefunded warrants in lieu of common stock) (the “Series A warrants”), Series B warrants to purchase 4,762,533 shares of common stock (or prefunded warrants in lieu of common stock) (the “Series B warrants”), and Series C warrants to purchase 4,762,533 shares of common stock (or prefunded warrants in lieu of common stock) (the “Series C warrants”). The combined public offering price of one prefunded warrant, one Series A warrant, one Series B warrant and one Series C warrant, which were sold together but are immediately separable, was $10.4986, which was equal to the combined offering price of the prefunded warrants, Series A warrants, Series B warrants and Series C warrants, less the $0.0014 per share exercise price of the prefunded warrants.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event of certain fundamental transactions, each holder of the prefunded warrants and the common stock warrants has the right to receive, upon exercise of such warrant, the same amount and kind of securities, cash or property as such holder would have been entitled to receive upon the occurrence of such fundamental transaction if it had been, immediately prior to such fundamental transaction, the holder of the number of shares of common stock underlying such holder’s warrant without regard to any limitations on exercise contained in such holder’s warrant. The holders of Series A warrants are alternatively entitled to elect to receive consideration in an amount equal to the Black Scholes value of the unexercised portion of such holder’s Series A warrants and if the fundamental transaction is within the Company’s control, the Series A warrant holders can require the Black Scholes value to be paid in cash.</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for each dollar of non-dilutive capital received by the Company prior to the exercise or expiration of the remaining outstanding Series C warrants, the Company may elect to cancel a number of warrant shares equal to $14.00 divided by the $10.50 warrant exercise price (or one and one-third warrants) without any compensation paid by the Company to the warrant holders. Subject to certain specified exceptions, non-dilutive capital includes: upfront payments under any future collaboration, license or similar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agreement; milestone payments and option fees under any current or future collaboration, license or similar agreement; and net proceeds pursuant to any equity issuance where the purchase price per share is above $21.00.</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the June 2025 issuance date, the Company concluded that the prefunded warrants, the Series A warrants, the Series B warrants and the Series C warrants are freestanding financial instruments because each of these instruments can be transferred or assigned by the holder subject to compliance with the applicable securities laws and are legally detachable and separately exercisable. The Company determined the classification of each warrant based on the guidance in ASC 480 and ASC 815. As part of this assessment under ASC 815, the Company was required to allocate its available authorized shares of common stock to its outstanding contracts and commitments. The Company applied an accounting policy to first allocate available authorized shares of common stock based on the earliest issuance date of the contract. To the extent more than one contract or commitment made was issued on the same date, the available shares of common stock were allocated first to the contract with the earliest potential exercise date. The Company concluded that the prefunded warrants are classified as equity. The Company concluded the Series A warrants, the Series B warrants and the Series C warrants are required to be initially classified as liabilities as a result of their settlement provisions. The Series B warrants that were exercised for common stock and prefunded warrants in lieu of shares of common stock were reclassified to equity on the later of the date of each exercise, or December 2, 2025, the date the remaining outstanding Series B warrants qualified for equity classification due to the settlement of the exercise price reset feature. The Series A warrants and the remaining outstanding Series C warrants will continue to be classified as liabilities until such time as the applicable warrant is exercised, expires, or qualifies for equity classification.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received initial gross proceeds from the offering of $50.0 million, before deducting approximately $3.0 million in underwriting discounts and commissions and offering expenses payable by the Company. The Company allocated the initial gross proceeds as follows: $26.8 million to the Series A warrants, $6.6 million to the Series B warrants and $5.1 million to the Series C warrants, in each case, based on the fair value of each instrument on the date of issuance with the remaining $11.5 million allocated to the prefunded warrants. The Company allocated the issuance costs to the financial instruments in a manner consistent with the allocation of the proceeds.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recognized a gain of $3.3 million, related to the change in fair value of the common stock warrants, which is recorded as a component of the change in fair value of common stock warrant liabilities on the condensed consolidated statements of operations and comprehensive loss.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exercisability of the prefunded warrants and common stock warrants is subject to limitations on exercise. Specifically, a holder will be prohibited from exercising any portion of any warrant if immediately prior to or following such exercise such holder (together with its affiliates) would beneficially own more than 4.99% (or up to 19.99% at the election of the holder) of the Company’s issued and outstanding common stock immediately after giving effect to the exercise, as such percentage ownership is determined in accordance with the terms of the warrant. However, any holder of any warrant may increase or decrease such percentage to any other percentage not in excess of 19.99%, provided that any such increase will not be effective until the 61st day after notice from the holder is delivered to the Company.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524,033 prefunded warrants were exercised and 4,238,500 prefunded warrants remain outstanding as of December 31, 2025. No prefunded warrants were exercised during the three months ended March 31, 2026.</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Series A warrant became exercisable on December 1, 2025, with an exercise price of $10.50 per share of common stock, and will expire on June 5, 2030. Through March 31, 2026, no Series A warrants have been exercised and 4,762,533 Series A warrants remain outstanding.</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Series B warrant became exercisable on November 1, 2025 and was exercisable through December 31, 2025. During the year ended December 31, 2025, 3,443,388 of the Series B warrants were exercised for 1,008,415 shares of common stock and 2,434,973 prefunded warrants in lieu of shares of common stock. The Company received net proceeds of $34.3 million from the exercise of the Series B warrants, after deducting underwriting discounts and commissions and offering expenses payable by the Company. The remaining 1,319,145 Series B warrants were not exercised and expired on December 31, 2025. In addition, 1,319,145 Series C warrants expired according to their terms on December 31, 2025 in connection with the expiration of unexercised Series B warrants, and 3,443,388 of the Series C warrants remained outstanding as of December 31, 2025. Through March 31, 2026, none of the Series B warrants that were exercised for prefunded warrants in lieu of shares of common stock have been exercised for shares of common stock.</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remaining Series C warrant will be exercisable on or after June 1, 2026, with an exercise price of $10.50 per share of common stock, and will expire on December 2, 2026. In addition, if the closing sale price of the Company's common stock is below the exercise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price on December 2, 2026, the exercise price will reset to the closing sale price on December 1, 2026 and the expiration time will be extended to December 31, 2026.</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prefunded warrants and Series A warrants may be exercised for cash or on a net exercise or “cashless” basis, and the Series C warrants may be exercised for cash or on a net exercise or “cashless” basis in the event there is no effective registration statement or prospectus available which covers the Series C warrants and shares of common stock issuable upon exercise of the Series C warrants. There can be no assurance that any of the warrants that remain outstanding as of March 31, 2026 will be exercised for cash or at all, and it is possible that the common stock warrants may expire without being exercised. If all of the outstanding Series C warrants are exercised in cash at their current exercise price of $10.50 per warrant, the Company will receive up to $36.2 million in additional total gross proceeds by the end of 2026, before deducting underwriting discounts and commissions and any offering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Agreement and “At-The-Market” Facility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2025, the Company entered into an “at-the-market” (“ATM”) facility with Leerink Partners, LLC (“Leerink”) pursuant to which the Company could initially issue and sell shares of its common stock from time to time at an aggregate offering price of up to $50.0 million through Leerink as sales agent. In February 2026, the Company filed a prospectus supplement to reduce the amount of common stock it may offer and sell under the ATM facility to an aggregate offering price of up to $9.5 million. The Company did not issue any shares under the ATM facility during the three months ended March 31,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Reserved for Future Issuance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common stock reserved for future issuance consists of the following as of March 31, 2026 and December 31, 2025:</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14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52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00" w:type="dxa"/>
            <w:vAlign w:val="bottom"/>
          </w:tcPr>
          <w:p>
            <w:pPr>
              <w:spacing w:after="0"/>
              <w:rPr>
                <w:sz w:val="16"/>
                <w:szCs w:val="16"/>
                <w:color w:val="auto"/>
              </w:rPr>
            </w:pPr>
          </w:p>
        </w:tc>
        <w:tc>
          <w:tcPr>
            <w:tcW w:w="142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720" w:type="dxa"/>
            <w:vAlign w:val="bottom"/>
            <w:gridSpan w:val="2"/>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10"/>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and unvested restricted stock units</w:t>
            </w: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3,192,894</w:t>
            </w:r>
          </w:p>
        </w:tc>
        <w:tc>
          <w:tcPr>
            <w:tcW w:w="17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2,963,086</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131,321</w:t>
            </w:r>
          </w:p>
        </w:tc>
        <w:tc>
          <w:tcPr>
            <w:tcW w:w="172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89,603</w:t>
            </w:r>
          </w:p>
        </w:tc>
      </w:tr>
      <w:tr>
        <w:trPr>
          <w:trHeight w:val="216"/>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in process of settlement at period end</w:t>
            </w: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708,215</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Prefunded warrants</w:t>
            </w: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13,307,918</w:t>
            </w:r>
          </w:p>
        </w:tc>
        <w:tc>
          <w:tcPr>
            <w:tcW w:w="172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8,502,224</w:t>
            </w:r>
          </w:p>
        </w:tc>
      </w:tr>
      <w:tr>
        <w:trPr>
          <w:trHeight w:val="216"/>
        </w:trPr>
        <w:tc>
          <w:tcPr>
            <w:tcW w:w="8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4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8,206,109</w:t>
            </w:r>
          </w:p>
        </w:tc>
        <w:tc>
          <w:tcPr>
            <w:tcW w:w="20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8,206,109</w:t>
            </w:r>
          </w:p>
        </w:tc>
      </w:tr>
      <w:tr>
        <w:trPr>
          <w:trHeight w:val="210"/>
        </w:trPr>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shares reserved for future issuance</w:t>
            </w: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24,838,242</w:t>
            </w:r>
          </w:p>
        </w:tc>
        <w:tc>
          <w:tcPr>
            <w:tcW w:w="172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20,469,237</w:t>
            </w:r>
          </w:p>
        </w:tc>
      </w:tr>
      <w:tr>
        <w:trPr>
          <w:trHeight w:val="20"/>
        </w:trPr>
        <w:tc>
          <w:tcPr>
            <w:tcW w:w="8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-170815</wp:posOffset>
            </wp:positionV>
            <wp:extent cx="1371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Stock Incentive Plan</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the 2020 Stock Incentive Plan (as amended, the “2020 Plan”), the Company was authorized to issue shares of common stock to the Company’s employees, officers, directors, consultants and advisors in the form of options, restricted stock awards or other stock-based awards.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Stock Incentive Plan</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September 2021, the Company’s board of directors and stockholders adopted the 2021 Stock Incentive Plan (the “2021 Plan”), which became effective immediately prior to the Company’s initial public offering of common stock (“IPO”) in October 2021. Upon effectiveness of the 2021 Plan, the Company ceased granting awards under the 2020 Plan. The 2021 Plan provides for the grant of incentive stock options, nonstatutory stock options, stock appreciation rights, restricted stock awards, restricted stock units and other stock-based awards. The Company initially reserved 469,929 shares of common stock under the 2021 Plan. The 2021 Plan provides that the number of shares reserved and available for issuance under the 2021 Plan will be cumulatively increased on January 1 of each calendar year by 5% of the number of shares of common stock outstanding on such date or such lesser amount determined by the Company’s board of directors. On January 1, 2026, the number of shares reserved for issuance under the 2021 Plan automatically increased by 226,931 shares. As of March 31, 2026, there were 356,869 shares of common stock available for future issuance under the 2021 Plan.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Stock Incentive Plan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2025, the Company’s stockholders adopted the 2025 Stock Incentive Plan (the “2025 Plan”), which had previously been adopted by the Company’s board of directors subject to stockholder approval. The 2025 Plan provides for the grant of stock options to employees for 2,285,592 shares of common stock, divided into four equal tranches of 571,398 total shares per tranche, with the vesting of each tranche of stock options tied to a tranche of the June 2025 warrants, which are further described in Note 8.</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 options granted under the 2025 Plan vest as follows:</w:t>
      </w:r>
    </w:p>
    <w:p>
      <w:pPr>
        <w:spacing w:after="0" w:line="117" w:lineRule="exact"/>
        <w:rPr>
          <w:sz w:val="20"/>
          <w:szCs w:val="20"/>
          <w:color w:val="auto"/>
        </w:rPr>
      </w:pPr>
    </w:p>
    <w:p>
      <w:pPr>
        <w:ind w:left="1020" w:right="44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tranche of stock options vests in equal monthly installments over a period of three years, subject to the employee continuing to provide services to the Company on each vesting date.</w:t>
      </w:r>
    </w:p>
    <w:p>
      <w:pPr>
        <w:spacing w:after="0" w:line="53" w:lineRule="exact"/>
        <w:rPr>
          <w:rFonts w:ascii="Times New Roman" w:cs="Times New Roman" w:eastAsia="Times New Roman" w:hAnsi="Times New Roman"/>
          <w:sz w:val="18"/>
          <w:szCs w:val="18"/>
          <w:color w:val="auto"/>
        </w:rPr>
      </w:pPr>
    </w:p>
    <w:p>
      <w:pPr>
        <w:ind w:left="1020" w:right="80" w:hanging="503"/>
        <w:spacing w:after="0" w:line="258"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tranche of stock options ("Tranche 2 Stock Options") will become eligible to vest based on the portion of such stock options that equals the percentage of the Series A warrants that are exercised by December 31 of each of 2025, 2026, 2027, 2028, and 2029 and on June 30, 2030 (each, a “measurement date”). Any Tranche 2 Stock Options will vest in three equal installments with one-third vesting on the applicable measurement date and the remaining two-thirds vesting in equal annual installments on each of the subsequent two anniversaries thereafter.</w:t>
      </w:r>
    </w:p>
    <w:p>
      <w:pPr>
        <w:spacing w:after="0" w:line="75" w:lineRule="exact"/>
        <w:rPr>
          <w:rFonts w:ascii="Times New Roman" w:cs="Times New Roman" w:eastAsia="Times New Roman" w:hAnsi="Times New Roman"/>
          <w:sz w:val="18"/>
          <w:szCs w:val="18"/>
          <w:color w:val="auto"/>
        </w:rPr>
      </w:pPr>
    </w:p>
    <w:p>
      <w:pPr>
        <w:ind w:left="1020" w:right="220" w:hanging="503"/>
        <w:spacing w:after="0" w:line="26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tranche of stock options ("Tranche 3 Stock Options") became eligible to vest based on the portion of such stock options that equaled the percentage of Series B warrants that were exercised by December 31, 2025. The Tranche 3 Stock Options vest in three equal installments with one-third vesting on December 31, 2025 and the remaining two-thirds vesting in equal annual installments on each of the subsequent two anniversaries thereafter.</w:t>
      </w:r>
    </w:p>
    <w:p>
      <w:pPr>
        <w:spacing w:after="0" w:line="71"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fourth tranche of stock options ("Tranche 4 Stock Options") will become eligible to vest based on the portion of such stock options that equal the percentage of the Series C warrants that are exercised or are cancelled due to the Company’s receipt of non-dilutive capital by December 31, 2026. Any Tranche 4 Stock Options that become eligible for vesting will vest in three equal installments with one-third vesting on December 31, 2026 and the remaining two-thirds vesting in equal annual installments on each of the subsequent two anniversaries thereafter.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there were 21,805 shares of common stock available for future issuance under the 2025 Plan.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Inducement Plan</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2022, the Company’s board of directors adopted the 2022 Inducement Stock Incentive Plan pursuant to Nasdaq Rule 5635(c)(4) (the “2022 Inducement Plan”). In accordance with Nasdaq Rule 5635(c)(4), stock-based incentive awards under the 2022 Inducement Plan may only be made to a newly hired employee who has not previously been a member of the Company’s board of directors, or an employee who is being rehired following a bona fide period of non-employment by the Company as a material inducement to the employee’s entering into employment with the Company. The Company initially reserved 19,642 shares of the Company’s common stock for issuance under the 2022 Inducement Plan. The number of shares reserved for issuance under the 2022 Inducement Plan was increased by 35,714 in both November 2024 and March 2025. In January 2026, the number of shares reserved for issuance under the 2022 Inducement Plan increased by an additional 32,485 shares. As of March 31, 2026, there were 52,812 shares of common stock available for future issuance under the 2022 Inducement Plan.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Employee Stock Purchase Plan</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2021, the Company’s board of directors and stockholders adopted the 2021 Employee Stock Purchase Plan (the “2021 ESPP”), which became effective immediately prior to the IPO in October 2021. The Company initially reserved 20,859 shares of common stock for issuance under the 2021 ESPP. The 2021 ESPP provides that the number of shares of common stock reserved for issuance under the 2021 ESPP will be cumulatively increased on January 1 of each calendar year by 1% of the number of shares of the Company’s common stock outstanding on such date or such lesser amount determined by the Company’s board of directors (up to a maximum increase of 41,718 shares of common stock per year). On January 1, 2026, the number of shares reserved for issuance under the 2021 ESPP was increased by 41,718 shares. During each of the three months ended March 31, 2026 and 2025, the Company did not issue any shares of common stock under the 2021 ESPP. As of March 31, 2026, there were 131,321 shares available for future issuance under the 2021 ESPP.</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recorded compensation expense related to stock options, restricted stock units and restricted common stock for employees and non-employees and share purchases under the 2021 ESPP for employees, which was allocated as follows in the condensed consolidated statements of operations and comprehensive loss: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00" w:type="dxa"/>
            <w:vAlign w:val="bottom"/>
            <w:gridSpan w:val="9"/>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8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9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540" w:type="dxa"/>
            <w:vAlign w:val="bottom"/>
            <w:shd w:val="clear" w:color="auto" w:fill="CFF0FC"/>
          </w:tcPr>
          <w:p>
            <w:pPr>
              <w:spacing w:after="0"/>
              <w:rPr>
                <w:sz w:val="18"/>
                <w:szCs w:val="18"/>
                <w:color w:val="auto"/>
              </w:rPr>
            </w:pP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540" w:type="dxa"/>
            <w:vAlign w:val="bottom"/>
            <w:shd w:val="clear" w:color="auto" w:fill="CFF0FC"/>
          </w:tcPr>
          <w:p>
            <w:pPr>
              <w:spacing w:after="0"/>
              <w:rPr>
                <w:sz w:val="21"/>
                <w:szCs w:val="21"/>
                <w:color w:val="auto"/>
              </w:rPr>
            </w:pP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58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15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 summary of stock option activity under the Company’s 2020 Plan, 2021 Plan, 2025 Plan and 2022 Inducement Plan is as follows:</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58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2"/>
                <w:szCs w:val="12"/>
                <w:color w:val="auto"/>
              </w:rPr>
            </w:pPr>
          </w:p>
        </w:tc>
        <w:tc>
          <w:tcPr>
            <w:tcW w:w="82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860" w:type="dxa"/>
            <w:vAlign w:val="bottom"/>
          </w:tcPr>
          <w:p>
            <w:pPr>
              <w:spacing w:after="0"/>
              <w:rPr>
                <w:sz w:val="12"/>
                <w:szCs w:val="12"/>
                <w:color w:val="auto"/>
              </w:rPr>
            </w:pPr>
          </w:p>
        </w:tc>
        <w:tc>
          <w:tcPr>
            <w:tcW w:w="154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tcPr>
          <w:p>
            <w:pPr>
              <w:jc w:val="center"/>
              <w:ind w:right="30"/>
              <w:spacing w:after="0" w:line="146"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51"/>
        </w:trPr>
        <w:tc>
          <w:tcPr>
            <w:tcW w:w="586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ind w:right="217"/>
              <w:spacing w:after="0" w:line="15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3"/>
                <w:szCs w:val="13"/>
                <w:color w:val="auto"/>
              </w:rPr>
            </w:pPr>
          </w:p>
        </w:tc>
        <w:tc>
          <w:tcPr>
            <w:tcW w:w="820" w:type="dxa"/>
            <w:vAlign w:val="bottom"/>
            <w:gridSpan w:val="2"/>
          </w:tcPr>
          <w:p>
            <w:pPr>
              <w:jc w:val="center"/>
              <w:ind w:left="48"/>
              <w:spacing w:after="0" w:line="151" w:lineRule="exact"/>
              <w:rPr>
                <w:sz w:val="20"/>
                <w:szCs w:val="20"/>
                <w:color w:val="auto"/>
              </w:rPr>
            </w:pPr>
            <w:r>
              <w:rPr>
                <w:rFonts w:ascii="Times New Roman" w:cs="Times New Roman" w:eastAsia="Times New Roman" w:hAnsi="Times New Roman"/>
                <w:sz w:val="14"/>
                <w:szCs w:val="14"/>
                <w:b w:val="1"/>
                <w:bCs w:val="1"/>
                <w:color w:val="auto"/>
              </w:rPr>
              <w:t>Term</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80"/>
              <w:spacing w:after="0" w:line="151" w:lineRule="exact"/>
              <w:rPr>
                <w:sz w:val="20"/>
                <w:szCs w:val="20"/>
                <w:color w:val="auto"/>
              </w:rPr>
            </w:pPr>
            <w:r>
              <w:rPr>
                <w:rFonts w:ascii="Times New Roman" w:cs="Times New Roman" w:eastAsia="Times New Roman" w:hAnsi="Times New Roman"/>
                <w:sz w:val="13"/>
                <w:szCs w:val="13"/>
                <w:b w:val="1"/>
                <w:bCs w:val="1"/>
                <w:color w:val="auto"/>
              </w:rPr>
              <w:t xml:space="preserve">Value </w:t>
            </w:r>
            <w:r>
              <w:rPr>
                <w:rFonts w:ascii="Times New Roman" w:cs="Times New Roman" w:eastAsia="Times New Roman" w:hAnsi="Times New Roman"/>
                <w:sz w:val="17"/>
                <w:szCs w:val="17"/>
                <w:b w:val="1"/>
                <w:bCs w:val="1"/>
                <w:color w:val="auto"/>
                <w:vertAlign w:val="superscript"/>
              </w:rPr>
              <w:t>(1)</w:t>
            </w:r>
          </w:p>
        </w:tc>
        <w:tc>
          <w:tcPr>
            <w:tcW w:w="0" w:type="dxa"/>
            <w:vAlign w:val="bottom"/>
          </w:tcPr>
          <w:p>
            <w:pPr>
              <w:spacing w:after="0"/>
              <w:rPr>
                <w:sz w:val="1"/>
                <w:szCs w:val="1"/>
                <w:color w:val="auto"/>
              </w:rPr>
            </w:pPr>
          </w:p>
        </w:tc>
      </w:tr>
      <w:tr>
        <w:trPr>
          <w:trHeight w:val="173"/>
        </w:trPr>
        <w:tc>
          <w:tcPr>
            <w:tcW w:w="5860" w:type="dxa"/>
            <w:vAlign w:val="bottom"/>
          </w:tcPr>
          <w:p>
            <w:pPr>
              <w:spacing w:after="0"/>
              <w:rPr>
                <w:sz w:val="15"/>
                <w:szCs w:val="15"/>
                <w:color w:val="auto"/>
              </w:rPr>
            </w:pPr>
          </w:p>
        </w:tc>
        <w:tc>
          <w:tcPr>
            <w:tcW w:w="15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0" w:type="dxa"/>
            <w:vAlign w:val="bottom"/>
          </w:tcPr>
          <w:p>
            <w:pPr>
              <w:spacing w:after="0"/>
              <w:rPr>
                <w:sz w:val="15"/>
                <w:szCs w:val="15"/>
                <w:color w:val="auto"/>
              </w:rPr>
            </w:pPr>
          </w:p>
        </w:tc>
        <w:tc>
          <w:tcPr>
            <w:tcW w:w="820" w:type="dxa"/>
            <w:vAlign w:val="bottom"/>
            <w:tcBorders>
              <w:bottom w:val="single" w:sz="8" w:color="auto"/>
            </w:tcBorders>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5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2,785,102</w:t>
            </w:r>
          </w:p>
        </w:tc>
        <w:tc>
          <w:tcPr>
            <w:tcW w:w="340" w:type="dxa"/>
            <w:vAlign w:val="bottom"/>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14.40</w:t>
            </w:r>
          </w:p>
        </w:tc>
        <w:tc>
          <w:tcPr>
            <w:tcW w:w="1220" w:type="dxa"/>
            <w:vAlign w:val="bottom"/>
            <w:gridSpan w:val="4"/>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9.1</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9,280</w:t>
            </w:r>
          </w:p>
        </w:tc>
        <w:tc>
          <w:tcPr>
            <w:tcW w:w="34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8.36</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40" w:type="dxa"/>
            <w:vAlign w:val="bottom"/>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7.70</w:t>
            </w: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(26,988)</w:t>
            </w:r>
          </w:p>
        </w:tc>
        <w:tc>
          <w:tcPr>
            <w:tcW w:w="34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11.40</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FF0FC"/>
            </w:tcBorders>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Outstanding as of March 31, 2026 </w:t>
            </w:r>
            <w:r>
              <w:rPr>
                <w:rFonts w:ascii="Times New Roman" w:cs="Times New Roman" w:eastAsia="Times New Roman" w:hAnsi="Times New Roman"/>
                <w:sz w:val="24"/>
                <w:szCs w:val="24"/>
                <w:color w:val="auto"/>
                <w:vertAlign w:val="superscript"/>
              </w:rPr>
              <w:t>(2)</w:t>
            </w:r>
          </w:p>
        </w:tc>
        <w:tc>
          <w:tcPr>
            <w:tcW w:w="15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2,767,285</w:t>
            </w:r>
          </w:p>
        </w:tc>
        <w:tc>
          <w:tcPr>
            <w:tcW w:w="340" w:type="dxa"/>
            <w:vAlign w:val="bottom"/>
            <w:tcBorders>
              <w:bottom w:val="single" w:sz="8" w:color="CFF0FC"/>
            </w:tcBorders>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14.41</w:t>
            </w:r>
          </w:p>
        </w:tc>
        <w:tc>
          <w:tcPr>
            <w:tcW w:w="1220" w:type="dxa"/>
            <w:vAlign w:val="bottom"/>
            <w:tcBorders>
              <w:bottom w:val="single" w:sz="8" w:color="CFF0FC"/>
            </w:tcBorders>
            <w:gridSpan w:val="4"/>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8.9</w:t>
            </w:r>
          </w:p>
        </w:tc>
        <w:tc>
          <w:tcPr>
            <w:tcW w:w="2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60" w:type="dxa"/>
            <w:vAlign w:val="bottom"/>
          </w:tcPr>
          <w:p>
            <w:pPr>
              <w:spacing w:after="0" w:line="197" w:lineRule="exact"/>
              <w:rPr>
                <w:sz w:val="20"/>
                <w:szCs w:val="20"/>
                <w:color w:val="auto"/>
              </w:rPr>
            </w:pPr>
            <w:r>
              <w:rPr>
                <w:rFonts w:ascii="Times New Roman" w:cs="Times New Roman" w:eastAsia="Times New Roman" w:hAnsi="Times New Roman"/>
                <w:sz w:val="17"/>
                <w:szCs w:val="17"/>
                <w:color w:val="auto"/>
              </w:rPr>
              <w:t xml:space="preserve">Exercisable as of March 31, 2026 </w:t>
            </w:r>
            <w:r>
              <w:rPr>
                <w:rFonts w:ascii="Times New Roman" w:cs="Times New Roman" w:eastAsia="Times New Roman" w:hAnsi="Times New Roman"/>
                <w:sz w:val="22"/>
                <w:szCs w:val="22"/>
                <w:color w:val="auto"/>
                <w:vertAlign w:val="superscript"/>
              </w:rPr>
              <w:t>(2)</w:t>
            </w:r>
          </w:p>
        </w:tc>
        <w:tc>
          <w:tcPr>
            <w:tcW w:w="1540" w:type="dxa"/>
            <w:vAlign w:val="bottom"/>
            <w:tcBorders>
              <w:bottom w:val="single" w:sz="8" w:color="auto"/>
            </w:tcBorders>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726,042</w:t>
            </w:r>
          </w:p>
        </w:tc>
        <w:tc>
          <w:tcPr>
            <w:tcW w:w="340" w:type="dxa"/>
            <w:vAlign w:val="bottom"/>
            <w:gridSpan w:val="3"/>
          </w:tcPr>
          <w:p>
            <w:pPr>
              <w:jc w:val="right"/>
              <w:ind w:right="28"/>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7"/>
              <w:spacing w:after="0" w:line="196" w:lineRule="exact"/>
              <w:rPr>
                <w:sz w:val="20"/>
                <w:szCs w:val="20"/>
                <w:color w:val="auto"/>
              </w:rPr>
            </w:pPr>
            <w:r>
              <w:rPr>
                <w:rFonts w:ascii="Times New Roman" w:cs="Times New Roman" w:eastAsia="Times New Roman" w:hAnsi="Times New Roman"/>
                <w:sz w:val="18"/>
                <w:szCs w:val="18"/>
                <w:color w:val="auto"/>
              </w:rPr>
              <w:t>21.28</w:t>
            </w:r>
          </w:p>
        </w:tc>
        <w:tc>
          <w:tcPr>
            <w:tcW w:w="1220" w:type="dxa"/>
            <w:vAlign w:val="bottom"/>
            <w:gridSpan w:val="4"/>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-2039620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-2022475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-2039620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-2022475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-187960</wp:posOffset>
            </wp:positionV>
            <wp:extent cx="939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-170815</wp:posOffset>
            </wp:positionV>
            <wp:extent cx="93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83" w:lineRule="exact"/>
        <w:rPr>
          <w:sz w:val="20"/>
          <w:szCs w:val="20"/>
          <w:color w:val="auto"/>
        </w:rPr>
      </w:pPr>
    </w:p>
    <w:p>
      <w:pPr>
        <w:jc w:val="both"/>
        <w:ind w:left="380" w:hanging="372"/>
        <w:spacing w:after="0" w:line="266"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 as of the end of the period.</w:t>
      </w:r>
    </w:p>
    <w:p>
      <w:pPr>
        <w:spacing w:after="0" w:line="175"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exercise price per share of the options outstanding and exercisable as of March 31, 2026 includes the impact of the stock option repricing described below.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the Company had unrecognized stock-based compensation expense of $16.7 million related to stock options issued to employees and directors, including $9.8 million of unrecognized stock-based compensation expense related to awards with performance conditions for which the likelihood of satisfying such performance conditions are considered probable, which is expected to be recognized over a weighted-average period of 3.0 years.</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Using the Black-Scholes option pricing model, the weighted average fair value of options granted to employees and directors during the three months ended March 31, 2026 and 2025 was $6.82 per share and $10.36 per share, respectively. The following assumptions were used in determining the fair value of options granted during the three months ended March 31, 2026 and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3860" w:type="dxa"/>
            <w:vAlign w:val="bottom"/>
            <w:tcBorders>
              <w:bottom w:val="single" w:sz="8" w:color="auto"/>
            </w:tcBorders>
            <w:gridSpan w:val="3"/>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Borders>
              <w:bottom w:val="single" w:sz="8" w:color="auto"/>
            </w:tcBorders>
          </w:tcPr>
          <w:p>
            <w:pPr>
              <w:spacing w:after="0"/>
              <w:rPr>
                <w:sz w:val="15"/>
                <w:szCs w:val="15"/>
                <w:color w:val="auto"/>
              </w:rPr>
            </w:pPr>
          </w:p>
        </w:tc>
      </w:tr>
      <w:tr>
        <w:trPr>
          <w:trHeight w:val="196"/>
        </w:trPr>
        <w:tc>
          <w:tcPr>
            <w:tcW w:w="36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160" w:type="dxa"/>
            <w:vAlign w:val="bottom"/>
            <w:tcBorders>
              <w:bottom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7"/>
                <w:szCs w:val="17"/>
                <w:color w:val="auto"/>
              </w:rPr>
            </w:pPr>
          </w:p>
        </w:tc>
        <w:tc>
          <w:tcPr>
            <w:tcW w:w="15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7"/>
                <w:szCs w:val="17"/>
                <w:color w:val="auto"/>
              </w:rPr>
            </w:pPr>
          </w:p>
        </w:tc>
      </w:tr>
      <w:tr>
        <w:trPr>
          <w:trHeight w:val="21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4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3.6 - 3.8  %</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54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0  %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5420" w:type="dxa"/>
            <w:vAlign w:val="bottom"/>
            <w:gridSpan w:val="2"/>
            <w:shd w:val="clear" w:color="auto" w:fill="CFF0FC"/>
          </w:tcPr>
          <w:p>
            <w:pPr>
              <w:jc w:val="right"/>
              <w:ind w:right="428"/>
              <w:spacing w:after="0"/>
              <w:rPr>
                <w:sz w:val="20"/>
                <w:szCs w:val="20"/>
                <w:color w:val="auto"/>
              </w:rPr>
            </w:pPr>
            <w:r>
              <w:rPr>
                <w:rFonts w:ascii="Times New Roman" w:cs="Times New Roman" w:eastAsia="Times New Roman" w:hAnsi="Times New Roman"/>
                <w:sz w:val="18"/>
                <w:szCs w:val="18"/>
                <w:color w:val="auto"/>
              </w:rPr>
              <w:t>6.0 - 6.1</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6.0 - 6.1</w:t>
            </w:r>
          </w:p>
        </w:tc>
        <w:tc>
          <w:tcPr>
            <w:tcW w:w="460" w:type="dxa"/>
            <w:vAlign w:val="bottom"/>
            <w:shd w:val="clear" w:color="auto" w:fill="CFF0FC"/>
          </w:tcPr>
          <w:p>
            <w:pPr>
              <w:spacing w:after="0"/>
              <w:rPr>
                <w:sz w:val="18"/>
                <w:szCs w:val="18"/>
                <w:color w:val="auto"/>
              </w:rPr>
            </w:pP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4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102.3 - 103.3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94.5 - 95.6</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846"/>
        </w:trPr>
        <w:tc>
          <w:tcPr>
            <w:tcW w:w="3660" w:type="dxa"/>
            <w:vAlign w:val="bottom"/>
          </w:tcPr>
          <w:p>
            <w:pPr>
              <w:spacing w:after="0"/>
              <w:rPr>
                <w:sz w:val="24"/>
                <w:szCs w:val="24"/>
                <w:color w:val="auto"/>
              </w:rPr>
            </w:pPr>
          </w:p>
        </w:tc>
        <w:tc>
          <w:tcPr>
            <w:tcW w:w="326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23</w:t>
            </w:r>
          </w:p>
        </w:tc>
        <w:tc>
          <w:tcPr>
            <w:tcW w:w="2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249"/>
        </w:trPr>
        <w:tc>
          <w:tcPr>
            <w:tcW w:w="366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Repricing</w:t>
      </w:r>
    </w:p>
    <w:p>
      <w:pPr>
        <w:spacing w:after="0" w:line="1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October 2025, the Company's board of directors approved a stock option repricing (the “Option Repricing”), which was effective upon stockholder approval on November 21, 2025 (the “Repricing Date”). The Option Repricing applied to all outstanding options to purchase shares of common stock of the Company granted to employees under the Company’s 2020 Plan, 2021 Plan and 2022 Inducement Plan with an exercise price greater than $21.00 for members of the Company's executive team and $14.00 for all other employees (the “underwater options”) with grant dates prior to January 1, 2025 (the “Eligible Options”). The total number of shares of common stock underlying all Eligible Options was 354,200. Non-employee members of the Company’s board of directors were not eligible to participate in the Option Repricing. If such Eligible Options are exercised prior to the one-year anniversary of the Repricing Date (the "Retention Period"), the original exercise price must be paid.</w:t>
      </w:r>
    </w:p>
    <w:p>
      <w:pPr>
        <w:spacing w:after="0" w:line="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repricing of the Eligible Options was accounted for as a modification under ASC 718. Accordingly, the Company calculated incremental compensation cost on the modification date in an amount equal to the difference between the fair value of the awards before and after modification. The total amount of the incremental compensation expense to be recognized was determined to be $0.6 million, which is being recognized over the Retention Period.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 with Performance Conditions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determined that the Tranche 2, Tranche 3 and Tranche 4 Stock Options contain performance conditions for which the likelihood of satisfying each of the performance conditions is considered probable as of March 31, 2026.</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2026 and December 31, 2025, no Tranche 2 Stock Options were eligible to vest as there have been no exercises of Series A warrants to date. Based on the Series B warrants exercised during the year ended December 31, 2025, 412,043 Tranche 3 Stock Options became eligible to vest and will vest in three equal annual installments beginning on December 31, 2025. On December 31, 2025, 157,875 Tranche 3 Stock Options were cancelled in proportion to the respective amount of unexercised Series B warrants. The Series C warrants are cancellable to the extent Series B warrants are not exercised or cancelled due to the Company’s receipt of non-dilutive capital. Therefore, on December 31, 2025, 157,875 Tranche 4 Stock Options were cancelled in proportion to the respective amount of unexercised Series B warrants.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2024, the Company awarded 34,389 restricted stock units to certain employees of the Company. The restricted stock units vest in four equal annual installments beginning on the first anniversary of the grant date. The restricted stock units are generally forfeited if the individual’s service relationship with the Company or any subsidiary terminates prior to vesting.</w:t>
      </w:r>
    </w:p>
    <w:p>
      <w:pPr>
        <w:sectPr>
          <w:pgSz w:w="11900" w:h="16838" w:orient="portrait"/>
          <w:cols w:equalWidth="0" w:num="1">
            <w:col w:w="11240"/>
          </w:cols>
          <w:pgMar w:left="320" w:top="117"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restricted stock unit activity and related information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color w:val="auto"/>
        </w:rPr>
        <w:t>Vested</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as of March 31,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216"/>
        </w:trPr>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16"/>
        </w:trPr>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of Restricted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85"/>
        </w:trPr>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1"/>
        </w:trPr>
        <w:tc>
          <w:tcPr>
            <w:tcW w:w="13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23,866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7.70</w:t>
            </w:r>
          </w:p>
        </w:tc>
      </w:tr>
      <w:tr>
        <w:trPr>
          <w:trHeight w:val="216"/>
        </w:trPr>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(7,952)</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r>
      <w:tr>
        <w:trPr>
          <w:trHeight w:val="234"/>
        </w:trPr>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15,914</w:t>
            </w:r>
          </w:p>
        </w:tc>
        <w:tc>
          <w:tcPr>
            <w:tcW w:w="180" w:type="dxa"/>
            <w:vAlign w:val="bottom"/>
          </w:tcPr>
          <w:p>
            <w:pPr>
              <w:spacing w:after="0"/>
              <w:rPr>
                <w:sz w:val="18"/>
                <w:szCs w:val="18"/>
                <w:color w:val="auto"/>
              </w:rPr>
            </w:pP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r>
      <w:tr>
        <w:trPr>
          <w:trHeight w:val="20"/>
        </w:trPr>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60" w:space="720"/>
            <w:col w:w="3060"/>
          </w:cols>
          <w:pgMar w:left="320" w:top="117" w:right="339" w:bottom="1440" w:gutter="0" w:footer="0" w:header="0"/>
          <w:type w:val="continuous"/>
        </w:sectPr>
      </w:pPr>
    </w:p>
    <w:p>
      <w:pPr>
        <w:spacing w:after="0" w:line="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each of the three months ended March 31, 2026 and 2025, the Company recognized less than $0.1 million of stock-based compensation expense related to these awards. As of March 31, 2026, the Company had unrecognized stock-based compensation expense of $0.1 million related to these restricted stock units, which is expected to be recognized over 1.7 years.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Per Share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calculates basic net loss per share by dividing net loss by the weighted average number of shares of common stock outstanding. The weighted average number of shares of common stock used in the basic and diluted net loss per share calculation includes prefunded warrants to purchase common stock, as the prefunded warrants are exercisable at any time for nominal cash consideration. As of March 31, 2026, 1,059,743 prefunded warrants have been exercised for common stock and 13,307,918 prefunded warrants are outstanding.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outstanding shares of common stock equivalents, presented based on amounts outstanding at each period end, that were excluded from the calculation of diluted net loss per share for the periods indicated because including them would have been anti-dilutive:</w:t>
      </w:r>
    </w:p>
    <w:p>
      <w:pPr>
        <w:spacing w:after="0" w:line="223"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680" w:type="dxa"/>
            <w:vAlign w:val="bottom"/>
          </w:tcPr>
          <w:p>
            <w:pPr>
              <w:spacing w:after="0"/>
              <w:rPr>
                <w:sz w:val="12"/>
                <w:szCs w:val="12"/>
                <w:color w:val="auto"/>
              </w:rPr>
            </w:pPr>
          </w:p>
        </w:tc>
        <w:tc>
          <w:tcPr>
            <w:tcW w:w="1720" w:type="dxa"/>
            <w:vAlign w:val="bottom"/>
            <w:tcBorders>
              <w:top w:val="single" w:sz="8" w:color="auto"/>
              <w:bottom w:val="single" w:sz="8" w:color="auto"/>
            </w:tcBorders>
          </w:tcPr>
          <w:p>
            <w:pPr>
              <w:jc w:val="right"/>
              <w:ind w:right="69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2"/>
                <w:szCs w:val="12"/>
                <w:color w:val="auto"/>
              </w:rPr>
            </w:pPr>
          </w:p>
        </w:tc>
        <w:tc>
          <w:tcPr>
            <w:tcW w:w="1720" w:type="dxa"/>
            <w:vAlign w:val="bottom"/>
            <w:tcBorders>
              <w:top w:val="single" w:sz="8" w:color="auto"/>
              <w:bottom w:val="single" w:sz="8" w:color="auto"/>
            </w:tcBorders>
          </w:tcPr>
          <w:p>
            <w:pPr>
              <w:jc w:val="right"/>
              <w:ind w:right="6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7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15,914</w:t>
            </w:r>
          </w:p>
        </w:tc>
        <w:tc>
          <w:tcPr>
            <w:tcW w:w="184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23,866</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2,767,285</w:t>
            </w:r>
          </w:p>
        </w:tc>
        <w:tc>
          <w:tcPr>
            <w:tcW w:w="18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775,507</w:t>
            </w: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7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8,206,109</w:t>
            </w:r>
          </w:p>
        </w:tc>
        <w:tc>
          <w:tcPr>
            <w:tcW w:w="184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Unvested employee stock purchase plan shares</w:t>
            </w:r>
          </w:p>
        </w:tc>
        <w:tc>
          <w:tcPr>
            <w:tcW w:w="17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69,939</w:t>
            </w:r>
          </w:p>
        </w:tc>
        <w:tc>
          <w:tcPr>
            <w:tcW w:w="120" w:type="dxa"/>
            <w:vAlign w:val="bottom"/>
          </w:tcPr>
          <w:p>
            <w:pPr>
              <w:spacing w:after="0"/>
              <w:rPr>
                <w:sz w:val="18"/>
                <w:szCs w:val="18"/>
                <w:color w:val="auto"/>
              </w:rPr>
            </w:pPr>
          </w:p>
        </w:tc>
        <w:tc>
          <w:tcPr>
            <w:tcW w:w="17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3,250</w:t>
            </w:r>
          </w:p>
        </w:tc>
      </w:tr>
      <w:tr>
        <w:trPr>
          <w:trHeight w:val="250"/>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common stock equivalents</w:t>
            </w:r>
          </w:p>
        </w:tc>
        <w:tc>
          <w:tcPr>
            <w:tcW w:w="17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11,059,247</w:t>
            </w:r>
          </w:p>
        </w:tc>
        <w:tc>
          <w:tcPr>
            <w:tcW w:w="120" w:type="dxa"/>
            <w:vAlign w:val="bottom"/>
            <w:tcBorders>
              <w:bottom w:val="single" w:sz="8" w:color="CFF0FC"/>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802,811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consolidated financial statements and related notes appearing elsewhere in this Quarterly Report on Form 10-Q and in our Annual Report on Form 10-K for the year ended December 31, 2025.</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Some of the information contained in this discussion and analysis or set forth elsewhere in this Quarterly Report on Form 10-Q includes forward-looking statements that involve risks and uncertainties. As a result of many factors, including those factors set forth in the section entitled “Risk Factors” in Part II, Item 1A of this Quarterly Report on Form 10-Q, our actual results could differ materially from the results described in or implied by the forward-looking statements contained in the following discussion and analysis.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clinical-stage biotechnology company discovering and developing masked immuno-oncology, or I-O, therapies with the goal of significantly improving outcomes for people living with cancer. Leveraging our clinically-validated masking technology and capabilities, we are developing I-O therapies designed to selectively activate within the tumor microenvironment to achieve durable efficacy without the severe side effects associated with systemically active I-O agents. Our integrated biology and protein engineering approach enables us to design and develop highly potent, masked biologics that are activated, or unmasked, by tumor-specific proteases within the tumor microenvironment. We are currently advancing multiple programs in preclinical and clinical development, including masked multi-specifics, and our clinically-validated masking technology has enabled us to establish top-tier strategic partnerships, including with AbbVie Group Holdings Limited, or AbbVie, and Gilead Sciences, Inc., or Gilead.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Overview</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date, we have financed our operations primarily from proceeds raised through private placements of equity securities, sales of common stock in our initial public offering, or IPO, and through “at-the-market” offerings; the sale of prefunded warrants in our June 2025 and February 2026 follow-on offerings; the exercise of certain common stock warrants issued in connection with our June 2025 follow-on offering; development event payments under our co-funded clinical trial collaboration with F. Hoffmann-La Roche Ltd., or Roche; and upfront payments and milestone payments under our collaboration and license agreements with AbbVie and Gilead. All of our programs are in early clinical or preclinical development. As a result, we have not generated any revenue from product sales and do not expect to generate any revenue from product sales for at least the next several years, if at all. Our ability to generate product revenue sufficient to achieve profitability will depend heavily on the successful development and eventual commercialization of one or more of our product candidates, if approved. Because of the numerous risks and uncertainties associated with product development, we are unable to predict the timing or amount of increased expenses or when or if we will be able to achieve profitability. Even if we are able to generate revenue from product sales, we may not become profitable.</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including net losses of $9.5 million and $13.3 million for the three months ended March 31, 2026 and 2025, respectively, and a net loss of $35.0 million for the year ended December 31, 2025. As of March 31, 2026, we had an accumulated deficit of $428.3 million. We expect to continue to incur significant expenses and operating losses for the foreseeable future, particularly to the extent we:</w:t>
      </w:r>
    </w:p>
    <w:p>
      <w:pPr>
        <w:spacing w:after="0" w:line="68"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our current research programs and conduct additional research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current product candidates and any future product candidates we may develop into preclinical and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product candidates that successfully complete clinical trials,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expand, maintain, defend and enforce our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discover, validate and develop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manufacture increasing quantities of our current or future product candidates for use in preclinical studies, clinical trials and for any potential commercialization;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technologies or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to support current or future programs;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commercial and distribution infrastructure to commercialize products for which we may obtain marketing approval, if any;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current and future research, development and commercialization efforts and operations as a public company.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we will need substantial additional capital to support our continuing operations and pursue our strategy. As of March 31, 2026, we had cash and cash equivalents of $150.3 million. In the second quarter of 2026, we achieved a $6.0 million development milestone related to the collaboration agreement with AbbVie. Based on our current operating plans, we anticipate that our existing cash and cash equivalents as of March 31, 2026, together with the development milestone achieved under the AbbVie collaboration in the second quarter of 2026, will be sufficient to enable us to fund our operating expenses and capital expenditure requirements into early 2028. This estimate excludes any potential additional milestone payments, option-related fees or other contingent payments under our existing collaboration and partnership agreements with AbbVie and Gilead and excludes the potential receipt of up to $36.2 million in additional gross proceeds in the second half of 2026 if all outstanding Series C warrants are exercised at their current exercise price.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have based our estimates on assumptions that may prove to be wrong, and we could exhaust our available capital resources sooner than we anticipate. We expect our operating losses and negative operating cash flows to continue for the foreseeable future as we continue to advance our pipeline of novel, masked I-O molecules through preclinical and clinical development, maintain the infrastructure necessary to support these activities and continue to incur costs associated with operating as a public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not generated any revenue from the sale of products since inception and do not expect to generate any revenue from the sale of products for at least the next several years, if at all. If our development efforts for our current or future product candidates are successful and result in regulatory approval, we may generate revenue in the future from product sales. For the foreseeable future, we expect substantially all of our revenue, if any, would be generated from our collaboration and license agreements with AbbVie and Gilead. For more information on our collaboration, license and option agreement with AbbVie and our license agreement with Gilead, please see Note 6 to our condensed consolidated financial statements included elsewhere in this Quarterly Report on Form 10-Q.</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discovery efforts, research activities and development and testing of our programs and product candidates. These expenses include:</w:t>
      </w:r>
    </w:p>
    <w:p>
      <w:pPr>
        <w:spacing w:after="0" w:line="54" w:lineRule="exact"/>
        <w:rPr>
          <w:sz w:val="20"/>
          <w:szCs w:val="20"/>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bonuses, benefits and stock-based compensation expense for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with third-party contract development and manufacturing organizations, or CDMOs, to acquire, develop and manufacture materials for both preclinical studies and current or future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funding research performed by third parties that conduct research and development and preclinical activities on our behalf;</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with third-party contract research organizations, or CROs, and other third parties in connection with the conduct of our current or future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sponsored research agreements and outside consultants, including their fees and related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to maintain compliance with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for maintaining licenses and other amounts due under our third-party licensing agreements;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for the procurement of materials, laboratory supplies and non-capital equipment used in the research and development process;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amortization and other direct and allocated expenses, including rent, maintenance of facilities and other operating costs, incurred as a result of our research and development activities.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expense research and development costs as incurred. We recognize external development costs based on an evaluation of the progress to completion of specific deliverables using information provided to us by our vendors. Payments for these activities are based on the terms of the individual agreements, which may differ from the pattern of costs incurred, and are reflected in our condensed consolidated balance sheets as prepaid expenses or accrued research and development expenses. We record cost-sharing payments under our clinical trial collaboration with Roche as a reduction of research and development costs upon the achievement of each study development event specified in the clinical supply agreement. Nonrefundable advance payments for goods or services to be received in the future for use in research and development activities are capitalized as assets, even when there is no alternative future use for the research and development. The capitalized amounts are expensed as the related goods are delivered or the services are performed.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our personnel and infrastructure resources for our discovery efforts, including the advancement of our platform technology, developing programs and product candidates and managing external research efforts. A significant portion of our research and development costs have been, and will continue to be, external costs. We track these external costs, such as fees paid to CDMOs, CROs, preclinical study vendors and other third parties in connection with our manufacturing and manufacturing process development, clinical trials, preclinical studies and other research activities by program. Due to the number of ongoing programs and our ability to use resources across several projects, personnel-related expenses and indirect or shared operating costs incurred for our research and development programs are not recorded or maintained on a program-by-program basis.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remain approximately the same or will continue to increase for the foreseeable future as we advance our programs and our current or future product candidates into and through the development phase. We expect our discovery research efforts and our related personnel costs to remain consistent with historical levels. In addition, as we progress our most advanced product candidates in clinical development, we may incur additional expenses related to milestone and royalty payments payable to third parties with whom we have entered into, or may enter into license, acquisition, option or other agreements to acquire the rights to future products and product candidates. In the event we are unable to raise sufficient additional capital to fund our operations in the future, we may need to implement cost reduction strategies that seek to maintain our ability to continue the development of our most advanced product candidates in clinical development while otherwise reducing our overall research and development expenses.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this time, we cannot reasonably estimate or know the nature, timing and projected costs of the efforts that will be necessary to complete the development of, and obtain regulatory approval for, any of our product candidates or programs. This is due to the numerous risks and uncertainties associated with drug development, including the uncertainty of:</w:t>
      </w:r>
    </w:p>
    <w:p>
      <w:pPr>
        <w:spacing w:after="0" w:line="68"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costs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and maintain cost reduction strategies, as well as the timing of such cost reductions;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 appropriate safety profile for our product candidates with IND-enabling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research and development personnel;</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development of any additional product candidates we acquire or develop through collaborations, partnerships, licenses or similar transactions;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successful enrollment in and completion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clinical trials with safety, potency and purity profiles that are satisfactory to the U.S. Food and Drug Administration, or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of regulatory approvals from applicable regulatory authorities;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obtain regulatory approval for, and then successfully commercialize,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products,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acceptable safety profiles of the product candidates following approval, if any;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agreements with third-party manufacturers for clinical supply for our clinical trials and commercial manufacturing, if any of our product candidates are approved;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collaboration, license or other arrangement, including the terms and timing of any milestone payments thereunder, if any;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trade secret and other intellectual property protection and regulatory exclusivity for our product candidates if and when approved;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inflation and the imposition of new or revised global trade tariffs.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change in any of these variables with respect to the development of any of our product candidates would significantly change the costs, timing and viability associated with the development of that product candidate. We may never succeed in obtaining regulatory approval for any product candidate we may develop.</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including salaries, bonuses, benefits, recruiting and stock-based compensation, for personnel in our executive, finance, legal, business development, human resources and other administrative functions. General and administrative expenses also include legal fees relating to corporate matters; professional and consulting fees for accounting, auditing, tax, human resources and administrative consulting services; board of directors’ fees; insurance costs; and facility-related expenses, which include depreciation costs and other allocated expenses for rent, maintenance of facilities and other general administrative costs. These costs relate to the operation of the business and are in support of but separate from the research and development function and our individual development programs. Costs to secure and defend our intellectual property are expensed as incurred and are classified as general and administrative expenses.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remain consistent with historical levels as we maintain our infrastructure to support our research and development activities. We also expect to continue to incur significant expenses associated with operating as a public company, including increased costs for accounting, audit, legal, regulatory and tax-related services attributable to maintaining compliance with exchange listing standards and U.S. Securities and Exchange Commission, or SEC, requirements, directors’ and officers’ liability insurance costs and investor and public relations costs. We also expect to continue to incur additional expenses related to intellectual property as we file patent applications to protect intellectual property arising from our research and development activities. In the event we are unable to obtain sufficient additional capital in the future, we may need to implement cost reduction strategies that seek to reduce our general and administrative expenses while maintaining sufficient infrastructure to support our planned research and development activities and operations as a public company.</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Change in Fair Value of Common Stock Warrant Liabilities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 in fair value of common stock warrant liabilities consists of the change in the fair value of the common stock warrant liabilities from December 31, 2025 to March 31, 2026.</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net consists primarily of interest income earned from our cash and cash equivalents.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2026 and 2025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60" w:type="dxa"/>
            <w:vAlign w:val="bottom"/>
            <w:gridSpan w:val="4"/>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12,648</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2,930</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9,718</w:t>
            </w: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12,648</w:t>
            </w: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2,930</w:t>
            </w:r>
          </w:p>
        </w:tc>
        <w:tc>
          <w:tcPr>
            <w:tcW w:w="1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9,718</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19,832</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8,266</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11,566</w:t>
            </w: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6,928</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8,515</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0" w:type="dxa"/>
            <w:vAlign w:val="bottom"/>
          </w:tcPr>
          <w:p>
            <w:pPr>
              <w:spacing w:after="0"/>
              <w:rPr>
                <w:sz w:val="1"/>
                <w:szCs w:val="1"/>
                <w:color w:val="auto"/>
              </w:rPr>
            </w:pPr>
          </w:p>
        </w:tc>
      </w:tr>
      <w:tr>
        <w:trPr>
          <w:trHeight w:val="209"/>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26,760</w:t>
            </w: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16,781</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9,979</w:t>
            </w:r>
          </w:p>
        </w:tc>
        <w:tc>
          <w:tcPr>
            <w:tcW w:w="0" w:type="dxa"/>
            <w:vAlign w:val="bottom"/>
          </w:tcPr>
          <w:p>
            <w:pPr>
              <w:spacing w:after="0"/>
              <w:rPr>
                <w:sz w:val="1"/>
                <w:szCs w:val="1"/>
                <w:color w:val="auto"/>
              </w:rPr>
            </w:pPr>
          </w:p>
        </w:tc>
      </w:tr>
      <w:tr>
        <w:trPr>
          <w:trHeight w:val="210"/>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common stock warrant liabilities</w:t>
            </w:r>
          </w:p>
        </w:tc>
        <w:tc>
          <w:tcPr>
            <w:tcW w:w="30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3,300</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1,283</w:t>
            </w: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697</w:t>
            </w:r>
          </w:p>
        </w:tc>
        <w:tc>
          <w:tcPr>
            <w:tcW w:w="0" w:type="dxa"/>
            <w:vAlign w:val="bottom"/>
          </w:tcPr>
          <w:p>
            <w:pPr>
              <w:spacing w:after="0"/>
              <w:rPr>
                <w:sz w:val="1"/>
                <w:szCs w:val="1"/>
                <w:color w:val="auto"/>
              </w:rPr>
            </w:pPr>
          </w:p>
        </w:tc>
      </w:tr>
      <w:tr>
        <w:trPr>
          <w:trHeight w:val="209"/>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income, net</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4,583</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3,997</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(9,529)</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(13,265)</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3,736</w:t>
            </w: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-873760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-873760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-316230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-316230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and License Revenue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Collaboration and license revenue increased by $9.7 million from $2.9 million for the three months ended March 31, 2025 to $12.6 million for the three months ended March 31, 2026. The increase was due to an increase in collaboration and license revenue recognized under our collaboration and license agreements with AbbVie and Gilead.</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three months ended March 31, 2026 and 2025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238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XTX501</w:t>
            </w:r>
          </w:p>
        </w:tc>
        <w:tc>
          <w:tcPr>
            <w:tcW w:w="80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6,144</w:t>
            </w:r>
          </w:p>
        </w:tc>
        <w:tc>
          <w:tcPr>
            <w:tcW w:w="96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469</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5,675</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efarindodekin alfa</w:t>
            </w:r>
          </w:p>
        </w:tc>
        <w:tc>
          <w:tcPr>
            <w:tcW w:w="80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1,401</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vilastobart</w:t>
            </w:r>
          </w:p>
        </w:tc>
        <w:tc>
          <w:tcPr>
            <w:tcW w:w="80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1,084</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1,277</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Other early programs and indirect research and development</w:t>
            </w:r>
          </w:p>
        </w:tc>
        <w:tc>
          <w:tcPr>
            <w:tcW w:w="80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5,212</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2,785</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Personnel-related</w:t>
            </w:r>
          </w:p>
        </w:tc>
        <w:tc>
          <w:tcPr>
            <w:tcW w:w="8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5,991</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4,584</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1,407</w:t>
            </w:r>
          </w:p>
        </w:tc>
        <w:tc>
          <w:tcPr>
            <w:tcW w:w="0" w:type="dxa"/>
            <w:vAlign w:val="bottom"/>
          </w:tcPr>
          <w:p>
            <w:pPr>
              <w:spacing w:after="0"/>
              <w:rPr>
                <w:sz w:val="1"/>
                <w:szCs w:val="1"/>
                <w:color w:val="auto"/>
              </w:rPr>
            </w:pPr>
          </w:p>
        </w:tc>
      </w:tr>
      <w:tr>
        <w:trPr>
          <w:trHeight w:val="20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96"/>
              </w:rPr>
              <w:t>19,832</w:t>
            </w:r>
          </w:p>
        </w:tc>
        <w:tc>
          <w:tcPr>
            <w:tcW w:w="96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8,266</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11,566</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-170815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-170815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by $11.6 million from $8.3 million for the three months ended March 31, 2025 to $19.8 million for the three months ended March 31, 2026. The changes in research and development expenses were primarily due to the following:</w:t>
      </w:r>
    </w:p>
    <w:p>
      <w:pPr>
        <w:spacing w:after="0" w:line="54" w:lineRule="exact"/>
        <w:rPr>
          <w:sz w:val="20"/>
          <w:szCs w:val="20"/>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XTX501 costs increased by $5.7 million, primarily driven by an increase in manufacturing activities related to IND-enabling studies and preclinical development activities;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early programs and indirect research and development costs increased by $2.8 million, primarily driven by an increase in external expenses related to preclinical research and development activities, including costs related to our CLDN18.2 program, prostrate program and AbbVie collaboration;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802005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1020" w:hanging="503"/>
        <w:spacing w:after="0" w:line="258"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vilastobart costs increased by $1.3 million, primarily driven by a $2.0 million cost-sharing payment earned under our Roche clinical collaboration during the three months ended March 31, 2025, which we recorded as a reduction in research and development expenses and for which there was no corresponding cost-sharing payment during the three months ended March 31, 2026, partially offset by a $0.7 million decrease in clinical development activities related to our ongoing Phase 1/2 clinical trial evaluating vilastobart in combination with atezolizumab;</w:t>
      </w:r>
    </w:p>
    <w:p>
      <w:pPr>
        <w:spacing w:after="0" w:line="75"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costs increased by $1.4 million, primarily driven by a $1.0 million increase in salaries, bonuses and benefits due to higher research and development headcount, and a $0.4 million increase in stock-based compensation;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efarindodekin alfa costs increased by $0.4 million, primarily driven by an increase in clinical development activities related to our ongoing our Phase 2 clinical trial evaluating efarindodekin alfa as a monotherapy in patients with certain advanced solid tumors.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three months ended March 31, 2026 and 2025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238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Personnel-related</w:t>
            </w:r>
          </w:p>
        </w:tc>
        <w:tc>
          <w:tcPr>
            <w:tcW w:w="86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4,171</w:t>
            </w:r>
          </w:p>
        </w:tc>
        <w:tc>
          <w:tcPr>
            <w:tcW w:w="96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4,444</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and consulting fees</w:t>
            </w:r>
          </w:p>
        </w:tc>
        <w:tc>
          <w:tcPr>
            <w:tcW w:w="860" w:type="dxa"/>
            <w:vAlign w:val="bottom"/>
          </w:tcPr>
          <w:p>
            <w:pPr>
              <w:spacing w:after="0"/>
              <w:rPr>
                <w:sz w:val="18"/>
                <w:szCs w:val="18"/>
                <w:color w:val="auto"/>
              </w:rPr>
            </w:pPr>
          </w:p>
        </w:tc>
        <w:tc>
          <w:tcPr>
            <w:tcW w:w="5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1,997</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3,238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Facility-related and other general and administrative expenses</w:t>
            </w:r>
          </w:p>
        </w:tc>
        <w:tc>
          <w:tcPr>
            <w:tcW w:w="8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833</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6,928</w:t>
            </w:r>
          </w:p>
        </w:tc>
        <w:tc>
          <w:tcPr>
            <w:tcW w:w="96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8,515</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-170815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-170815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by $1.6 million from $8.5 million for the three months ended March 31, 2025 to $6.9 million for the three months ended March 31, 2026. The changes in general and administrative expenses were primarily due to the following:</w:t>
      </w:r>
    </w:p>
    <w:p>
      <w:pPr>
        <w:spacing w:after="0" w:line="54"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costs decreased by $0.3 million, primarily driven by a decrease in severance costs and discretionary bonus costs;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and consulting fees decreased by $1.2 million, primarily driven by a decrease in legal fees and other professional costs.</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Change in Fair Value of Common Stock Warrant Liabilities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fair value of common stock warrant liabilities for the three months ended March 31, 2026 was due to a gain of $3.3 million due to the decrease in the fair value of the common stock warrant liabilities between December 31, 2025 and March 31, 2026, which was primarily driven by a decrease in the price per share of our common stock.</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net, increased by $0.7 million from $0.6 million for the three months ended March 31, 2025 to $1.3 million for the three months ended March 31, 2026. The increase in other income, net was primarily due to an increase in interest income due to a higher average cash balance.</w:t>
      </w:r>
    </w:p>
    <w:p>
      <w:pPr>
        <w:spacing w:after="0" w:line="266" w:lineRule="exact"/>
        <w:rPr>
          <w:sz w:val="20"/>
          <w:szCs w:val="20"/>
          <w:color w:val="auto"/>
        </w:rPr>
      </w:pPr>
    </w:p>
    <w:p>
      <w:pPr>
        <w:jc w:val="center"/>
        <w:ind w:right="87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jc w:val="center"/>
        <w:ind w:right="870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and negative cash flows from operations. We have not yet commercialized any of our product candidates, which are in preclinical or early clinical development, and we do not expect to generate revenue from sales of any products for several years, if at all. To date, we have financed our operations primarily from proceeds raised through private placements of equity securities; sales of common stock in our IPO, and through “at-the-market” offerings; the sale of prefunded warrants in our June 2025 and February 2026 follow-on offerings; the exercise of certain common stock warrants issued in</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connection with our June 2025 follow-on offering; development event payments under our co-funded clinical trial collaboration with Roche; and upfront and milestone payments under our collaboration and license agreements with AbbVie and Gilead. All of our programs are in early clinical or preclinical development. As a result, we have not generated any revenue from product sales and do not expect to generate any revenue from product sales for at least the next several years, if at all. Our ability to generate product revenue sufficient to achieve profitability will depend heavily on the successful development and eventual commercialization of one or more of our product candidates, if approved. Because of the numerous risks and uncertainties associated with product development, we are unable to predict the timing or amount of increased expenses or when or if we will be able to achieve profitability. Even if we are able to generate revenue from product sales, we may not become profitable.</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 Program</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2025, we filed a universal shelf registration statement on Form S-3 with the SEC to register for sale up to $250.0 million of our common stock, preferred stock, debt securities, units and warrants, which we may issue and sell from time to time in one or more offerings, which became effective on May 8, 2025 (333-285703). In March 2025, we entered into a sales agreement with Leerink Partners, LLC, under which we could initially issue and sell shares of our common stock from time to time at an aggregate offering price of up to $50.0 million. In February 2026, we filed a prospectus supplement to our prospectus dated May 8, 2025 (333-285793) to reduce the amount of common stock we may offer and sell under the sales agreement to an aggregate offering price of up to $9.5 million.</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each period presented (in thousands):</w:t>
      </w:r>
    </w:p>
    <w:p>
      <w:pPr>
        <w:spacing w:after="0" w:line="219"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768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7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694"/>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w:t>
            </w:r>
          </w:p>
        </w:tc>
        <w:tc>
          <w:tcPr>
            <w:tcW w:w="9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980" w:type="dxa"/>
            <w:vAlign w:val="bottom"/>
          </w:tcPr>
          <w:p>
            <w:pPr>
              <w:jc w:val="right"/>
              <w:ind w:right="8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(22,343)</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28,978</w:t>
            </w: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9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9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35,707</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4,832</w:t>
            </w:r>
          </w:p>
        </w:tc>
      </w:tr>
      <w:tr>
        <w:trPr>
          <w:trHeight w:val="23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980" w:type="dxa"/>
            <w:vAlign w:val="bottom"/>
            <w:shd w:val="clear" w:color="auto" w:fill="CFF0FC"/>
          </w:tcPr>
          <w:p>
            <w:pPr>
              <w:jc w:val="right"/>
              <w:ind w:right="8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12,808</w:t>
            </w:r>
          </w:p>
        </w:tc>
        <w:tc>
          <w:tcPr>
            <w:tcW w:w="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33,788</w:t>
            </w:r>
          </w:p>
        </w:tc>
      </w:tr>
      <w:tr>
        <w:trPr>
          <w:trHeight w:val="20"/>
        </w:trPr>
        <w:tc>
          <w:tcPr>
            <w:tcW w:w="76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cash flows from operating activities are greatly influenced by our use of cash for operating expenses and working capital requirements to support our business. We have historically experienced negative cash flows from operating activities as we invested in research and development of our product candidates, including preclinical studies, clinical trials, manufacturing and manufacturing process development. The cash used in operating activities resulted primarily from our net losses adjusted for non-cash charges, which are generally due to stock-based compensation, depreciation and amortization, as well as changes in components of operating assets and liabilities, which are generally due to increased expenses and timing of vendor payments.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net cash used in operating activities of $22.3 million was primarily driven by net changes in operating assets and liabilities of $12.1 million, our net loss of $9.5 million and the $3.3 million gain recorded on the change in fair value of our common stock warrant liabilities, partially offset by $2.2 million of stock-based compensation expense and $0.3 million of depreciation and amortization expense.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net cash provided by operating activities of $29.0 million was primarily driven by changes in operating assets and liabilities of $40.2 million, which includes the $49.1 million recorded as deferred revenue in connection with our collaboration, license and option agreement and stock purchase agreement with AbbVie, and net non-cash expenses of $2.0 million, partially offset by our net loss of $13.3 million.</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and 2025, net cash used in investing activities consisted of purchases of property and equipment.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net cash provided by financing activities of $35.7 million primarily consisted of proceeds from the sale of prefunded warrants through a follow-on offering.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net cash provided by financing activities of $4.8 million consisted of proceeds from the sale and issuance of common stock to AbbVie in a private placement and proceeds from the sale and issuance of common stock through ATM offerings.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Capital Requirements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our future capital requirements to increase substantially over time in connection with our ongoing research and development activities, particularly as we advance our current and planned clinical development of our product candidates and maintain the research efforts and preclinical activities associated with our other existing programs and discovery platform. In addition, we expect to continue to incur additional costs associated with operating as a public company. As a result, we expect to incur substantial operating losses and negative operating cash flows for the foreseeable future.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certain services. We do not believe that inflation had a material effect on our condensed consolidated financial statements included elsewhere in this Quarterly Report on Form 10-Q. However, the United States has recently experienced historically high levels of inflation. If the inflation rate continues to increase it may affect our expenses, such as employee compensation and research and development charges due to, for example, increases in the costs of labor and supplies. Additionally, the biotechnology industry is subject to a competitive wage environment that may also increase our operating costs in the future.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31, 2026, we had cash and cash equivalents of $150.3 million. In the second quarter of 2026, we achieved a $6.0 million development milestone related to the collaboration agreement with AbbVie. Based on our current operating plans, we anticipate that our existing cash and cash equivalents as of March 31, 2026, together with the development milestone achieved under the AbbVie collaboration in the second quarter of 2026, will be sufficient to enable us to fund our operating expenses and capital expenditure requirements into early 2028. This estimate excludes any potential additional milestone payments, option-related fees or other contingent payments under our existing collaboration and partnership agreements with AbbVie and Gilead and excludes the potential receipt of up to $36.2 million in additional gross proceeds in the second half of 2026 if all outstanding Series C warrants are exercised at their current exercise price.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have based our estimates on assumptions that may prove to be wrong, and we could exhaust our available capital resources sooner than we anticipate. In addition, we expect our operating losses and negative operating cash flows to continue for the foreseeable future as we continue to advance our pipeline of novel, masked I-O molecules through preclinical and clinical development, maintain the infrastructure necessary to support these activities and continue to incur costs associated with operating as a public company.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product development, and because the extent to which we may enter into additional collaborations with third parties for the development of our product candidates is unknown, we may incorrectly estimate the timing and amounts of increased capital outlays and operating expenses associated with advancing the research and development of our product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both short-term and long-term, will depend on many factors, including, but not limited to:</w:t>
      </w:r>
    </w:p>
    <w:p>
      <w:pPr>
        <w:spacing w:after="0" w:line="117" w:lineRule="exact"/>
        <w:rPr>
          <w:sz w:val="20"/>
          <w:szCs w:val="20"/>
          <w:color w:val="auto"/>
        </w:rPr>
      </w:pPr>
    </w:p>
    <w:p>
      <w:pPr>
        <w:jc w:val="both"/>
        <w:ind w:left="10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 and development for our current and future product candidates, including our current and planned clinical trials for our clinical-stage product candidates, vilastobart and efarindodekin alfa, and ongoing preclinical development for our current and future product candidates;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collaboration and license agreements with AbbVie and Gilead;</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milestones, option-related fees and other contingent payments under our collaboration, license and option agreement with AbbVie for masked immunotherapies and our license agreement with Gilead for efarindodekin alfa, as well as the scope, costs and timing of our development obligations under these agreements;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receipt of up to $36.2 million in additional gross proceeds in the second half of 2026 if all of the outstanding Series C common stock warrants issued in connection with our June 2025 follow-on offering are exercised at their current exercise price of $10.50 per warrant;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additional capital in the future;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materials for use in preclinical studies, clinical trials and, for any product candidates for which we receive regulatory approval, if any, commercial supply;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and proprietary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may acquire or in-license other products, product candidates, technologies or intellectual property, as well as the terms of any such arrangements;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for any of our product candidates for which we receive regulatory approval;</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any product candidates for which we receive regulatory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inflation and the imposition of new or revised global trade tariffs;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maintaining our operations and continuing to operate as a public company.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 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revenues, if any, will be derived from sales of products that we do not expect to be commercially available for several years, if ever. Accordingly, we will need to obtain substantial additional capital to achieve our business objectives.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expectation with respect to our ability to fund our currently planned operations is based on estimates that are subject to various risks and uncertainties. Our operating plan may change as a result of many factors currently unknown to management and there can be no assurance that our current operating plan will be achieved in the time frame anticipated by us, and we may exhaust our available capital resources sooner than we expect.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Adequate additional capital may not be available to us on acceptable terms, or at all. Market volatility resulting from adverse changes in domestic and international fiscal, monetary and other policies and political relations, regional or global conflicts, uncertainty around global economic conditions, instability in the financial markets, current or future pandemics or other factors could also adversely impact our ability to access capital as and when needed. To the extent that we raise additional capital through the sale of equity or securities convertible into or exchangeable for equity, the ownership interest of our existing stockholders may be diluted, and the terms of such securities may include liquidation or other preferences that adversely affect the rights of our existing stockholders. Additional debt and preferred equity, if available, may also involve agreements that include covenants limiting or restricting our ability to take specific actions, such as incurring additional debt, making capital expenditures or declaring dividends and may require that we issue additional warrants, which could potentially dilute the ownership interest of our existing stockholders.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there have been no material changes to our contractual obligations as reported in our Annual Report on Form 10-K for the year ended December 31,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management’s discussion and analysis of our financial condition and results of operations is based on our condensed consolidated financial statements, which have been prepared in accordance with generally accepted accounting principles in the United States. The preparation of these condensed consolidated financial statements requires us to make estimates and assumptions that affect the reported amounts of assets and liabilities and the disclosure of contingent assets and liabilities as of the date of the condensed consolidated financial statements, as well as the reported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Except as described in Note 2, </w:t>
      </w:r>
      <w:r>
        <w:rPr>
          <w:rFonts w:ascii="Times New Roman" w:cs="Times New Roman" w:eastAsia="Times New Roman" w:hAnsi="Times New Roman"/>
          <w:sz w:val="18"/>
          <w:szCs w:val="18"/>
          <w:i w:val="1"/>
          <w:iCs w:val="1"/>
          <w:color w:val="auto"/>
        </w:rPr>
        <w:t>Summary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Significant Accounting Policies, </w:t>
      </w:r>
      <w:r>
        <w:rPr>
          <w:rFonts w:ascii="Times New Roman" w:cs="Times New Roman" w:eastAsia="Times New Roman" w:hAnsi="Times New Roman"/>
          <w:sz w:val="18"/>
          <w:szCs w:val="18"/>
          <w:color w:val="auto"/>
        </w:rPr>
        <w:t>to our condensed consolidated financial statements included in this Quarterly Report on Form 10-Q, there have been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to our critical accounting policies appearing in our Annual Report on Form 10-K for the year ended December 31, 2025.</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an emerging growth company, or EGC, under the Jumpstart Our Business Startups Act of 2012, or JOBS Act, we may delay the adoption of certain accounting standards until such time as those standards apply to private companies. Other exemptions and reduced reporting requirements under the JOBS Act for EGCs include presentation of only two years of audited financial statements in a registration statement for an IPO, an exemption from the requirement to provide an auditor’s report on internal controls over financial reporting pursuant to Section 404(b) of the Sarbanes-Oxley Act of 2002, an exemption from any requirement that may be adopted by the Public Company Accounting Oversight Board regarding mandatory audit firm rotation, and less extensive disclosure about our executive compensation arrangements.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JOBS Act provides that an EGC can take advantage of an extended transition period for complying with new or revised accounting standards. This provision allows an EGC to delay the adoption of some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can adopt the new or revised standard at the time private companies adopt the new or revised standard and may do so until such time that we either (1) irrevocably elect to “opt out” of such extended transition period or (2) no longer qualify as an emerging growth company. As a result, our financial statements may not be comparable to companies that comply with new or revised accounting pronouncements as of public company effective dates. We expect to remain classified as an EGC until December 31, 2026.</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a “smaller reporting company,” as defined in the Securities Exchange Act of 1934, as amended, or the Exchange Act. We may continue to be a smaller reporting company even after we are no longer an EGC, in which case we may continue to rely on exemptions from certain disclosure requirements that are available to smaller reporting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under this item.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chief executive officer (our principal executive officer) and our chief financial and operating officer (our principal financial officer) evaluated the effectiveness of our disclosure controls and procedures as of March 31, 2026. Based upon such evaluation, our principal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executive officer and principal financial officer have concluded that, as of March 31, 2026, our disclosure controls and procedures were effective at a reasonable assurance level.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period covered by this Quarterly Report on Form 10-Q that materially affected, or are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information sets forth risk factors that could cause our actual results to differ materially from those contained in forward-looking statements we have made in this Quarterly Report on Form 10-Q and those we may make from time to time. You should carefully consider the risks described below, in addition to the other information contained in this Quarterly Report on Form 10-Q and our other public filings. Our business, financial condition or results of operations could be harmed by any of these risks. The risks and uncertainties described below are not the only ones we face. Additional risks not presently known to us or other factors not perceived by us to present significant risks to our business at this time also may impair our business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Capital Requirements</w:t>
      </w:r>
    </w:p>
    <w:p>
      <w:pPr>
        <w:spacing w:after="0" w:line="22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obtain substantial additional capital in the future to finance our operations and complete the development of any current or future product candidates.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March 31, 2026, we had cash and cash equivalents of $150.3 million. In the second quarter of 2026, we achieved a $6.0 million development milestone related to the collaboration agreement with AbbVie Group Holdings Limited, or AbbVie. Based on our current operating plans, we anticipate that our existing cash and cash equivalents as of March 31, 2026, together with the development milestone achieved under the AbbVie collaboration in the second quarter of 2026, will be sufficient to enable us to fund our operating expenses and capital expenditure requirements into early 2028. This estimate excludes any potential additional milestone payments, option-related fees or other contingent payments under our existing collaboration and partnership agreements with AbbVie and Gilead Sciences, Inc., or Gilead, and excludes the potential receipt of up to $36.2 million in additional gross proceeds in the second half of 2026 if all outstanding Series C warrants are exercised at their current exercise price. In addition, we have based our estimates on assumptions that may prove to be wrong, and we could exhaust our available capital resources sooner than we anticipate and may need to seek additional capital sooner than anticipated.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both short-term and long-term, will depend on many factors, including, but not limited to:</w:t>
      </w:r>
    </w:p>
    <w:p>
      <w:pPr>
        <w:spacing w:after="0" w:line="117" w:lineRule="exact"/>
        <w:rPr>
          <w:sz w:val="20"/>
          <w:szCs w:val="20"/>
          <w:color w:val="auto"/>
        </w:rPr>
      </w:pPr>
    </w:p>
    <w:p>
      <w:pPr>
        <w:jc w:val="both"/>
        <w:ind w:left="10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 and development for our current and future product candidates, including our current and planned clinical trials for our clinical-stage product candidates, vilastobart and efarindodekin alfa, and ongoing preclinical development for our current and future product candidates;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collaboration and license agreements with AbbVie and Gilead;</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milestones, option-related fees and other contingent payments under our collaboration, license and option agreement with AbbVie for masked immunotherapies and our license agreement with Gilead for efarindodekin alfa, as well as the scope, costs and timing of our development obligations under these agreements;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receipt of up to $36.2 million in additional gross proceeds in the second half of 2026 if all of the outstanding Series C common stock warrants issued in connection with our June 2025 follow-on offering are exercised at their current exercise price of $10.50 per warrant;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additional capital in the future;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materials for use in preclinical studies, clinical trials and, for any product candidates for which we receive regulatory approval, if any, commercial supply;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and proprietary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may acquire or in-license other products, product candidates, technologies or intellectual property, as well as the terms of any such arrangements;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costs, timing and outcome of regulatory review of our product candidates;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for any of our product candidates for which we receive regulatory approval;</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any product candidates for which we receive regulatory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inflation and the imposition of new or revised global trade tariffs;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maintaining our operations and continuing to operate as a public company.</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existing cash and cash equivalents will not be sufficient to complete development of any current or future product candidates, and we will require additional capital in the future to sustain our operations. We currently do not have any committed external sources of funds and will be required to obtain further funding in the future through public or private equity offerings, debt, collaborations, licensing arrangements, the conversion of common stock warrants for cash, or other sources. However, adequate additional capital may not be available to us in the future on acceptable terms, or at all. In addition, our ability to raise additional capital may be adversely impacted by potential worsening economic conditions, both inside and outside the United States, including without limitation heightened inflation, capital market volatility, interest rate and currency rate fluctuations, any potential economic slowdown or recession, future pandemics, geopolitical tensions, including trade wars or civil or political unrest, or wars or other armed conflicts. Our failure to raise additional capital in the future as and when needed to support our operations would have a material adverse effect on our financial condition, our ability to develop and commercialize our current and any future product candidates or otherwise pursue our business strategy.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our inception and expect to incur significant losses for the foreseeable future.</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including net losses of $9.5 million and $13.3 million for the three months ended March 31, 2026 and 2025, respectively and $35.0 million for the year ended December 31, 2025. As of March 31, 2026, we had an accumulated deficit of $428.3 million. We expect our operating losses and negative operating cash flows to continue for the foreseeable future as we continue to advance our pipeline of novel, masked immuno-oncology, or I-O, molecules through preclinical and clinical development, maintain the infrastructure necessary to support these activities and continue to incur costs associated with operating as a public company. We do not expect to generate any revenue from the sale of products for a number of years, if at all, and any such revenue will not be realized unless and until we obtain marketing approval for and successfully launch and commercialize a product candidate. If we obtain marketing approval for any current or future product candidates that we develop, we expect to incur significant commercialization expenses related to product sales, marketing, distribution and manufacturing. Some of these expenses may be incurred in advance of marketing approval and could be substantial.</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date, we have financed our operations primarily from proceeds raised through private placements of equity securities; sales of common stock in our initial public offering, or IPO, and through “at-the-market” offerings; the sale of prefunded warrants in our June 2025 and February 2026 follow-on offerings; the exercise of certain common stock warrants issued in connection with our June 2025 follow-on offering; development event payments under our co-funded clinical trial collaboration with F. Hoffmann-La Roche Ltd, or Roche; and upfront and milestone payments under our collaboration and license agreements with AbbVie and Gilead. All of our programs are in clinical or preclinical development. As a result, we have not generated any revenue from product sales and do not expect to generate any revenue from product sales for at least the next several years, if at all.</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expect our operating losses and negative operating cash flows to continue for the foreseeable future as we continue to advance our pipeline of novel, masked I-O molecules through development. Our operating expenses and net losses may fluctuate significantly from quarter to quarter and year to year, and we expect to continue to incur significant expenses and operating losses for the foreseeable future, particularly to the extent we:</w:t>
      </w:r>
    </w:p>
    <w:p>
      <w:pPr>
        <w:spacing w:after="0" w:line="68"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our current research programs and conduct additional research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current product candidates and any future product candidates we may develop into preclinical and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product candidates that successfully complete clinical trials,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expand, maintain, defend and enforce our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discover, validate and develop additional product candidates;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manufacture increasing quantities of our current or future product candidates for use in preclinical studies, clinical trials and for any potential commercialization;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technologies or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to support current or future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commercial and distribution infrastructure to commercialize products for which we may obtain marketing approval, if any;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current and future research, development and commercialization efforts and operations as a public company.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if we successfully complete clinical trials and obtain regulatory approval for one or more of our product candidates, our ability to generate product revenue sufficient to achieve profitability will depend heavily on the successful commercialization of those product candidates. Because of the numerous risks and uncertainties associated with product development, we are unable to predict the timing or amount of increased expenses or when or if we will be able to achieve profitability. In addition, even if we are able to generate revenue from product sales, we may not become profitable.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in the future may cause dilution to our stockholders, restrict our operations or require us to relinquish rights to product candidates or our technology. In addition, the issuance of shares of common stock upon the exercise of our outstanding prefunded warrants or common stock warrants will result in immediate and substantial dilution to our existing stockholders.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Unless and until we can generate a substantial amount of product revenue, we expect to seek additional capital through a combination of public or private equity offerings, debt, collaborations, licensing arrangements or other sources. Our issuance of additional securities, whether equity or debt, or the possibility of such issuance, may cause the market price of our common stock to decline, and our stockholders may not agree with our plans for additional capital or the terms of such capital. To the extent that we raise additional capital through the sale of equity or convertible debt securities, our stockholders’ ownership interest will be diluted, and the terms of these securities may include liquidation or other preferences that adversely affect the rights of our existing stockholders. In addition, the issuance of shares of common stock upon the exercise of our outstanding prefunded warrants or common stock warrants will result in immediate and substantial dilution to our existing stockholders. Similarly, if we issue additional shares of our common stock in one or more public or private offerings in the future, our existing stockholders will suffer further dilution. In addition, as a condition to providing additional funds to us, Gilead and AbbVie received rights superior to those of existing stockholders, and in connection with the issuance of prefunded warrants and common stock warrants in June 2025, we agreed to specified restrictions on our future equity issuances, unless we obtain the requisite prior approval of the warrant holders. Future investors may similarly receive rights that are superior to those of existing investors or which place restrictions on our future equity issuances. In addition, the incurrence of any indebtedness would result in additional payment obligations and is likely to involve restrictive covenants limiting our flexibility in conducting future business activities, and, in the event of insolvency, would be repaid before holders of our equity securities received any distribution of our corporate assets. Further, in raising funds through our collaborations and licensing arrangements with third parties, we have had to, and may in the future need to, relinquish valuable rights, partially or fully, to our technologies, future revenue streams, research programs or product candidates and grant licenses on terms unfavorable to us. In addition, securing additional capital would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 products approved for commercial sale and have not generated any revenue from product sales. We may never generate any revenue from product sales or become profitable and, if we achieve profitability, we may not be able to sustain it.</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We do not expect to generate any revenue from the sale of products for a number of years, and we may never generate revenue from the sale of products. Our ability to generate revenue from product sales depends on a number of factors, including our ability to:</w:t>
      </w:r>
    </w:p>
    <w:p>
      <w:pPr>
        <w:spacing w:after="0" w:line="68"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our ongoing and planned preclinical studies and clinical trials for any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receive U.S. Food and Drug Administration, or FDA, clearance for any investigational new drug application, or IND, for any current or future product candidates;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initiate and complete clinical trials for our clinical-stage product candidates and any other current or future product candidates, including all safety and efficacy studies necessary to obtain U.S. and foreign regulatory approval for our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clinical and commercial manufacturing capabilities or make arrangements with third-party manufacturers for clinical supply and commercial manufacturing;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commercial sales of our products,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acceptance of the products,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compete with other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healthcare coverage and adequate reimbursement for our products, if and when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continued acceptable safety profile of our products following approval;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and defend intellectual property rights and claims.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biopharmaceutical product development, we are unable to accurately predict the timing or amount of expenses we may incur in connection with these activities prior to generating revenue from product sales. In addition, we may never succeed in these activities, and, even if we do, we may never generate revenues that are significant enough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candidates or even continue our operations. A decline in the value of our company could also cause our stockholders to lose all or part of their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an investor to evaluate the success of our business to date and to assess our future viability.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clinical-stage biotechnology company with a limited operating history upon which investors can evaluate our business and prospects. Since inception, we have devoted substantially all of our financial resources and efforts to performing research and development activities. Our approach to the discovery and development of masked I-O product candidates using our proprietary platform technology is unproven, and we do not know whether we will be able to develop any approved products of commercial value. In addition, each of our product candidates is either in early clinical or preclinical development, and all of our other development programs are still in discovery stages. We have not yet demonstrated an ability to successfully complete any late-stage clinical trials, obtain regulatory approvals, manufacture a commercial-scale product, or arrange for a third party to do so on our behalf, or conduct the sales and marketing activities necessary for successful product commercialization. Consequently, any predictions made about our future success or viability may not be as accurate as they could be if we had a history of successfully developing and commercializing biopharmaceutical products.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incurred substantial losses during our history. As of December 31, 2025, we had federal and state net operating loss, or NOL, carryforwards of $263.5 million and $234.6 million, respectively. We do not anticipate generating revenue from sales of products for the foreseeable future, if ever, and we do not know whether or when we will generate taxable income necessary to utilize our NOLs.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general, under Sections 382 and 383 of the Internal Revenue Code of 1986, as amended, or the Code, and corresponding provisions of state law, if a corporation undergoes an “ownership change” (generally defined as a greater than 50 percentage point change (by value) in the ownership of its equity by certain stockholders over a three-year period), the corporation’s ability to use its pre-change NOL carryforwards and other pre-change tax attributes to offset its post-change income is subject to limitations. We have experienced ownership changes as defined by Sections 382 and 383 of the Code. As a result of these changes and any future ownership changes, if we earn net taxable income, our ability to use our pre-change NOL carryforwards and other pre-change tax attributes to offset such taxable income may be subject to limitations, which could result in increased future tax liability to us and could have an adverse effect on our future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also a risk that due to regulatory changes, such as suspensions on the use of NOLs, or other unforeseen reasons, our existing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NOLs could expire or otherwise become unavailable to offset future income tax liabilities. As described below in “Risks Related to Ownership of Our Common Stock—Changes in tax laws or in their implementation or interpretation may adversely affect our business and financial condition,” the Tax Cuts and Jobs Act of 2017, or the Tax Act, as amended by the Coronavirus Aid, Relief, and Economic Security Act, or the CARES Act, includes changes to U.S. federal tax rates and the rules governing NOL carryforwards that may significantly impact our ability to utilize our NOLs to offset taxable income in the future. In addition, state NOLs generated in one state cannot be used to offset income generated in another state. For these reasons, even if we attain profitability, we may be unable to use a material portion of our NOLs and other tax attributes.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Product Candidates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on the success of our current product candidates, which are in the early stages of development and will require significant additional preclinical and clinical development before we can seek regulatory approval for and commercially launch a product.</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and future success is highly dependent on our ability to obtain regulatory approval for, and if approved, successfully launch and commercialize, our current product candidates, including our clinical-stage, masked I-O product candidates: vilastobart and efarindodekin alfa. We are currently evaluating vilastobart in combination with atezolizumab (Tecentriq®) in an ongoing Phase 2 clinical trial in patients with microsatellite stable, or MSS, metastatic colorectal cancer, or mCRC, and we are currently evaluating efarindodekin alfa as a monotherapy in an ongoing Phase 2 clinical trial in patients with certain advanced solid tumors. We also have a portfolio of programs that are in earlier stages of development and may never advance to clinical-stage development, including XTX501, our bispecific PD-1/masked IL-2, which is designed to selectively stimulate PD-1 positive antigen-experienced T cells and enhance their function and is currently advancing in initial IND-enabling activities, and our wholly-owned preclinical programs for a multi-specific masked T cell engager targeting prostate-specific membrane antigen, or PSMA, and six-transmembrane epithelial antigen of prostate 1, or STEAP1, and a masked T cell engager targeting claudin 18.2, or CLDN18.2, as well as an additional masked T cell engager program in collaboration with AbbVie.</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Commencing clinical trials in the U.S. is subject to acceptance by the FDA of an IND and finalizing the trial design based on discussions with the FDA and other regulatory authorities. In the event that the FDA requires us to complete additional preclinical studies, or we are required to satisfy other FDA requests prior to commencing clinical trials, the start of our clinical trials may be delayed. Even after we receive and incorporate guidance from these regulatory authorities, the FDA or other regulatory authorities could disagree that we have satisfied their requirements to commence any clinical trial or change their position on the acceptability of our trial design or the clinical endpoints selected, which may require us to complete additional preclinical studies or clinical trials or impose stricter approval conditions than we currently expect. There are equivalent processes and risks applicable to clinical trial applications in other countries, including countries in the European Union, or EU.</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date, we have only had limited interactions with the FDA regarding our clinical development plans. We may experience issues surrounding preliminary trial execution, such as delays in FDA acceptance of any future INDs, revisions in trial design and finalization of trial protocols, difficulties with patient recruitment and enrollment, quality and provision of clinical supplies, or early safety signals.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not permitted to market any biological product in the U.S. until we receive approval of a Biologics License Application, or BLA, from the FDA. We have not previously submitted a BLA to the FDA, or similar marketing application to comparable foreign regulatory authorities. A BLA must include extensive preclinical and clinical data and supporting information to establish that the product candidate is safe, pure and potent for each desired indication. A BLA must also include significant information regarding the chemistry, manufacturing and controls for the product, and the manufacturing facilities must complete a successful pre-license inspection.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FDA approval of a BLA is not guaranteed, and the review and approval process is expensive, uncertain and may take several years. The FDA also has substantial discretion in the approval process. The number and types of preclinical studies and clinical trials that will be required for BLA approval varies depending on the product candidate, the disease or the condition that the product candidate is designed to treat and the regulations applicable to any particular product candidate. Despite the time and expense associated with preclinical studies and clinical trials, failure can occur at any stage.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 that we develop based on the completed clinical trials.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Generally, public concern regarding the safety of biopharmaceutical products could delay or limit our ability to obtain regulatory approval, result in the inclusion of unfavorable information in our labeling or require us to undertake other activities that may entail additional costs. We have not obtained FDA approval for any product. This lack of experience may impede our ability to obtain FDA approval in a timely manner, if at all, for any current or future product candidates.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success of our business, including our ability to finance our company and generate any revenue in the future, will primarily depend on the successful development, regulatory approval and commercialization of our current and any future product candidates, which may never occur. However, given our early stage of development, it will be years before we are able to demonstrate the safety and efficacy of a treatment sufficient to warrant approval for commercialization, and we may never be able to do so. If we are unable to develop, or obtain regulatory approval for, or, if approved, successfully commercialize our current or any future product candidates, we may not be able to generate sufficient revenue to continue our business.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Preclinical development is uncertain. Our preclinical programs may experience delays or may never advance to clinical trials, which would adversely affect our ability to obtain regulatory approvals or commercialize these programs on a timely basis or at all, which would have an adverse effect on our business.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our product candidates are still in the early clinical stage or preclinical stage of development, and their risk of failure is high. Before we can commence clinical trials for a product candidate, we must complete extensive preclinical testing and studies that support our planned INDs in the U.S., or similar applications in other jurisdictions. We cannot be certain of the timely completion or outcome of our preclinical testing and studies, and we cannot predict if the FDA or other regulatory authorities will accept our proposed clinical programs or if the outcome of our preclinical testing and studies will ultimately support the further development of our programs. As a result, we cannot be sure that we will be able to submit INDs or similar applications for our current or future preclinical programs, including without limitation, the planned IND for XTX501, on the timelines we expect, if at all, and we cannot be sure that submission of INDs or similar applications will result in the FDA or other regulatory authorities allowing clinical trials to begin.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and clinical trials are expensive, time-consuming and difficult to design and implement, and involve uncertain outcomes.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Furthermore, results of earlier preclinical studies and clinical trials may not be predictive of results of future preclinical studies or clinical trials.</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risk of failure for our current and any future product candidates is high. It is impossible to predict when or if any of our product candidates will successfully complete preclinical studies or clinical trials evaluating their safety and effectiveness in humans or will ultimately receive regulatory approval. To obtain the requisite regulatory approvals to market and sell any of our product candidates, we must demonstrate through extensive preclinical studies and clinical trials that our product candidates are safe and effective in humans for use in each target indication. Preclinical and clinical testing is expensive and can take many years to complete, and the outcome is inherently uncertain. Failure can occur at any time during the preclinical or clinical trial process. The outcome of preclinical testing and early clinical trials may not be predictive of the results of later clinical trials, and interim results of a clinical trial do not necessarily predict final results. In particular, while we have conducted certain preclinical studies for each of our clinical stage product candidates, we do not know whether these product candidates will perform in our clinical trials as they have performed in these prior preclinical studies. Similarly, there can be no assurance that early, interim or preliminary clinical data or results will be predictive of or replicated in future clinical data or results, including without limitation, data reported to date for our Phase 1/2 trial for vilastobart in combination with atezolizumab and our Phase 1 trial for efarindodekin alfa. Many companies in the biopharmaceutical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or AEs.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or efficacy results between different clinical trials of the same product candidate due to numerous factors, including changes in clinical trial procedures set forth in protocols, differences in the size and type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the patient populations, adherence to the dosing regimen and other clinical trial protocols, and the rate of dropout among clinical trial participants. If we fail to produce positive results in our planned and ongoing preclinical studies or clinical trials, or if we experience material changes in clinical data or results from those we have previously reported, the development timeline and regulatory approval and commercialization prospects for our product candidates, and, correspondingly, our business, financial condition and results of operations would be materially and adversely affected.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encounter substantial delays in the commencement or completion, or termination or suspension, of our clinical trials, which could result in increased costs to us, delay or limit our ability to generate revenue and adversely affect our commercial prospects.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conduct extensive clinical trials to demonstrate the safety and efficacy of the product candidate for its intended indications. We cannot guarantee that any clinical trials, including our ongoing Phase 2 clinical trial evaluating vilastobart in combination with atezolizumab or our Phase 2 clinical trial evaluating efarindodekin alfa as a monotherapy, will be conducted as planned or completed on schedule, if at all. We may experience numerous unforeseen events leading up to, during or as a result of clinical trials that could delay or prevent the initiation or completion of a clinical trial or our ability to receive marketing approval or commercialize our product candidates, including:</w:t>
      </w:r>
    </w:p>
    <w:p>
      <w:pPr>
        <w:spacing w:after="0" w:line="77" w:lineRule="exact"/>
        <w:rPr>
          <w:sz w:val="20"/>
          <w:szCs w:val="20"/>
          <w:color w:val="auto"/>
        </w:rPr>
      </w:pPr>
    </w:p>
    <w:p>
      <w:pPr>
        <w:ind w:left="1020" w:hanging="503"/>
        <w:spacing w:after="0" w:line="284"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may be unable to generate sufficient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obtain regulatory authorizations to commence a clinical trial;</w:t>
      </w:r>
    </w:p>
    <w:p>
      <w:pPr>
        <w:spacing w:after="0" w:line="5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issues in reaching a consensus with regulatory authorities on trial design;</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or IRBs, or ethics committees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 prospective contract research organizations, or CROs, the terms of which can be subject to extensive negotiation and may vary significantly among different CROs and trial sites;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may deviate from a trial protocol or drop out of a trial or fail to conduct the trial in accordance with regulatory requirements;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required for clinical trials of our product candidates may be larger than we anticipate, or subjects may fail to enroll or remain in clinical trials at the rate we expect;</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that enroll in our studies may misrepresent their eligibility or may otherwise not comply with the clinical trial protocol, resulting in the need to drop the subject from the trial, increase the needed enrollment size for the clinical trial or extend its duration;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may choose an alternative treatment for the indication for which we are developing our product candidates, or participate in competing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may experience severe or unexpected treatment-related adverse effects;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unfavorable, inconclusive, or clinically insignificant results;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or regulators, or IRBs, or ethics committees may require us to, make changes to a clinical trial protocol or conduct additional preclinical studies or clinical trials, or we may decide to abandon product development programs;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add new or additional clinical trial sites;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including those manufacturing our product candidates or conducting clinical trials on our behalf,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manufacturing delays, and any changes to manufacturing processes or third-party contractors that may be necessary or desired could result in other delays;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third-party contractors may experience delays due to complications resulting from the impact of public health crises, including epidemics and pandemics, or geopolitical tensions;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preclinical testing and studies and clinical trials of any product candidates may be greater than we anticipate or greater than our available financial resources;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102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 or we may not be able to obtain sufficient quantities of combination therapies for use in current or future clinical trials;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may arise from preclinical or clinical testing of other cancer therapies that raise safety or efficacy concerns about our product candidates;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anticipate.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the clinical trials and testing that we contemplate, if we are unable to successfully complete clinical trials or other testing of our product candidates, if the results of these clinical trials or tests are unfavorable or are only modestly favorable or if there are safety concerns associated with any of product candidates, we may:</w:t>
      </w:r>
    </w:p>
    <w:p>
      <w:pPr>
        <w:spacing w:after="0" w:line="68"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unplanned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suspend or terminate ongoing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if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or other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perform additional clinical trials to support approval;</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drug or impose restrictions on its distribution in the form of a modified risk evaluation and mitigation strategy, or REMS;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the addition of labeling statements, such as warnings or contraindications;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lawsuits;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damage to our reputation.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Conducting clinical trials in foreign countries, as we may do for our product candidates, presents additional risks that may delay completion of our clinical trials. These risks include the failure of enrolled patients in foreign countries to adhere to clinical protocols as a result of differences in healthcare services or cultural customs, managing additional administrative burdens associated with foreign regulatory schemes, as well as political and economic risks relevant to such foreign countries.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authorities, as the case may be, and may ultimately lead to the denial of marketing approval of one or more of our product candidates.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factors above, we may make formulation or manufacturing changes to our product candidates, in which case we may need to conduct additional preclinical studies or clinical trials to bridge our modified product candidates to earlier versions, which may be costly, time consuming and may not be successful at all.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failure to successfully initiate and complete clinical trials of our product candidates and to demonstrate the efficacy and safety necessary to obtain regulatory approval to market any of our product candidates would significantly harm our business. We cannot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guarantee that our clinical trials will begin as planned or be completed on schedule, if at all, or that we will not need to restructure our clinical trials. Significant preclinical study or clinical trial delays could also shorten any periods during which we may have the exclusive right to commercialize our product candidates or allow our competitors to bring products to market before we do and impair our ability to successfully commercialize our product candidates, which may harm our business and results of operations. In addition, many of the factors that cause, or lead to, delays of clinical trials may ultimately lead to the denial of regulatory approval of our product candidates.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clinical development activities could be delayed or otherwise adversely affected.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 The enrollment of patients depends on many factors, including:</w:t>
      </w:r>
    </w:p>
    <w:p>
      <w:pPr>
        <w:spacing w:after="0" w:line="68" w:lineRule="exact"/>
        <w:rPr>
          <w:sz w:val="20"/>
          <w:szCs w:val="20"/>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product candidate being studied in relation to other available therapies, including any new products that may be approved for the indications we are investigating;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and the inclusion and exclusion criteria defined in the protocol;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AEs in our clinical trials and in third-party clinical trials of agents similar to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health of the patient population required for analysis of the trial’s primary endpoints;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trial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completion;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we may not be able to control that may limit the availability of patients, principal investigators or staff or clinical sites, such as public health crises, including epidemics and pandemics.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would result in significant delays or might require us to abandon one or more clinical trials altogether. Enrollment delays in our clinical trials may result in increased development costs for our product candidates, slow down or halt our product candidate development and approval process and jeopardize our ability to seek and obtain the marketing approval required to commence product sales and generate revenue, which would cause the value of our company to decline and limit our ability to obtain sufficient additional capital.</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or unexpectedly severe side effects that could delay or prevent their regulatory approval, limit the commercial profile of an approved label, or result in significant negative consequences following marketing approval, if any.</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Undesirable or unexpectedly severe side effects caused by our product candidates could cause us to interrupt, delay or halt preclinical studies or could cause us or regulatory authorities to interrupt, delay or halt clinical trials and could result in a more restrictive label or the delay or denial of regulatory approval by the FDA or comparable foreign regulatory authorities. Traditional cytokine therapies and checkpoint inhibitors have long been associated with severe toxicities, which can be life-threatening or fatal, that have resulted in the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need to dose-reduce, dose-interrupt and discontinue many patients from treatment. As has been the case with traditional I-O treatments for cancer, it is possible that there may be severe side effects associated with the use of our current or future product candidates. Results of our clinical trials could reveal a high and unacceptable severity and prevalence of these or other side effects. In such an event, our clinical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trial or result in potential product liability claims. Any of these occurrences may harm our business, financial condition and prospects significantly.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clinical trials rely on a sample of the potential patient population. With a limited number of patients and limited duration of exposure, rare and severe side effects of our product candidates may only be uncovered when a significantly larger number of patients is exposed to the product candidate. If our product candidates receive marketing approval and we or others identify undesirable side effects caused by such product candidates after such approval, a number of potentially significant negative consequences could result, including:</w:t>
      </w:r>
    </w:p>
    <w:p>
      <w:pPr>
        <w:spacing w:after="0" w:line="72"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REMS plan to mitigate risks, which could include medication guides, physician communication plans, or elements to assure safe use, such as restricted distribution methods, patient registries and other risk minimization tools;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such product candidates are distributed or administered, conduct additional clinical trials or change the labeling of the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limit their approval of such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product candidates from the marketplace;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reputational harm.</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data from our clinical trials. For example, we most recently reported updated data from our Phase 2 clinical trial for vilastobart in combination with atezolizumab and from our Phase 1 clinical trial for efarindodekin alfa in November 2025 at the Society for Immunotherapy of Cancer (SITC) 40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Annual Meeting. Preliminary and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previously published. As a result, interim and preliminary data should be viewed with caution until the final data are available. Adverse differences between preliminary or interim data and final data could significantly harm our business prospects.</w:t>
      </w:r>
    </w:p>
    <w:p>
      <w:pPr>
        <w:spacing w:after="0" w:line="19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develop certain of our product candidates in combination with third-party drugs and we will have limited or no control over the safety, supply, regulatory status or regulatory approval of such third-party drugs.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intend to develop our clinical-stage product candidates, and likely other future product candidates, in combination with third-party cancer drugs, which may be either approved or unapproved. For example, we are currently evaluating vilastobart in combination with atezolizumab (Tecentriq®) in a Phase 2 clinical trial in patients with MSS mCRC. Our ability to develop and ultimately commercialize our current product candidates, and any future product candidates, used in combination with third-party drugs will depend on our ability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access such drugs on commercially reasonable terms for clinical trials and their availability for use with our commercialized product, if approved. We cannot be certain that current or potential future commercial relationships will provide us with a steady supply of such drugs on commercially reasonable terms or at all. Any failure to maintain or enter into new successful commercial relationships, or the expense of purchasing such third-party drugs in the market, may delay our development timelines, increase our costs and jeopardize our ability to develop our current product candidates and any future product candidates as commercially viable therapies. If any of these occur, our business, financial condition, operating results or prospects may be materially harmed.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the development of product candidates for use in combination with another product or product candidate may present challenges that are not faced for single agent product candidates. For example, our plans to evaluate current or future product candidates in combination with other agents may result in AEs based on the combination therapy that may negatively impact the reported safety profile of the monotherapy in clinical trials. In addition, the FDA or comparable foreign regulatory authorities may require us to use more complex clinical trial designs in order to evaluate the contribution of each product and product candidate to any observed effects. It is possible that the results of such trials could show that any positive previous trial results are attributable to the third-party drug and not our product candidate. Developments related to the third-party drug may also impact our clinical trials for the combination therapy as well as our commercial prospects should we receive regulatory approval. Such developments may include changes to the third-party drug’s safety or efficacy profile, changes to the availability of the third-party drug, quality, and manufacturing and supply issues with respect to the third-party drug.</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are able to obtain marketing approval, the FDA or comparable foreign regulatory authorities may require that products used in conjunction with each other be cross labeled for combined use. To the extent that we do not have rights to the third-party drug, this may require us to work with such third party to satisfy such a requirement. We would also continue to be subject to the risks that the FDA or comparable foreign regulatory authorities could revoke approval of the third-party drug used in combination with our product candidate or that safety, efficacy, manufacturing or supply issues could arise with such drug. Similarly, if the third-party drugs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our platform technology to enable the development of a pipeline of masked I-O product candidates.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key element of our strategy is to use our novel platform technology to engineer and develop masked I-O molecules with the potential to trigger anti-tumor immunity with minimal systemic toxicity in order to advance a pipeline of product candidates. We may not be able to continue to identify and develop novel I-O therapies. Even if we are successful in continuing to advance our pipeline, the potential product candidates that we identify may not be suitable for clinical development. For example, potential product candidates may be shown to have harmful side effects or other characteristics that indicate that they are unlikely to or will not be drugs that will receive marketing approval and achieve market acceptance. If we do not successfully develop and commercialize product candidates based upon our platform approach or take longer to do so than anticipated, we will not or may not be able to obtain drug revenues in future periods, which likely would result in significant harm to our financial position and adversely affect our stock price.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product candidates.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intend to explore other therapeutic opportunities in addition to the product candidates that we are currently developing, we may fail to identify or discover viable new product candidates for clinical development for a number of reasons. If we fail to identify additional potential product candidates, our business could be materially harmed.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programs to pursue the development of our existing and planned product candidates for additional indications and to identify new product candidates and disease targets require substantial technical, financial and human resources whether or not they are ultimately successful. We may in the future rely on third parties for certain research, and we will not have complete control over their performance and ability to successfully develop product candidates. Our research programs may initially show promise in identifying potential indications and/or product candidates, yet fail to yield results for clinical development for a number of reasons, including:</w:t>
      </w:r>
    </w:p>
    <w:p>
      <w:pPr>
        <w:spacing w:after="0" w:line="75"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indications and/or product candidates;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after further study, be shown to have harmful adverse effects or other characteristics that indicate they are unlikely to be effective drugs;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102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take greater human and financial resources than we will possess to identify and advance additional therapeutic opportunities for our product candidates or to develop suitable potential product candidates through internal research programs, thereby limiting our ability to develop, diversify and expand our product portfolio.</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Accordingly, there can be no assurance that we will ever be able to identify additional therapeutic opportunities for our current product candidates or to develop suitable additional product candidates through internal research programs, which could materially adversely affect our future growth and prospects.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product candidates based on our technological approaches is unproven, and we do not know whether we will be able to develop any products of commercial value.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success of our business depends primarily upon our ability to discover, develop and commercialize products based on our technological approaches. While we have had favorable preclinical and early clinical results related to our clinical-stage product candidates, vilastobart and efarindodekin alfa, we have not yet succeeded and may not succeed in demonstrating efficacy and safety for any product candidates in current or future clinical trials or in obtaining marketing approval thereafter. We rely on matrix metalloproteases, or MMPs, to activate our molecules within the tumor microenvironment. If MMP activity in human tumors is not sufficient to cleave the masking protein domain, the potential efficacy of our product candidates would be limited. We have no assurance that our product candidates will successfully progress through clinical development and ultimately marketing approval. We have invested substantially all of our efforts and financial resources in developing our initial product candidates and our future success is highly dependent on the outcome of our ongoing clinical trials and the successful development of our technology and product candidates.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clinical trial requirements of the FDA and other regulatory agencies and the criteria these regulators use to determine the safety and efficacy of a product candidate may vary according to the type, complexity, novelty and intended use and market of the potential products. The regulatory approval process for novel product candidates can be more expensive and take longer than for other, better known or extensively studied pharmaceutical or other product candidates. As a result, we may face a greater regulatory burden to initiate clinical trials or to obtain regulatory approval of our product candidates as compared to product candidates based on more established technology. In addition, any product candidates for which we may be able to obtain marketing approval may be subject to extensive post-approval regulatory requirements, including requirements pertaining to manufacturing, distribution and promotion. We may need to devote significant time and resources to comply with these requirements.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chosen to initially develop each of our clinical-stage product candidates for the treatment of various solid tumor types. Nevertheless, our development efforts will be limited to a small number of cancer types, and we may forego or delay pursuit of opportunities in other cancer types that may prove to have greater potential. Likewise, we may forego or delay the pursuit of opportunities with other potential product candidates that may prove to have greater commercial potential.</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our resource allocation decisions may cause us to fail to capitalize on viable commercial products or profitable market opportunities. Our spending on current and future research and development programs and product candidates for specific indications may not yield any viable product candidates. Similarly, if we do not accurately evaluate the commercial potential or target market for a particular product candidate, we may relinquish valuable rights to that product candidate through collaboration, licensing or other similar arrangements in cases in which it would have been more advantageous for us to retain sole development and commercialization rights to the product candidate.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exposed to costly and damaging liability claims, either when testing our product candidates in the clinic or following commercial sale, and any product liability insurance we may obtain may not cover all damages from such claims.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exposed to potential product liability risks that are inherent in the research, development, manufacturing, marketing and use of biopharmaceutical products. The use of product candidates by us in clinical trials, and any sale of approved products in the future, may expose us to liability claims. For example, we may be sued if our product candidates cause or are perceived to cause injury or are found to be otherwise unsuitable during clinical trials,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thereof, we may be exposed to substantial liabilities. Physicians and patients may not comply with any warnings that identify known potential adverse effects and patients who should not use our product candidates. If we cannot successfully defend ourselves against product liability claims, we may incur substantial liabilities or be required to limit or cease the development or commercialization of our product candidates or any products for which we may have received marketing approval. Even a successful defense would require significant financial and management resources. Regardless of the merits or eventual outcome, liability claims may result in:</w:t>
      </w:r>
    </w:p>
    <w:p>
      <w:pPr>
        <w:spacing w:after="0" w:line="81"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termination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and social media attention;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or difficulties in recruiting new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or settle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financial impact;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of our product candidates, if approved.</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will seek to procure and maintain sufficient product liability insurance coverage, our current insurance coverage and any insurance coverage we obtain in the future may not be adequate to cover all liabilities that we may incur. We may need to increase our insurance coverage each time we commence a clinical trial and if we successfully commercialize any product candidate. As the expense of insurance coverage is increasing, we may not be able to maintain insurance coverage at a reasonable cost or in an amount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materially harmed.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Manufacturing and Supply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Manufacturing biologics is complex, and we may experience manufacturing problems that result in delays in our development or commercialization programs.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manufacturing of biologics is complex and difficult and we may experience production issues or interruptions in supply for our product candidates, including variability of raw material, consumable or starting material quality, cell line viability, productivity or stability issues, shortages of any kind, shipping, distribution, storage and supply chain failures, media contamination, equipment malfunctions or failures, operator errors, facility contamination, labor problems, quality system and regulatory inspection failures, adverse impacts from current or future trade sanctions, tariffs or similar actions, natural disasters, disruption in utility services, terrorist activities, or acts of god that are beyond our control or the control of our third-party contract development and manufacturing organizations, or CDMOs.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nature of biologics manufacturing, there is a risk of contamination during manufacturing. Any contamination could materially harm our ability to produce product candidates on schedule and could harm our results of operations and cause reputational damage. In the event that raw materials required in our manufacturing process need to be derived from biologic sources, they may be difficult to procure and may be subject to contamination or recall.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Problems with the manufacturing process, even minor deviations from the normal process, could result in product defects, out-of-specification analytical results or manufacturing failures that result in lot failures, product recalls, product liability claims, insufficient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inventory or potentially delay progression of our preclinical or clinical development of any product candidates we may develop. If we successfully develop product candidates, we may encounter problems achieving adequate quantities and quality that meet FDA, European Medicines Agency, or EMA, or other comparable applicable foreign standards or specifications with consistent and acceptable production yields and costs. The ability to scale our manufacturing and maintain the manufacturing process at the same levels of quality and efficiency that we are currently manufacturing is yet to be tested. If we or our third-party CDMO is unable to scale our manufacturing and meet the same levels of quality and efficiency, or provide sufficient manufacturing campaign slots to generate materials, we may not be able to supply the required number of doses for clinical trials or commercial supply. A material shortage, contamination event or manufacturing failure in the manufacture of any product candidate we may develop or other adverse impact or disruption in the commercial manufacturing or the production of clinical material could materially harm our development timelines and our business, financial condition, results of operations and prospects.</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face risks related to our reliance on our current and any future CDMOs. For example, we and our CDMO are subject to significant regulation with respect to manufacturing our products. The manufacturing facilities of the CDMO on which we rely may not continue to meet regulatory requirements, may have limited capacity or may experience interruptions in supply, any of which could adversely affect our development and commercialization plans for our product candidates. All entities involved in the preparation and storage of therapeutics for clinical trials or commercial sale, including any CDMOs of any product candidates we may develop, are subject to extensive regulation. Components of a finished therapeutic product approved for commercial sale or used in clinical trials must be manufactured in accordance with current Good Manufacturing Practices, or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in partnership with our CDMO, must supply all necessary documentation in support of an IND for clinical product, and later in support of a BLA for any potential commercial product, on a timely basis and must adhere to the FDA’s and EMA’s current Good Laboratory Practices and cGMP regulations enforced through the applicable regulatory authority’s facilities inspection program. Our facilities and quality systems and the facilities and quality systems of our CDMO must pass a pre-approval inspection, or PAI, to confirm validity of the information presented in the BLA and to confirm the capability of the facility to manufacture our product in compliance with the applicable regulations. The PAI is a condition of regulatory approval of any product candidates we may develop or any of our other potential products. If our or our CDMO’s quality systems or facilities involved with the preparation of our product candidates do not pass the PAI, FDA approval of such product candidates will not be granted.</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regulatory authorities may, at any time, conduct a routine or for-cause inspection of a manufacturing facility involved with the preparation of our product candidates, which inspection is related to other products manufactured at the site or the associated quality systems, for compliance with the regulations applicable to the activities being conducted. The regulatory authorities also may, at any time following approval of a product for sale, inspect our facilities or the manufacturing facilities of our CDMOs. If any such inspection identifies a failure to comply with applicable regulations, or if a violation of our product specifications or applicable regulations occurs independent of such an inspection, we or the relevant regulatory authority may require remedial measures that may be costly and/or time-consuming for us or a third party to implement and that may include the temporary or permanent suspension of a clinical trial or commercial sales, the temporary or permanent closure of a facility, or other remedial measures that may delay or disrupt the manufacture or release of our product candidates or other potential products. Any such remedial measures imposed upon us or third parties with whom we contract could materially harm our business.</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or any CDMO with which we contract for manufacturing and supply fails to maintain regulatory compliance, the FDA can impose regulatory sanctions including, among other things, a clinical hold, refusal to approve a pending application for a new drug product or biologic product, revocation of a pre-existing approval, or an import alert. As a result, our business, financial condition and results of operations may be materially harmed.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Currently, we depend on WuXi Biologics (Hong Kong) Limited, or WuXi Biologics, for developing the manufacturing processes required to supply our product candidates. We cannot ensure that this manufacturer will remain in business or have sufficient capacity or supply to meet our needs. Our use of a single manufacturer exposes us to several risks, including price increases or manufacturing delays beyond our control. WuXi Biologics is based in and has significant operations in China, where our product candidates are manufactured, which subjects us to additional risks including those related to U.S. export control laws, potential sanctions or other trade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restrictions imposed by the U.S. government. Moreover, reliance on third-party manufacturers generally entails risks to which we would not be subject if we manufactured the product candidates ourselves, including:</w:t>
      </w:r>
    </w:p>
    <w:p>
      <w:pPr>
        <w:spacing w:after="0" w:line="54" w:lineRule="exact"/>
        <w:rPr>
          <w:sz w:val="20"/>
          <w:szCs w:val="20"/>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negotiate manufacturing agreements with third parties under commercially reasonable terms or at all, particularly if they are affiliated with our competitors;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as a result of using third-party manufacturers for all aspects of manufacturing activities, particularly if they are under contract with our competitors;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manufacturing agreements with third parties in a manner or at a time that is costly or damaging to us;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operations of our third-party manufacturers or suppliers caused by conditions unrelated to our business or operations, including geopolitical tensions or restrictions, such as export controls or sanctions, or the bankruptcy of the manufacturer or supplier;</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import or obtain components or materials from alternate sources at acceptable prices or with acceptable quality in a timely manner;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delays or difficulties related to the establishment of replacement manufacturers who meet regulatory requirements.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of these events could lead to clinical trial delays or failure to obtain regulatory approval or impact our ability to successfully commercialize future products. Some of these events could be the basis for FDA action, including injunction, recall, seizure, import alert, or total or partial suspension of production.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if supply from one approved manufacturer is interrupted, such as could be the case with our current CDMO, WuXi Biologics, there could be a significant disruption in supply. While we believe there are alternate manufacturers who can provide the manufacturing processes required to develop and manufacture our product candidates, if we have to switch to a replacement manufacturer, the manufacture and delivery of our product candidates could be interrupted for an extended period, which could adversely affect our business. Furthermore, an alternative manufacturer must be able to demonstrate successful technology transfer of the manufacturing process and associated assays, and, to do so, may need to modify the manufacturing process required to develop our product candidates, and the alternative manufacturer would need to be qualified through additional regulatory filings, all of which could result in further delay and significant costs. The regulatory agencies may also require additional studies or trials if a new manufacturer is relied upon for clinical or commercial production. Switching manufacturers may involve substantial costs and is likely to result in a delay in our desired clinical and commercial timelines.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factors could cause the delay of clinical trials, regulatory submissions, required approvals or commercialization of our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clinical trials may be delayed, or we could lose potential revenue or market share with respect to any product that has received marketing approval.</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research and development and manufacturing activities take place in China through WuXi Biologics. A significant disruption in our ability to rely on WuXi Biologics could materially adversely affect our business, financial condition and results of operations.</w:t>
      </w:r>
    </w:p>
    <w:p>
      <w:pPr>
        <w:spacing w:after="0" w:line="159"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We have relied on WuXi Biologics in China to manufacture and supply certain raw materials used in our product candidates, and we expect to continue to use WuXi Biologics as our CDMO for such purposes. A natural disaster, epidemic or pandemic, such as 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 trade war, political unrest, economic conditions, changes in legislation, including the passage of the People’s Republic of China Biosecurity law, which became effective on April 15, 2021, and subsequent legislation that China or the U.S. may adopt in the future, or other events in China could disrupt our ability to continue to rely upon CROs, CDMOs, collaborators, manufacturers or other third parties with whom we conduct business now or in the future. For example, in December 2025, the BIOSECURE Act was signed into law as part of the Fiscal Year 2026 National Defense Authorization Act. Under the BIOSECURE Act, U.S. government agencies cannot (i) buy or obtain biotechnology equipment or services provided by biotechnology companies of concern, or BCCs;</w:t>
      </w:r>
    </w:p>
    <w:p>
      <w:pPr>
        <w:spacing w:after="0" w:line="6" w:lineRule="exact"/>
        <w:rPr>
          <w:sz w:val="20"/>
          <w:szCs w:val="20"/>
          <w:color w:val="auto"/>
        </w:rPr>
      </w:pPr>
    </w:p>
    <w:p>
      <w:pPr>
        <w:ind w:firstLine="8"/>
        <w:spacing w:after="0" w:line="260" w:lineRule="auto"/>
        <w:tabs>
          <w:tab w:leader="none" w:pos="26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extend, or renew a contract with any entity using biotechnology equipment or services provided by a BCC to perform a government contract; or (iii) expend loan or grant funds for biotechnology equipment or services provided by 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BCC, whether directly or through a loan or grant recipient. The BIOSECURE Act does not name specific companies as BCCs but treats any company on the Department of Defense 1260H list of “Chinese military companies” as a BCC. The 1260H list was updated by the Department of Defense in January 2024 and January 2025. In February 2026, the Department of Defense published an updated list, which included WuXi AppTec, but then abruptly withdrew the list. The implications of this action remain unclear.</w:t>
      </w:r>
    </w:p>
    <w:p>
      <w:pPr>
        <w:spacing w:after="0" w:line="17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Any disruption in China or the U.S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significantly impacts WuXi Biologics or other third parties with whom we conduct business now or in the future, including CROs that provide services for our research and development programs, or manufacturers that produce and export raw or manufactured materials in adequate quantities to meet our needs, could impair our ability to operate our business on a day-to-day basis and impede, delay, limit or prevent the research, development or commercialization of our current and future products or product candidates. In addition, for any activities conducted in China, we are exposed to the possibility of product supply disruption and increased costs in the event of changes in the policies of the U.S. or Chinese governments, political unrest or unstable economic or geopolitical conditions, including sanctions in China or against certain Chinese companies; changes in U.S. export laws or the imposition by the U.S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of trade barriers; sanctions; limitations on uses of U.S. government executive agency contract, grant or loan funds; or other restrictions on doing business with certain Chinese companies, including WuXi Biologics, which could have a material adverse effect on our business. Additionally, we may be exposed to fluctuations in the value of the local currency in China for goods and services. Our costs for any of these services or activities could also increase as a result of future appreciation of the local currency in China or increased labor costs if the demand for skilled laborers increases and/or the availability of skilled labor declines in China.</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CDMOs and suppliers we engage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and any CDMOs and suppliers we engage are subject to numerous federal, state and local environmental, health, and safety laws, regulations and permitting requirements, including those governing laboratory procedures; the generation, handling, use, storage, treatment and disposal of biological or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third-party facilities. We also could incur significant costs associated with civil or criminal fines and penalties.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regulations and permitting requirements. These current or future laws, regulations and permitting requirements may impair our research, development or production efforts. Failure to comply with these laws, regulations and permitting requirements also may result in substantial fines, penalties or other sanctions or business disruption, which could have a material adverse effect on our business, financial condition, results of operations and prospects.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third-party CDMOs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rely on third parties to conduct, supervise and monitor IND-enabling studies and clinical trials, and to perform other functions for us, and if these third parties perform in an unsatisfactory manner, it may harm our business, reputation and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to rely on third parties, including but not limited to, CROs and research and clinical trial sites to ensure our IND-enabling studies and clinical trials are conducted properly and on time, and we expect to rely in the future on third-party vendors for additional research programs as well as other functions. While we will have agreements governing their activities, we will have limited influence over their actual performance. We will control only certain aspects of our third-party vendors’ activities. Nevertheless, we will be responsible for ensuring that each of these studies is conducted in accordance with the applicable protocol, legal, regulatory and scientific standards, and our reliance on the third-party vendors does not relieve us of our regulatory responsibilities.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and our CROs will be required to comply with the FDA’s Good Clinical Practices, or GCPs, for conducting, recording and reporting the results of IND-enabling studies and clinical trials to assure that the data and reported results are credible and accurate and that the rights, integrity and confidentiality of clinical trial participants are protected. The FDA enforces these GCPs through periodic inspections of study sponsors, principal investigators and clinical trial sites. If we or our CROs fail to comply with applicable GCPs, the preclinical and clinical data generated in our studies may be deemed unreliable and the FDA may require us to perform additional studies before approving any marketing applications. Upon inspection, the FDA may determine that our studies did not comply with GCPs.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CROs and other third-party vendors are not our employees, and we are therefore unable to directly monitor whether or not they devote sufficient time and resources to our clinical and nonclinical programs or other functions. These third-party vendors may also have relationships with other commercial entities, including our competitors, for whom they may also be conducting clinical trials or other drug development activities that could harm our competitive position. If our third-party vendors do not successfully carry out their contractual duties or obligations, fail to meet expected deadlines, or if the quality or accuracy of the data they obtain is compromised due to the failure to adhere to our protocols or regulatory requirements, or for any other reasons, our studies may be extended, delayed or terminated, and we may not be able to obtain regulatory approval for, or successfully commercialize any product candidates we may develop. As a result, our financial results and commercial prospects would be harmed, our costs could increase, and our ability to generate revenues could be delayed.</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and may in the future seek to enter into, licenses, collaborations or similar arrangements with third parties for the research, development and commercialization of certain of our current or future product candidates. If any such arrangements are not successful, we may not be able to capitalize on the market potential of those product candidates.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March 2024, our wholly-owned subsidiary, Xilio Development, Inc., or Xilio Development, entered into a license agreement with Gilead, pursuant to which Gilead was granted an exclusive global license to develop and commercialize efarindodekin alfa, our masked IL-12, and other specified molecules directed toward IL-12. In February 2025, Xilio Development entered into a collaboration, license and option agreement with AbbVie, pursuant to which AbbVie was granted (i) an exclusive option for (a) an initial program to discover, develop and commercialize masked T cell engager molecules for an agreed upon initial target and backup target and (b) subject to the terms of the agreement, up to two additional programs to discover, develop, and commercialize masked T cell engager molecules for an initial target and backup target determined at the time of program initiation and (ii) an exclusive license to develop and commercialize a masked antibody-based immunotherapy. We may in the future seek third-party collaborators or licensors for the research, development and commercialization of other current or future product candidates. With respect to our agreements with Gilead and AbbVie, and what we expect will be the case with any future collaboration agreements we enter into, we have and would likely have limited control over whether such collaborators pursue the development of our product candidates or the amount and timing of resources that our collaborators dedicate to the development or commercialization of our product candidates that we seek to develop with them. For example, under the license agreement with Gilead, if Gilead exercises its right to transition responsibilities for the development and commercialization of efarindodekin alfa and the rest of our IL-12 program, it will have sole decision-making authority with respect to the continued development and future commercialization of our IL-12 program and may elect to prioritize other assets that it believes are more competitive, or it may exercise its right to terminate the license and return the licensed IL-12 program assets to us. Similarly, subject to limited exceptions, AbbVie has sole decision-making authority with respect to the development and commercialization of the masked antibody-based immunotherapy program. With respect to any T cell engager program for which AbbVie exercises its option, AbbVie will have sole decision-making authority with respect to the continued development and future commercialization of such option program and may elect to prioritize other assets that it believes are more competitive, or it may exercise its right to terminate the license and return the licensed T cell engager program assets to us. As a result, there can be no assurances that any of the programs covered by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existing or future collaborations or licenses will be developed further or reach commercialization. Further, our ability to generate revenues from these existing and future arrangements will depend on our collaborators’ abilities to successfully perform the functions assigned to them in these arrangements. We cannot predict the success of any collaboration that we enter into.</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Collaborations, licenses or similar arrangements involving our research programs or any product candidates currently pose, and will continue to pose, numerous risks to us, including the following:</w:t>
      </w:r>
    </w:p>
    <w:p>
      <w:pPr>
        <w:spacing w:after="0" w:line="54"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or licensors have significant discretion in determining the efforts and resources that they will apply to these arrangements;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or licensors may not pursue development and commercialization of our product candidates or may elect not to continue or renew development or commercialization programs based on clinical trial results, changes in such third party’s strategic focus or available funding or external factors such as an acquisition that diverts resources or creates competing priorities;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or licensors may delay programs, preclinical studies or clinical trials, provide insufficient funding for programs, preclinical studies or clinical trials, stop a preclinical study or clinical trial or abandon a product candidate, repeat or conduct new clinical trials or require a new formulation of a product candidate for clinical testing;</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or licensors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or licenses may be acquired by a third party having competitive products or different priorities;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or licensors with marketing and distribution rights to one or more product candidates may not commit sufficient resources to the marketing and distribution of such product candidate(s);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or licensors may not properly obtain, maintain, enforce or defend our intellectual property or proprietary rights or may use our proprietary information in such a way as to invite litigation that could jeopardize or invalidate our proprietary information or expose us to potential litigation;</w:t>
      </w:r>
    </w:p>
    <w:p>
      <w:pPr>
        <w:spacing w:after="0" w:line="6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or licensors and us that result in the delay or termination of the research, development, or commercialization of our product candidates or any of our product candidates or that result in costly litigation or arbitration that diverts management attention and resources or that jeopardize or invalidate our intellectual property or proprietary information;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certain valuable rights under certain circumstances, including if we undergo a change of control;</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or licenses may be terminated and, if terminated, may result in a need for additional capital to pursue further development or commercialization of the applicable product candidates;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or license agreements may not lead to development or commercialization of product candidates in the most efficient manner or at all. If a present or future collaborator or licensor of ours were to be involved in a business combination, the continued pursuit and emphasis on our product development or commercialization program under such collaboration could be delayed, diminished or terminated.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our current or future collaborations, licenses or similar transactions do not result in the successful development and commercialization of product candidates, including if one of our current or future collaborators or licensors terminates its agreement with us, we may not receive any future payments for which we might otherwise be eligible under such agreement or we may incur significant costs in re-establishing the development and manufacturing of such product candidates. If we do not receive the funding we expect under these agreements, our development of product candidates could be delayed, and we may need additional resources to develop such product candidates. In addition, if one of our collaborators terminates its agreement with us, we may find it more difficult to find a suitable replacement collaborator or licensor or for us to attract new collaborators or licensors, and our development programs may be delayed or the perception of us in the business and financial communities could be adversely affected. All of the risks relating to product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development, regulatory approval and commercialization described in this Annual Report on Form 10-K apply to the activities of our collaborators or licensors.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relationships, or those like them, may require us to incur non-recurring and other charges, increase our near- and long-term expenditures, issue securities that dilute our existing stockholders, or disrupt our management and business. In addition, we could face significant competition in seeking appropriate collaborators, and the negotiation process is time-consuming and complex. Our ability to reach a definitive collaboration or license agreement with future partners will depend, among other things, upon our assessment of the resources and expertise of such third-party collaborator or licensor and the terms and conditions of the proposed collaboration or license. Further, if we license rights for use in any product candidates we or our collaborators may develop, we may not be able to realize the benefit of such transactions if we are unable to successfully integrate them with our existing operations and company culture.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establish collaborations on commercially reasonable terms, we may have to alter our development and commercialization plans.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development and research programs and the potential commercialization of any product candidates we may develop will require substantial additional cash to fund expenses. For some of the product candidates we may develop, we have decided and may in the future decide to collaborate with other pharmaceutical and biotechnology companies for the development and potential commercialization of those product candidates.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the EMA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not be able to negotiate future collaborations on a timely basis, on acceptable terms, or at all. If we are unable to do so, we may have to curtail the development of the product candidates for which we are seeking to collaborate, reduce or delay its development program or one or more of our other development programs, delay their potential commercialization, reduce the scope of any sales or marketing activities, or increase our own expenditures on the development of the applicable product candidate.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commercialized a product candidate and we may lack the necessary expertise, personnel and resources to successfully commercialize any products that receive regulatory approval, either on our own or together with collaborators.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never commercialized a product candidate. We currently have no sales force or marketing or distribution capabilities. To achieve commercial success of our product candidates, if any are approved, we will have to develop our own sales, marketing and supply capabilities or outsource these activities to one or more third parties. Factors that may affect our ability to commercialize our product candidates on our own include our ability to recruit and retain adequate numbers of effective sales and marketing personnel and obtain access to or persuade adequate numbers of physicians to prescribe our product candidates, as well as any unforeseen costs we may incur in connection with creating an independent sales and marketing organization. Developing a sales and marketing organization requires significant investment and substantial amount of time and attention from our management and may divert a disproportionate amount of their attention away from day-to-day activities, which could delay the launch of our product candidates. We may not be able to build an effective sales and marketing organization in the U.S., the EU or other key global markets. To the extent we need to rely upon one or more third parties, we may have little or no control over the marketing and sales efforts of those third parties and our revenue from product sales may be lower than if we had commercialized our product candidates ourselves. We will also face competition in any search for third parties to assist us with sales and marketing efforts for our product candidates. If we are unable to build our own distribution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marketing capabilities or to find suitable partners for the commercialization of our product candidates, we may have difficulties generating revenue from them.</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new products is highly competitive. We face competition with respect to our current product candidates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immunotherapies for the treatment of cancer. There are other companies working to develop immunotherapies for the treatment of cancer including divisions of pharmaceutical and biotechnology companies of various sizes. Some of these competitive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developing our most advanced clinical-stage, masked I-O product candidates for the treatment of cancer and have not completed clinical development or received marketing approval for either vilastobart or efarindodekin alfa. There are already a variety of available therapies marketed for cancer and some of the currently approved therapies are branded and subject to patent protection, and others are available on a generic basis. Many of these approved therapies are well-established and widely accepted by physicians, patients and third-party payors. Insurers and other third-party payors may also encourage the use of generic products. We expect that if our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 Competition may further increase with advances in the commercial applicability of technologies and greater availability of capital for investment in these industries.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XTX501, currently there are no bispecific PD-1 targeted IL-2 therapies approved for the treatment of cancer. However, we are aware of several companies that have bispecific PD-1 targeted IL-2 programs in development, including but not limited to Anwita Biosciences, Inc., Bright Peak Therapeutics, Inc., Innovent Biologics, Inc. (co-development with Takeda Pharmaceutical Company Limited), Medicenna Therapeutics Corp., Regeneron Pharmaceuticals, Inc., Roche and Teva Pharmaceutical Industries, Ltd.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our masked T cell engager programs, currently there are no T cell engager therapies targeting PSMA, CLDN18.2 or STEAP1 approved for the treatment of cancer. However, we are aware of other companies that have masked T cell engager programs in development for PSMA, including but not limited to Janux Therapeutics, Inc. and Vir Biotechnology, Inc., and at least one other company, Werewolf Therapeutics, Inc., that has a masked T cell engager program in development for STEAP1. To our knowledge, there are no companies currently developing a masked T cell engager program targeting both PSMA and STEAP1 or a masked T cell engager program for CLDN18.2. However, we are aware of several companies developing non-masked T cell engager programs for CLDN18.2, including but not limited to Amgen Inc., Astellas Pharma Inc., AstraZeneca PLC, GSK plc, Lunan Pharmacuetical Group Co. Ltd. and Qilu Pharmaceutical Co., for PSMA, including but not limited to Regeneron Pharmaceuticals Inc. and Xencor, Inc. (licensed to Johnson &amp; Johnson), and for STEAP1, including but not limited to Xencor Inc. (licensed to Amgen Inc.) and Shanghai Henlius Biotech, Inc.</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efarindodekin alfa, currently there are no IL-12 therapies approved for the treatment of cancer. However, we are aware of several companies that have IL-12 delivery programs in development, including but not limited to PDS Biotechnology Corporation, Philogen S.p.A., Shanghai KangaBio Co., Ltd. and Werewolf Therapeutics, Inc.</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competitors may succeed in developing, acquiring or licensing, on an exclusive basis, products that are safer, more effective, have fewer or less severe side effects, are more convenient or are less expensive than any products that we may develop. We also compete with these organizations in establishing clinical trial sites and patient registration for clinical trials, as well as in recruiting and retaining qualified scientific and management personnel, which could negatively affect our level of expertise and our ability to execute our business plan.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Many of our competitors, either alone or with their collaborators, have significantly greater financial resources and expertise in research and development, manufacturing, preclinical and clinical testing, obtaining regulatory approvals and reimbursement and marketing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approved products than we do. Established pharmaceutical companies may invest heavily to accelerate discovery and development of novel product candidates or to in-license novel product candidates that could make our product candidates less competitive or obsolete. Smaller or early-stage companies may also prove to be significant competitors, including through collaborative arrangements with large and established companies. In addition, any new product that competes with an approved product must demonstrate compelling advantages in efficacy, convenience, tolerability and safety in order to overcome price competition and to be commercially successful. The availability of competing products could limit the demand and the price we are able to charge for product candidates we commercialize, if any. The inability to compete with existing or subsequently introduced products would harm our business, financial condition and results of operations.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and commercialization goals in the timeframes we announce and expect, the commercialization of any of our product candidates may be delayed, and our business could be harmed.</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release of clinical trial data, the completion of an ongoing clinical trial, the initiation of other clinical trials, receipt of regulatory approval or the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spacing w:after="0" w:line="79"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available capital resources or capital constraints we experience;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costs and results of our clinical trials and research and development activities, including the extent of scheduling conflicts with participating clinicians and collaborators;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enroll patients who meet clinical trial eligibility criteria;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of approvals by the FDA, EMA and comparable regulatory authorities in other jurisdictions, and the timing thereof;</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actions, decisions or rules issued by regulators;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reliable and affordable supplies of materials used in the manufacture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and supply clinical trial materials to our clinical trial sites on a timely basis;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of our collaborators with respect to the development of our product candidates or the potential commercialization of any of our product candidates, if approved;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securing of, costs related to, and timing issues associated with, commercial product manufacturing as well as sales and marketing activities.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we fail to achieve announced milestones in the timeframes we expect, the commercialization of any of our product candidates may be delayed, and our business, results of operations, financial condition and prospects may be adversely affected.</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approved, our product candidates that are licensed and regulated as biological products, or biologics, may face competition from biosimilars approved through an abbreviated regulatory pathway.</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or BPCIA, was enacted as part of the Patient Protection and Affordable Care Act, as amended by the Health Care and Education Reconciliation Act of 2010, or collectively the ACA, to establish an abbreviated pathway for the approval of biosimilar and interchangeable with an FDA-licensed reference biologic product. The regulatory pathway establishes legal authority for the FDA to review and approve biosimilar biologics, including the possible designation of a biosimilar as “interchangeable” based on its similarity to an approved biologic.</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BPCIA, reference biological product is granted 12 years of non-patent data exclusivity from the time of first licensure of the product, and the FDA will not accept an application for a biosimilar or interchangeable product based on the reference biological product until four years after the date of first licensure of the reference product. In addition, the licensure of a biosimilar product may not be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color w:val="auto"/>
        </w:rPr>
        <w:t>made effective by the FDA until 12 years from the date on which the reference product was first licensed. During this 12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of exclusivity, another company may still develop and receive licensure of a competing biologic, so long as their BLA does not rely on the reference product or sponsor’s data or submit the application as a biosimilar application.</w:t>
      </w:r>
    </w:p>
    <w:p>
      <w:pPr>
        <w:spacing w:after="0" w:line="158" w:lineRule="exact"/>
        <w:rPr>
          <w:sz w:val="20"/>
          <w:szCs w:val="20"/>
          <w:color w:val="auto"/>
        </w:rPr>
      </w:pPr>
    </w:p>
    <w:p>
      <w:pPr>
        <w:jc w:val="both"/>
        <w:spacing w:after="0" w:line="225" w:lineRule="exact"/>
        <w:rPr>
          <w:sz w:val="20"/>
          <w:szCs w:val="20"/>
          <w:color w:val="auto"/>
        </w:rPr>
      </w:pPr>
      <w:r>
        <w:rPr>
          <w:rFonts w:ascii="Times New Roman" w:cs="Times New Roman" w:eastAsia="Times New Roman" w:hAnsi="Times New Roman"/>
          <w:sz w:val="18"/>
          <w:szCs w:val="18"/>
          <w:color w:val="auto"/>
        </w:rPr>
        <w:t>We believe that any of the product candidates we develop that is licensed in the U.S. as a biological product under a BLA should qualify for the 12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of exclusivity. However, there is a risk that this exclusivity could be shortened due to congressional action or otherwise, or that the FDA will not consider the subject product candidate to be a reference product for competing products, potentially creating the opportunity for biosimilar competition sooner than anticipated. Further, the FDA may revise the standards governing approval of biosimilars so as to bring such products to the market more quickly. For example, in October 2025, the FDA issued draft guidance which proposes to eliminate the need for sponsors of biosimilar products to conduct comparative human clinical efficacy studies, allowing them to rely instead on analytical testing to demonstrate product differences from a reference product.</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 The approval of a biosimilar of our product candidates could have a material adverse impact on our business due to increased competition and pricing pressure.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competitors are able to obtain regulatory approval for biosimilars referencing our product candidates, our product candidates may become subject to competition from such biosimilars, with the attendant competitive pressure and consequences.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sizes of the potential markets for our product candidates are difficult to estimate and, if any of our assumptions are inaccurate, the actual markets for our product candidates may be smaller than our estimates.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potential market opportunities for our product candidates are difficult to estimate and, if our product candidates are approved, will ultimately depend on, among other things, the indications for which our product candidates are approved for sale, any products with which our product candidates are co-administered, the success of competing therapies and therapeutic approaches, acceptance by the medical community, patient access, product pricing, reimbursement and our ability to create meaningful value propositions for patients, prescribers and payors. Our estimates of the potential market opportunities for our product candidates are predicated on many assumptions, which may include industry knowledge and publications, third-party research reports and other surveys. Although we believe that our internal assumptions are reasonable, these assumptions involve the exercise of significant judgment on the part of our management, are inherently uncertain, and their reasonableness has not been assessed by an independent source. If any of the assumptions prove to be inaccurate, the actual markets for our product candidates could be smaller than our estimates of the potential market opportunities.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our product candidates will depend in part on the extent to which we obtain and maintain favorable insurance coverage, adequate reimbursement levels and cost-effective pricing policies with third-party payors.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availability and adequacy of coverage and reimbursement by third-party payors, including governmental healthcare programs such as Medicare and Medicaid, managed care organizations, and private health insurers, are essential for most patients to be able to afford prescription medications such as our product candidates, if approved. Our ability to achieve acceptable levels of coverage and reimbursement for products by third-party payors will have an effect on our ability to successfully commercialize our product candidates. We cannot be sure that coverage and reimbursement in the U.S., the EU or elsewhere will be available for our product candidates, if approved, or any product that we may develop, and any reimbursement that may become available may be decreased or eliminated in the future.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Third-party payors increasingly are challenging prices charged for pharmaceutical products and services, and many third-party payors may refuse to provide coverage and reimbursement for particular drugs or biologics when an equivalent generic drug, biosimilar or a less expensive therapy is available. It is possible that a third-party payor may consider our product candidates as substitutable and only offer to reimburse patients for the less expensive product. Even if we show improved efficacy or improved convenience of administration with our product candidates, pricing of existing third-party therapeutics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our product candidates, if approved. Even if our product candidates are approved and we obtain coverage for our product candidates by a third-party payor, such products may not be considered cost-effective and/or the resulting reimbursement payment rates may be insufficient or may require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co-payments that patients find unacceptably high. Interim reimbursement levels for new medicines, if applicable, may also not be sufficient to cover our costs and may not be made permanent. Net prices for medicines may be reduced by mandatory discounts or rebates required by government healthcare programs or private payors and by any future relaxation of laws that presently restrict imports of medicines from countries where they may be sold at lower prices than in the U.S. If reimbursement is not available or is available only at limited levels, we may not be able to successfully commercialize our product candidates, if approved, and may not be able to obtain a satisfactory financial return on our product candidates.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The regulations that govern marketing approvals, pricing and reimbursement for new medicines vary widely from country to country. In the U.S., third-party payors play an important role in determining the extent to which new drugs and biologics will be covered. The Medicare and Medicaid programs increasingly are used as models in the U.S. for how third-party payors develop their coverage and reimbursement policies for drugs and biologics. Some third-party payors may require pre-approval of coverage for new or innovative devices or drug therapies before they will reimburse healthcare providers who use such therapies. We cannot predict at this time what third-party payors will decide with respect to the coverage and reimbursement for our product candidates, if approved.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 uniform policy for coverage and reimbursement for products exists among third-party payors in the U.S. and coverage and reimbursement for products can therefore differ significantly from payor to payor and coverage and reimbursement by one payor does not guarantee coverage and reimbursement by another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Our ability to demonstrate to these third-party payors that any of our approved product candidates creates a meaningful value proposition for patients, prescribers and payors will be important to gaining market access and reimbursement and there is no guarantee that we will be successful in doing so. Furthermore, rules and regulations regarding reimbursement change frequently, in some cases on short notice, and we believe that changes in these rules and regulations are likely.</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 product candidate we develop receives marketing approval, it may fail to achieve the degree of market acceptance by physicians, patients, hospitals, cancer treatment centers, third-party payors and others in the medical community necessary for commercial success.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any product candidate we develop receives marketing approval, whether as a single agent or in combination with other therapies, it may nonetheless fail to gain sufficient market acceptance by physicians, patients, hospitals, cancer treatment centers, third-party payors, and others in the medical community. For example, cancer treatments like chemotherapy, radiation therapy and certain existing immunotherapies are well established in the medical community, and doctors may continue to rely on these therapies. If the product candidates we develop do not achieve an adequate level of acceptance, we may not generate significant product revenues and we may not become profitable.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degree of market acceptance of any product, if approved for commercial sale, will depend on a number of factors, including:</w:t>
      </w:r>
    </w:p>
    <w:p>
      <w:pPr>
        <w:spacing w:after="0" w:line="117"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efficacy, safety and potential advantages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a novel treatment and of physicians to prescribe such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recommendations with respect to the product in guidelines published by scientific organizations;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sufficient third-party insurance coverage and adequate reimbursement, including, if applicable, with respect to the use of the product as a combination therapy;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sales and distribution support;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products for the same indications;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the product for sale at competitive prices.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obtain marketing approval for a product but such product does not achieve an adequate level of market acceptance, we may not generate or derive significant revenue from that product and our business, financial condition and results of operations may be adversely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any product candidates we develop or for other proprietary technologies we may develop, or if the scope of the patent protection obtained is not sufficiently broad, our competitors could develop and commercialize product candidates and technology similar or identical to our product candidates and technology, and our ability to successfully commercialize any product candidates we may develop, and our technology may be adversely affected.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U.S. and other countries with respect to our product candidates, their respective components, formulations, combination therapies, methods used to manufacture them and methods of treatment and development that are important to our business. If we do not adequately protect our intellectual property rights, competitors may be able to erode or negate any competitive advantage we may have, which could harm our business and ability to achieve profitability. To protect our proprietary position, we file patent applications in the U.S. and abroad related to our product candidates that are important to our business; we also license and may in the future license or purchase additional patents and patent applications filed by others. If we are unable to secure or maintain patent protection with respect to our product candidates and any proprietary products and technology we develop, our business, financial condition, results of operations and prospects could be materially harmed.</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cannot provide any assurances that any of our patents have, or that any of our pending patent applications that mature into issued patents will include, claims with a scope sufficient to protect our current and future product candidates or otherwise provide any competitive advantage. Specifically, our patents and pending patent applications, if issued, may not provide us with any meaningful protection or prevent competitors from designing around our patent claims to circumvent our patents by developing similar or alternative technologies or therapeutics in a non-infringing manner. For example, a third party may develop a competitive therapy that provides benefits similar to one or more of our product candidates but that uses a different masking moiety that falls outside the scope of our patent protection. If the patent protection provided by the patents and patent applications we hold or have licensed with respect to our product candidates is not sufficiently broad to impede such competition, our ability to successfully commercialize our product candidates could be negatively affected, which would harm our business.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degree of patent protection we require to successfully compete in the marketplace may be unavailable or severely limited in some cases and may not adequately protect our rights or permit us to gain or keep any competitive advantage. The U.S. Patent and Trademark Office, or the USPTO, and various foreign governmental patent agencies require compliance with a number of procedural, documentary, fee payment and other provisions during the patent process. Our or our licensor’s failure to comply with all such provisions during the patent process could result in abandonment or lapse of a patent or patent application that we own or license, resulting in partial or complete loss of patent rights in the relevant jurisdiction. In such an event, competitors might be able to enter the market and compete with us earlier than would otherwise have been the case. Moreover, the laws of foreign countries may not protect our rights to the same extent as the laws of the U.S. In addition, to the extent that we license intellectual property in the future, we cannot guarantee that those licenses will remain in force.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Patent positions of life sciences companies can be uncertain and involve complex factual and legal questions and have in recent years been the subject of much litigation. No consistent policy governing the scope of claims allowable in the field of engineered therapeutic proteins has emerged in the U.S. The scope of patent protection in jurisdictions outside of the U.S. is also uncertain. Changes in either the patent laws or their interpretation in any jurisdiction that we seek patent protection may diminish our ability to protect our inventions, maintain and enforce our intellectual property rights; and, more generally, may affect the value of our intellectual property, including the narrowing of the scope of our patents and any that we may license. Under the Leahy-Smith America Invents Act enacted in 2011, or the AIA, the U.S. moved to a first-to-file system in early 2013 (whereby, assuming the other requirements for patentability are met, the first to file a patent application is entitled to the patent), from the previous system under which the first to make a claimed invention was entitled to the patent. Publications of discoveries in the scientific and academic literature often lag behind the actual discoveries, and patent applications in the U.S. and other jurisdictions are typically not published until 18 months after filing, or in some cases not at all. Therefore, we cannot be certain that we were the first to file for patent protection on the inventions claimed in our patents or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pending patent applications. Furthermore, for U.S. applications in which all claims are entitled to a priority date before March 16, 2013, an interference proceeding can be provoked by a third-party or instituted by the USPTO to determine who was the first to invent any of the subject matter covered by the patent claims of our applications. 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patent prosecution process is complex, expensive, time-consuming and inconsistent across jurisdictions. We may not be able to file, prosecute, maintain, enforce, or license all necessary or desirable patent rights at a commercially reasonable cost or in a timely manner. In addition, we may not pursue or obtain patent protection in all relevant markets. It is possible that we will fail to identify important patentable aspects of our research and development efforts in time to obtain appropriate or any patent protection. While we enter into non-disclosure and confidentiality agreements with parties who have access to confidential or patentable aspects of our research and development efforts, including for example, our employees, external academic scientific collaborators, CROs, CDMOs, consultants, advisors and other third parties, any of these parties may breach the agreements and disclose our confidential or proprietary information before a patent application is filed, thereby endangering our ability to seek patent protection.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issuance, scope, validity, enforceability, and commercial value of our patent rights are highly uncertain. Pending patent applications cannot be enforced against third parties unless, and until, patents issue from such applications, and then only to the extent the issued claims cover the technology. There can be no assurance that our patent applications or any patent applications that we may license in the future will result in patents being issued. Further, the scope of the invention claimed in a patent application can be significantly reduced before the patent is issued, and this scope can be reinterpreted after issuance. Even if patent applications we currently own or that we may license in the future issue as patents, they may not issue in a form that will provide us with adequate protection to prevent competitors or other third parties from competing with us, or otherwise provide us with a competitive advantage. Any patents that eventually issue may be challenged, narrowed or invalidated by third parties. Consequently, we do not know whether any of our product candidates will be protectable or remain protected by valid and enforceable patent rights. Our competitors or other third parties may be able to evade our patent rights by developing new products that are similar to our product candidates, biosimilars of our product candidates, or alternative technologies or products in a non-infringing manner.</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issuance or grant of a patent is not irrefutable as to its inventorship, scope, validity or enforceability, and our patents may be challenged in the courts or patent offices in the U.S. and abroad.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We may in the future, become subject to a third-party pre-issuance submission of prior art, pre- or post-issuance opposition, derivation, revocation, re-examination, post-grant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interference proceeding and other similar proceedings challenging our patent rights or the patent rights of others in the USPTO or other foreign patent office. An unfavorable determination in any such submission, proceeding or litigation could reduce the scope of, or invalidate, our patent rights, allow third parties to commercialize our technology or products and compete directly with us, without payment to us.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patents have a limited lifespan. In the U.S., the natural expiration of a patent is generally 20 years after it is filed. Various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Moreover, third parties may have certain ownership interest in some of our owned and in-licensed patents and patent applications.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or our licensors may need the cooperation of any such co-owners of our owned and in-licensed patents in order to enforce such patents against third parties, and such cooperation may not be provided to us or our licensors. Any of the foregoing could have a material adverse effect on our competitive position, business, financial conditions, results of operations and prospects.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our patent applications have been granted or may be granted or allowed in the future. We cannot be certain that an allowed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patent application will become an issued patent. There may be events that can cause the allowance of a patent application to be withdrawn. For example, after a patent application has been allowed, but prior to being issued, material that could be relevant to patentability may be identified. In such circumstances, the sponsor may pull the application from allowance in order for the USPTO to review the application in view of the new material. We cannot be certain that the USPTO will re-allow the application in view of the new material. Further, 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and following the issuance of a patent. Recently, the USPTO implemented new fee rules including Continuing Application Fee, which would increase our cost for obtaining and maintaining patent protection in the U.S. and potentially limit our ability of seeking additional patents in our existing patent families especially those early filed platform families that have been pending for close to or more than six years. We rely on our outside counsel and other professionals or our licensing partners to pay these fees due to the USPTO and non-U.S. government patent agencies and to help us comply with other procedural, documentary and other similar requirements and we are also dependent on our licensors to take the necessary action to comply with these requirements with respect to our licensed intellectual property.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or technology could be found invalid or unenforceable if challenged in court or the USPTO.</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Despite the measures we take to obtain and maintain patent and other intellectual property rights with respect to our product candidates, our intellectual property rights could be challenged or invalidated. If we or one of our licensors initiate legal proceedings against a third party to enforce a patent covering one of our product candidates or our technology, the defendant could counterclaim that the patent covering our product candidate or technology, as applicable, is invalid and/or unenforceable. In patent litigation in the U.S., defendant counterclaims alleging invalidity and/or unenforceability are commonplace, and there are numerous grounds upon which a third party can assert invalidity or unenforceability of a patent. Third parties may also raise similar claims before administrative bodies in the U.S. or abroad, even outside the context of litigation. Such mechanisms include re-examination,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partes </w:t>
      </w:r>
      <w:r>
        <w:rPr>
          <w:rFonts w:ascii="Times New Roman" w:cs="Times New Roman" w:eastAsia="Times New Roman" w:hAnsi="Times New Roman"/>
          <w:sz w:val="18"/>
          <w:szCs w:val="18"/>
          <w:color w:val="auto"/>
        </w:rPr>
        <w:t>review, post-grant review and equivalent proceedings in foreign jurisdictions (such as opposition proceedings). Such proceedings could result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revocation or amendment to our patents in such a way that they no longer cover our product candidates or technology.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or technology. Such a loss of patent protection could have a material adverse impact on our business and our ability to commercialize or license our technology and product candidates.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patent law in the U.S. and in foreign jurisdictions could diminish the value of patents in general, thereby impairing our ability to protect our products.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As is the case with other biotechnology companies, our success is heavily dependent on intellectual property, particularly patents. Obtaining and enforcing patents in the biopharmaceutical industry involve both technological and legal complexity, and is therefore costly, time-consuming and inherently uncertain. In addition, the U.S. continues to adapt to wide-ranging patent reform legislation that became effective starting in 2012. Moreover, recent U.S. Supreme Court rulings have narrowed the scope of patent protection available in certain circumstances and weakened the rights of patent owners in certain situations. In addition to increasing uncertainty regarding our ability to obtain patents in the future, this combination of events has created uncertainty with respect to the value of patents, once obtained. Depending on new legislation and decisions by the federal courts, and the USPTO, the laws and regulations governing patents could change in unpredictable ways that would weaken our ability to obtain new patents or to enforce our existing patents and patents that we might obtain in the future. For example, the U.S. Supreme Court, in the case </w:t>
      </w:r>
      <w:r>
        <w:rPr>
          <w:rFonts w:ascii="Times New Roman" w:cs="Times New Roman" w:eastAsia="Times New Roman" w:hAnsi="Times New Roman"/>
          <w:sz w:val="18"/>
          <w:szCs w:val="18"/>
          <w:i w:val="1"/>
          <w:iCs w:val="1"/>
          <w:color w:val="auto"/>
        </w:rPr>
        <w:t>Amgen v. Sanofi</w:t>
      </w:r>
      <w:r>
        <w:rPr>
          <w:rFonts w:ascii="Times New Roman" w:cs="Times New Roman" w:eastAsia="Times New Roman" w:hAnsi="Times New Roman"/>
          <w:sz w:val="18"/>
          <w:szCs w:val="18"/>
          <w:color w:val="auto"/>
        </w:rPr>
        <w:t xml:space="preserve">, held that broad functional antibody claims are invalid for lack of enablement. In addition, in </w:t>
      </w:r>
      <w:r>
        <w:rPr>
          <w:rFonts w:ascii="Times New Roman" w:cs="Times New Roman" w:eastAsia="Times New Roman" w:hAnsi="Times New Roman"/>
          <w:sz w:val="18"/>
          <w:szCs w:val="18"/>
          <w:i w:val="1"/>
          <w:iCs w:val="1"/>
          <w:color w:val="auto"/>
        </w:rPr>
        <w:t>Juno v. Kite</w:t>
      </w:r>
      <w:r>
        <w:rPr>
          <w:rFonts w:ascii="Times New Roman" w:cs="Times New Roman" w:eastAsia="Times New Roman" w:hAnsi="Times New Roman"/>
          <w:sz w:val="18"/>
          <w:szCs w:val="18"/>
          <w:color w:val="auto"/>
        </w:rPr>
        <w:t xml:space="preserve">, the Federal Circuit held claims reciting broad antibody genus based on function invalid for lack of written description. Recently, the Federal Circuit issued precedential decisions in </w:t>
      </w:r>
      <w:r>
        <w:rPr>
          <w:rFonts w:ascii="Times New Roman" w:cs="Times New Roman" w:eastAsia="Times New Roman" w:hAnsi="Times New Roman"/>
          <w:sz w:val="18"/>
          <w:szCs w:val="18"/>
          <w:i w:val="1"/>
          <w:iCs w:val="1"/>
          <w:color w:val="auto"/>
        </w:rPr>
        <w:t>In re Cellect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Allergan v. MSN</w:t>
      </w:r>
      <w:r>
        <w:rPr>
          <w:rFonts w:ascii="Times New Roman" w:cs="Times New Roman" w:eastAsia="Times New Roman" w:hAnsi="Times New Roman"/>
          <w:sz w:val="18"/>
          <w:szCs w:val="18"/>
          <w:color w:val="auto"/>
        </w:rPr>
        <w:t xml:space="preserve"> that could shorten or eliminate an extended patent term awarded under patent term adjustment in certain patent family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members if challenged on the basis of obviousness-type double patenting. While we do not believe that any of the patents owned or licensed by us will be found invalid based on these decisions, we cannot predict how future decisions by the courts, Congress or the USPTO may impact the value of our patents. Similarly, changes in the patent laws of other jurisdictions could adversely affect our ability to obtain and effectively enforce our patent rights, which would have a material adverse effect on our business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foreign intellectual property rights and may not be able to protect our intellectual property rights throughout the world.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obtained allowed patents in the U.S. that we consider to be important for certain of our product candidates, however, we may have less robust intellectual property rights outside the U.S., and, in particular, we may not be able to pursue generic coverage of our product candidates outside of the U.S. Filing, prosecuting and defending patents on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 Most of our patent portfolio is at the very early stage. We will need to decide whether and in which jurisdictions to pursue protection for the various inventions in our portfolio prior to applicable deadlines.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many countries have compulsory licensing laws under which a patent owner may be compelled to grant licenses to third parties. Many countries also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and financial condition may be adversely affected.</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in-license agreements for patent rights with respect to our product candidates and may in the future acquire or in-license additional third-party intellectual property rights on which we may similarly rely. We face risks with respect to such reliance, including the risk that we could lose these rights that are important to our business if we fail to comply with our obligations under these licenses or that we may be unable to acquire or in-license third-party intellectual property that may be necessary or important to our business operations.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third-party license agreements pursuant to which we have non-exclusive and exclusive rights to technology that is incorporated into our development programs and product candidates. For example, under our license agreement with City of Hope, we have exclusively in-licensed certain patent rights that cover our anti-CTLA-4 antibody. We also have a license agreement with WuXi Biologics pursuant to which we received an exclusive worldwide license to specified mAbs and patent rights and know-how controlled by WuXi Biologics, including certain patent rights related to our anti-CTLA-4 mAb program. These license agreements impose diligence, milestone payment, royalty payment and other obligations on us.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Moreover, the growth of our business may depend in part on our ability to acquire, in-license or use additional third-party intellectual property rights. The licensing and acquisition of third-party intellectual property rights is a competitive area, and a number of more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Licenses to additional third-party intellectual property, technology, processes, and materials that may be required for the development and commercialization of our product candidates or technology may not be available at all or on commercially reasonable terms. In that event, we may be required to expend significant time and resources to redesign our product candidates or manufacturing processes, or to develop or license replacement technology, all of which may not be feasible on a technical or commercial basis. If we are unable to do so, we may be unable to develop or commercialize our future product candidates or technologies, which could materially harm our business, financial condition, results of operations and growth prospects.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while we cannot currently determine the amount of the royalty obligations we would be required to pay on sales of future products, if any, in the event we do in-license third-party intellectual property rights,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our agreement with City of Hope, we are responsible for the achievement of certain diligence milestones, and our failure to timely achieve such milestones could result in City of Hope’s termination of the agreement or conversion of our exclusive licenses under the licensed patents to non-exclusive licenses. If City of Hope terminates the agreement or converts our licenses to non-exclusive licenses as a result of our failure to meet these diligence milestones, then our ability to commercialize products comprising our anti-CTLA-4 antibody may be impaired or we may face increased competition in the commercialization of anti-CTLA-4 antibody products. Furthermore, our agreement with City of Hope is subject to, and we expect our future license agreements may also be subject to, a reservation of rights by one or more third parties, including the licensor.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Disputes may arise regarding intellectual property subject to our current or any future license agreements, including:</w:t>
      </w:r>
    </w:p>
    <w:p>
      <w:pPr>
        <w:spacing w:after="0" w:line="117"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payments owed under the license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licensor’s ability to defend intellectual property and to enforce intellectual property rights against third parties;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product candidates and processes infringe, misappropriate or otherwise violate any intellectual property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the license agreement;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any partners of ours;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licensing arrangements on acceptable terms, we may be unable to successfully develop and commercialize the affected product candidates. We are generally also subject to all of the same risks described in this Annual Report on Form 10-K with respect to protection of intellectual property that we license as we are for intellectual property that we own. If we or our licensors fail to adequately obtain or protect this intellectual property, our ability to commercialize products could suffer.</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current and any potential future licensors might conclude that we have materially breached our license agreements and might therefore terminate the relevant license agreements, thereby removing our ability to develop and commercialize products and technology covered by such license agreements. If any of our current or future inbound license agreements are terminated, or if the underlying patents fail to provide the intended exclusivity, competitors would have the freedom to seek regulatory approval of, and to market, products that are covered by such license agreements and underlying patents, which might be identical or similar to our products or product candidates. This could have a material adverse effect on our competitive position, business, financial conditions, results of operations and growth prospects. Our business also would suffer if any current or future licensors fail to abide by the terms of the license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 fail to enforce licensed patents against infringing third parties, if the licensed patents or other rights are found to be invalid or unenforceable, or if we are unable to enter into necessary licenses on acceptable terms. Moreover, our licensors may own or control intellectual property that has not been licensed to us and, as a result, we may be subject to claims, regardless of their merit, that we are infringing or otherwise violating the licensor’s rights.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licensor of ours may have relied on third-party consultants or collaborators or on funds from third parties, such as the United States government, such that such licensor is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efforts to protect the proprietary nature of the intellectual property related to our technologies and product candidates are not adequate, we may not be able to compete effectively in our market.</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Biotechnology and pharmaceutical companies generally, and we in particular, compete in a crowded competitive space characterized by rapidly evolving technologies and aggressive development of intellectual property.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upon a combination of patents, confidentiality agreements, trade secret protection and license agreements to protect the intellectual property related to our technologies and our product candidates. Any disclosure to or misappropriation by third parties of our confidential proprietary information could enable competitors to quickly duplicate or surpass our technological achievements and product candidates, thus eroding our competitive position in our market. 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strengthen our patent position.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 is possible that defects of form in the preparation or filing of our patents or patent applications may exist, or may arise in the future, for example with respect to proper priority claims, inventorship, claim scope, or requests for patent term adjustments. If we or our partners, collaborators, licensees or licensors fail to establish, maintain or protect such patents and other intellectual property rights, such rights may be reduced or eliminated. If our partners, collaborators, licensees or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strength of patents in the biotechnology and pharmaceutical field involves complex legal and scientific questions and can be uncertain. We cannot be certain that the claims in any of our issued patents will be considered valid by courts in the U.S. or foreign countries. Third parties may challenge the validity, enforceability or scope thereof. No assurance can be given that if challenged, our patents would be declared by a court to be valid or enforceable or that even if found valid and enforceable, a competitor’s technology or product would be found by a court to infringe our patents. Various post-grant review proceedings, such as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and derivation proceedings, are available and may be pursued by any interested third party in the USPTO to challenge the patentability of claims issued in patents to us or our licensors. No assurance can be given as to the outcome of any such post-grant review proceedings. If the breadth or strength of protection provided by the patents and patent applications we hold with respect to our product candidates or technology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On the other hand,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Recent or future patent reform legislation could increase the uncertainties and costs surrounding the prosecution of our patent applications and the enforcement or defense of our issued patents. For example, the AIA implemented in March 2013, moved the U.S.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AIA includes a number of other significant changes to U.S. patent law, including provisions that affect the way patent applications are prosecuted, redefine prior art and establish a USPTO-administered post-grant review system that has affected patent litigation. The AIA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54" w:lineRule="exact"/>
        <w:rPr>
          <w:sz w:val="20"/>
          <w:szCs w:val="20"/>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or use polypeptides or nucleic acids that are similar to our product candidates or components of our product candidates but that are not covered by the claims of our patents;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active biological ingredients in our current product candidates will eventually become commercially available in biosimilar drug products, and no patent protection may be available with regard to formulation or method of use;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as the case may be, may fail to meet our obligations to the U.S. government in regard to any patents and patent applications funded by U.S. government grants, leading to the loss of patent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as the case may be, might not have been the first to file patent applications for these inventions;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result in issued patents;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prior public disclosures that could invalidate our or our licensors’ patents, as the case may be, or parts of our or their patents;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others may circumvent our owned or in-licensed patents;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unpublished applications or patent applications maintained in secrecy that may later issue with claims covering our products or technology similar to ours;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foreign countries may not protect our or our licensors’, as the case may be, proprietary rights to the same extent as the laws of the U.S.;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owned or in-licensed issued patents or patent applications, if and when issued, may not cover our product candidates or technology;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in scientific collaborations in the past and will continue to do so in the future, and such collaborators may develop adjacent or competing products to ours that are outside the scope of our patents;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for which we can obtain patent protection;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product candidates or technology we develop may be covered by third parties’ patents or other exclusive rights;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proprietary position depends upon patents that are manufacturing, formulation or method-of-use patents, which may not prevent a competitor or other third party from designing around or using the same product candidate for another use.</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Composition of matter patents for biological and pharmaceutical products are generally considered to be the strongest form of intellectual property protection for those types of products, as such patents provide protection without regard to any method of making or method of use. We cannot be certain, however, that the claims in our pending patent applications, including those claims covering the composition of matter of our product candidates, will be considered patentable by the USPTO or by patent offices in foreign countries, or that the claims in any of our patents that have issued or may issue will be considered valid and enforceable by courts in the U.S. or foreign countries. Furthermore, in some cases, we may not be able to obtain issued claims covering compositions of matter relating to our product candidates, and instead may need to rely on secondary intellectual property, including patents or patent applications with claims covering formulations, methods of use and/or methods of manufacture. Method of use patents protect a specified method of using a product, such as a method of treating a particular medical indication. This type of patent may only be enforced against a competitor through indirect infringement, i.e., inducement or contributory infringement, which is more difficult to prove than direct infringement. A competitor may be able to circumvent this type of patent by skinny labeling. Furthermore, this type of patent does not prevent a competitor from making and marketing a product that is identical to our product for an indication that is outside the scope of the patented method. Moreover, even if competitors do not actively promote their products for our targeted indications, physicians may prescribe these products “off-label” for those uses that are covered by our method of use patents. Although off-label prescriptions may infringe or contribute to the infringement of method of use patents, the practice is common and such infringement is difficult to prevent by enforcing patent rights or otherwise.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the protection afforded by patents, we seek to rely on trade secret protection, confidentiality agreements, and license and other agreements to protect proprietary know-how that is not patentable, processes for which patents are difficult to enforce and any other elements of our product discovery and development processes that involve proprietary know-how, information, or technology that is not covered by patents. For example, significant elements of our product candidates, including aspects of sample preparation, methods of manufacturing, cell culturing conditions and related processes are based on unpatented trade secrets that are not publicly disclosed.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 However, we cannot provide assurance that these agreements and policies will not be breached by our employees, consultants, outside scientific collaborators, sponsored researchers and other advisors and that our trade secrets and other proprietary and confidential information will not be disclosed to publicly or to competitors. We cannot be certain that competitors will not otherwise gain access to our trade secrets or independently develop substantially equivalent information and techniques.</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the laws of some foreign countries do not protect proprietary rights to the same extent or in the same manner as the laws of the U.S. As a result, we may encounter significant problems in protecting and defending our trade secrets and other confidential proprietary know-how, information, or technology both in the U.S. and abroad. If we are unable to prevent unauthorized material disclosure of our trade secrets and other confidential information to third parties, we will not be able to establish or maintain a competitive advantage in our market, which could materially adversely affect our business, operating results and financial condition.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choose to go to court to stop a third party from using any of our trade secrets, we may incur substantial costs. These lawsuits may consume our time and other resources even if we are successful.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or violations may prevent or delay our discovery and development efforts.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commercial success depends in part on our avoiding infringement of the patents and violation of other proprietary rights of third parties. There is a substantial amount of litigation involving patents and other intellectual property rights in the biotechnology and pharmaceutical industries, as well as administrative proceedings for challenging patents, including interference, reexamination, and post-grant review proceedings before the USPTO or oppositions and other comparable proceedings in foreign jurisdictions. We may be exposed to, or threatened with, future litigation or other adversarial proceedings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may ultimately issue because many patent filings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third party claims that we infringe its intellectual property rights, we may face a number of issues, including, but not limited to:</w:t>
      </w:r>
    </w:p>
    <w:p>
      <w:pPr>
        <w:spacing w:after="0" w:line="117" w:lineRule="exact"/>
        <w:rPr>
          <w:sz w:val="20"/>
          <w:szCs w:val="20"/>
          <w:color w:val="auto"/>
        </w:rPr>
      </w:pPr>
    </w:p>
    <w:p>
      <w:pPr>
        <w:ind w:left="1020" w:right="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claims, which, regardless of merit, may be expensive and time-consuming to litigate and may divert our management’s attention from our core business;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product candidates, or from using our proprietary technologies, unless the third party licenses its product rights to us, which it is not required to do;</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our products;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product candidates or processes so they do not infringe third-party intellectual property rights, which may not be possible or may require substantial monetary expenditures and time.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Generally, conducting preclinical and clinical trials and other development activities in the U.S. is not considered an act of infringement. If any of our product candidates is approved by the FDA, a third party may then seek to enforce its patent by filing a patent infringement lawsuit against us. While we do not believe that any claims that could otherwise have a materially adverse effect on the commercialization of our product candidates are valid and enforceable, we may be incorrect in this belief, or we may not be able to prove it in litigation. In this regard, patents issued in the U.S. by law enjoy a presumption of validity that can be rebutted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product candidates. Patent applications can take many years to issue.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or patent applications, the scope of pending or issued patent claims, or the expiration of relevant patents are complete, nor can we be certain that we have identified each and every third-party patent and pending application in the U.S. and abroad that is relevant to or necessary to commercialization of our product candidates in any jurisdiction. There may be currently pending patent applications which may later result in issued patents that our product candidates may infringe. In addition, third parties may obtain patents in the future and claim that use of our technologies infringes upon these patents. Moreover, we may fail to identify relevant third-party patents or incorrectly interpret the relevance, scope, or expiration of a third-party patent or incorrectly conclude that a patent is invalid, not enforceable, exhausted, or not infringed by our activities. If any third-party patents were held by a court of competent jurisdiction to cover the manufacturing process of our product candidates, constructs or molecules used in or formed during the manufacturing process, or any final product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product candidates. Defense of these claims, regardless of their merit, could involve substantial litigation expense and would be a substantial diversion of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on commercially reasonable terms or at all. Furthermore, even in the absence of litigation, we may need or may choose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we have certain intellectual property rights under patents and patent applications that we own or have rights to under our inbound license agreements related to our product candidates. Our development of additional product candidates may require the use of proprietary rights held by third parties, and the growth of our business will likely depend in part on our ability to acquire, in-license or use these proprietary rights.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product candidates may also require specific formulations to work effectively and efficiently, and rights to such formulation technology may be held by others. Similarly, efficient production or delivery of our product candidates may also require specific compositions or methods, and the rights to these may be owned by third parties. Moreover, the specific components, such as linkers and antibody fragments, that will be used with our product candidates may be covered by the intellectual property rights of others. We may be unable to acquire or in-license any compositions, methods of use, formulations,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we may collaborate with or sponsor research at academic institutions to accelerate our preclinical research or development under written agreements with these institutions. In certain cases, these institutions may provide us with an option to negotiate a license to any of the institution’s rights in technology resulting from the collaboration or sponsorship.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rights that we may consider necessary or attractive in order to commercialize our product candidates. More established companies may have a competitive advantage over us due to their size, cash resources and greater clinical development and commercialization capabilities.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time-consuming and unsuccessful.</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To counter infringement or unauthorized use, we may be required to file lawsuits with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Third parties may initiate post-grant proceedings and the Patent Trial and Appeal Board of the USPTO may institute such proceedings to determine the validity or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Litigation or post-grant proceedings may result in a decision adverse to our interests and, even if we are successful, may result in substantial costs and distract our management and other employees. We may not be able to prevent, alone or with our licensors, infringement of our patents or misappropriation of our trade secrets or confidential information, particularly in countries where the laws may not protect those rights as fully as in the United States.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generally enter into confidentiality and intellectual property assignment agreements with our employees, consultants, and contractors. These agreements generally provide that inventions conceived by the party in the course of rendering services to us will be our exclusive property. However, those agreements may not be honored and may not effectively assign intellectual property rights to us. Moreover, there may be some circumstances, where we are unable to negotiate for such ownership rights. Disputes regarding ownership or inventorship of intellectual property can also arise in other contexts, such as collaborations and sponsored research. If we are subject to a dispute challenging our rights in or to patents or other intellectual property, such a dispute could be expensive and time consuming. If we were unsuccessful, we could lose valuable rights in intellectual property that we regard as our own.</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confidential information of our competitors or are in breach of non-competition or non-solicitation agreements with our competitors.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of our employees, consultants and advisers were previously employed at other pharmaceutical companies, including our competitors or potential competitors, in some cases until recently. Some of these employees, consultants, advisers, and members of management executed proprietary rights, non-disclosure and non-competition agreements in connection with such previous employment. Although we take steps to ensure that our employees do not use the proprietary information or know-how of others in their work for us, we may be subject to claims that we or our employees, consultants, advisers, and members of management have inadvertently or otherwise used or disclosed trade secrets or other confidential information of these former employers or competitors. In addition, we may in the future be subject to claims that we caused an employee to breach the terms of his or her non-competition or non-solicitation agreement. Litigation may be necessary to defend against these claims. If we fail in defending any such claims, in addition to paying monetary damages, we may lose valuable intellectual property rights or personnel. Even if we are successful in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defending against these claims, litigation could result in substantial costs and could be a distraction to management. If our defense to those claims fails, in addition to paying monetary damages, we may lose valuable intellectual property rights or personnel. Any litigation or the threat thereof may adversely affect our ability to hire employees. A loss of key personnel or their work product could hamper or prevent our ability to commercialize product candidates, which could have an adverse effect on our business, results of operations and financial condition.</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the future, we may in-license intellectual property that may have been discovered through government funded programs and thus may be subject to federal regulations and a preference for U.S.-based companies. Compliance with such regulations may limit our exclusive rights and limit our ability to contract with non-U.S. manufacturers.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of the intellectual property rights that we have licensed or may license in the future and that have been generated through the use of U.S. government funding are subject to certain federal regulations. As a result, the U.S. government may have certain rights to intellectual property embodied in our product candidates pursuant to the Bayh-Dole Act of 1980, or the Bayh-Dole Act. These U.S. government rights in certain inventions developed under a government-funded program include a non-exclusive, non-transferable, irrevocable worldwide license to use inventions for any governmental purpose, generally referred to as “march-in rights.” To our knowledge, none of our current product candidates are subject to march-in rights. However, intellectual property rights that we license in the future could be subject to such limitations. The U.S. government also has the right to take title to such intellectual property rights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We cannot be certain that our current or future licensors will comply with the disclosure or reporting requirements of the Bayh-Dole Act at all times or be able to rectify any lapse in compliance with these requirements.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U.S. government requires that any products embodying the subject invention or produced using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any of our current or future product candidates, our business may be materially harmed.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of our current or future product candidates, one or more of our U.S. patents may be eligible for limited patent term extension under the Drug Price Competition and Patent Term Restoration Act of 1984, or the Hatch-Waxman Act. The Hatch-Waxman Act permits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for each marketing approval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marks of interest and our business may be adversely affected.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trademarks or trade names may be challenged, infringed, circumvented, declared generic or determined to be infringing on other marks. We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the trademark registration process, we may receive Office Actions from the USPTO objecting to the registration of our trademark. Although we would be given an opportunity to respond to those objections, we may be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Numerous factors may limit any potential competitive advantage provided by our intellectual property rights.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factors that may limit any potential competitive advantage provided by our intellectual property rights include:</w:t>
      </w:r>
    </w:p>
    <w:p>
      <w:pPr>
        <w:spacing w:after="0" w:line="75"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patent applications that we own or license may not lead to issued patents;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should they issue, that we own or license, may not provide us with any competitive advantages, or may be challenged and held invalid or unenforceable;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and/or practice technology that is similar to our technology or aspects of our technology but that is not covered by the claims of any of our owned or in-licensed patents, should any such patents issue;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compete with us in jurisdictions where we do not pursue and obtain patent protection;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might not have been the first to make the inventions covered by a pending patent application that we own or license;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might not have been the first to file patent applications covering a particular invention;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our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and/or maintain necessary licenses on reasonable terms or at all;</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assert an ownership interest in our intellectual property and, if successful, such disputes may preclude us from exercising exclusive rights, or any rights at all, over that intellectual property;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the confidentiality of our trade secrets or other proprietary information;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or in-license additional proprietary technologies that are patentable;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and results of operation.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and Other Legal Compliance Matters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regulatory approval process is expensive, time consuming and uncertain and may prevent us from obtaining approvals for the commercialization of some or all of our product candidates. As a result, we cannot predict when or if, and in which territories, we will obtain marketing approval to commercialize a product candidate.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research, testing, manufacturing, labeling, approval, selling, marketing, promotion and distribution of drug and biologic products are subject to extensive regulation by the FDA and comparable foreign regulatory authorities. We are not permitted to market our product candidates in the U.S. or in other countries until we receive approval of a BLA from the FDA or marketing approval from applicable regulatory authorities outside the U.S. Our product candidates are in various stages of development and are subject to the risks of failure inherent in development. We have not submitted an application for or received marketing approval for any of our product candidates in the U.S. or in any other jurisdiction. We have no experience as a company in filing and supporting the applications necessary to gain marketing approvals and expect to rely on third-party CROs to assist us in this process.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process of obtaining marketing approvals, both in the U.S. and abroad,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including manufacturing information, to regulatory authorities for each therapeutic indication to establish the product candidate’s safety and efficacy. The FDA or other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the FDA may determine that we must provide additional evidence and data before approving a BLA for our product candidates. For example, the FDA reviews an application to determine whether there is “substantial evidence” to support a finding of effectiveness for the proposed product for its intended use(s). The FDA has interpreted this evidentiary standard to generally require at least two adequate and well-controlled clinical trials to establish effectiveness of a new product. Under certain circumstances, however, the FDA has indicated that a single trial with certain characteristics and additional confirmatory evidence may satisfy this standard. The FDA issued draft guidance in September 2023 that outlines considerations for relying on confirmatory evidence in lieu of a second clinical trial to demonstrate effectiveness. In the event that we submit a BLA on the basis of one clinical trial and confirmatory evidence, the FDA could determine that such information is not sufficient to support approval of the application and the agency could require us to conduct an additional trial in support of the BLA.</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under the Pediatric Research Equity Act, or PREA, a BLA or supplement to a BLA for certain biological products must contain data to assess the safety and effectiveness of the biological product in all relevant pediatric subpopulations and to support dosing and administration for each pediatric subpopulation for which the product is safe and effective, unless the sponsor receives a deferral or waiver from the FDA. A deferral may be granted for several reasons, including a finding that the product or therapeutic candidate is ready for approval for use in adults before pediatric trials are complete or that additional safety or effectiveness data needs to be collected before the pediatric trials begin. The applicable legislation in the EU also requires sponsors to either conduct clinical trials in a pediatric population in accordance with a Pediatric Investigation Plan approved by the Pediatric Committee of the EMA or to obtain a waiver or deferral from the conduct of these studies by this Committee. For any of our product candidates for which we are seeking regulatory approval in the U.S. or the EU, we cannot guarantee that we will be able to obtain a waiver or alternatively complete any required studies and other requirements in a timely manner, or at all, which could result in associated reputational harm and subject us to enforcement action.</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Regulatory authorities have substantial discretion in the approval process and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Moreover, we may be required to report some of these relationships to the FDA or comparable foreign regulatory authorities. The FDA, or a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example, in December 2022, with the passage of Food and Drug Omnibus Reform Act, or FDORA, Congress required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In June 2024, the FDA issued draft guidance outlining the general requirements for diversity action plans, or DAPs. Unlike most guidance documents issued by the FDA, the DAP guidance, when finalized, will have the force of law, because FDORA specifically dictates that the form and manner for submission of DAPs are specified in FDA guidance. On January 27, 2025, in response to an executive order regarding diversity, equity and inclusion programs, the FDA removed this draft guidance from its website. That action, along with similar actions by the current administration to remove many other healthcare webpages, is the subject of ongoing litigation. In late July 2025, pursuant to a court order, the FDA restored the draft DAP guidance to its website with a statement that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on this page may be modified and/or removed in the future subject to the terms of the court’s order and implemented consistent with applicable law.” Accordingly, in light of these ongoing actions, there is considerable uncertainty surrounding the draft DAP guidance and how the FDA will consider DAPs in connection with its review of BLAs.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for our new clinical activities in the EU, we will need to navigate the Clinical Trials Regulation (EU) No 536/2014, which became effective in the EU and replaced the prior Clinical Trials Directive 2001/20/EC. This regulation aims at simplifying and streamlining the authorization, conduct and transparency of clinical trials in the EU. Under the coordinated procedure for the approval of clinical trials, the sponsor of a clinical trial to be conducted in more than one EU member state will only be required to submit a single application for approval. The submission will be made through the Clinical Trials Information System, a clinical trials portal overseen by the EMA and available to clinical trial sponsors, competent authorities of the EU member states and the public.</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Accordingly, any delay in obtaining or failure to obtain required approvals could negatively affect our ability or that of any future collaborators to generate revenue from the particular product candidate, which likely would result in significant harm to our financial position and adversely impact our stock price.</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from funding cuts, personnel losses, regulatory reform, government shutdowns and other developments could hinder our ability to obtain guidance from the FDA regarding our clinical development program, progress development efficiently, and secure approval of our product candidates in a timely manner, which would negatively impact our business.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and comparable regulatory agencies in foreign jurisdictions, such as the EMA and Committee for Medicinal Products for Human Use, play an important role in the development of our product candidates by providing guidance on our clinical development programs and reviewing our regulatory submissions, including INDs, requests for special designations and marketing applications. If these oversight and review activities are disrupted, then correspondingly our ability to develop and secure timely approval of our product candidates could be impacted in a negative manner. For example, on July 14, 2025, following litigation reaching the U.S. Supreme Court, the current administration began to carry out layoffs across HHS, including at the FDA. The loss of FDA leadership and personnel could lead to disruptions and delays in FDA guidance, review, and approval of our product candidates.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while the FDA’s review of marketing applications and other activities for new drugs and biologics is largely funded through the user fee program established under the Prescription Drug User Fee Act, or PDUFA, it remains unclear how the current administration’s efforts to reduce the workforce of HHS and budget cuts will impact this program and the ability of the FDA to provide guidance and review our product candidates in a timely manner. For example, while the reduction in workforce reportedly did not specifically target FDA reviewers, many operations, administrative and policy staff that help support such reviews were affected, and those losses could lead to delays in PDUFA reviews and related activities. In addition, there is a risk that the reduction in workforce and budget cutbacks could threaten the integrity of the PDUFA program itself, because in order for the FDA to obligate user fees collected under PDUFA in the first place, a certain amount of non-user fee appropriations must be spent on the process for the review of applications plus certain other costs during the same fiscal year.</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also substantial uncertainty as to how regulatory reform measures being implemented by the current administration across the government will impact the FDA and other federal agencies with jurisdiction over our activities. For example, the administration has issued a number of executive orders that could have a significant impact on the manner in which the FDA conducts its operations and engages in regulatory and oversight activities. If these or other orders or executive actions impose constraints on the FDA’s ability to engage in oversight and implementation activities in the normal course, our business may be negatively impacted.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Similarly, actions by the U.S. government have significantly disrupted the operations of government agencies, such as the National Institutes of Health, the National Science Foundation, the Centers for Disease Control and Prevention, and the FDA, which have traditionally provided funding for basic research, research and development, and clinical testing. These government actions have included, among other things, suspending, terminating and withholding of disbursements of funds owed under ongoing contracts, grants, and other financial assistance agreements; declining to continue multi-year research projects for additional annual budget periods; canceling or delaying solicitations for new contract, grant and other financial assistance awards; canceling or delaying proposal evaluation processes and issuance of such new awards; substantially reducing federal agency staff responsible for managing contract and financial assistance programs; eliminating agency information and resources for facilitating research activity; delaying or terminating federal agency procedures for authorizing international transactions; initiating aggressive enforcement actions that may disrupt the operations of major research universities that are significant contributors to life sciences research in the United States, and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threatening access to federal agency contracts and other funding awards based on companies’ otherwise lawful corporate policies and choice of counsel. These actions could, directly or indirectly, significantly disrupt, delay, prevent, or increase the costs of our research and product commercialization programs, including our ability to develop new product candidates, conduct clinical trials, implement research collaborations with other companies or institutions, and obtain approvals to market and sell new products.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government funding of government agencies on which our operations may rely, including those that fund research and development activities, is subject to the political process, which is inherently fluid and unpredictable. For example, the federal government shut down on October 1, 2025 and did not reopen for 43 days. With the shutdown, the FDA issued a public notice stating that FDA operations would continue to the extent permitted by law, such as activities necessary to address imminent threats to the safety of human life and activities funded by carryover user fee funds. The FDA declared that, during the shutdown period, it did not have legal authority to accept user fees assessed for fiscal year 2026 until a fiscal year 2026 appropriation or continuing resolution for the FDA was enacted. As a result, the FDA was not able to accept any regulatory submissions for fiscal year 2026 that required a fee payment and that was submitted during the lapse period. In addition, the FDA indicated that some of its regulatory science research, crucial for advancing product innovation, safety, and quality, would be curtailed during the lapse period.</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same time, disruptions at the FDA and other government agencies may result from public health events similar to the COVID-19 pandemic. For example, during the COVID-19 pandemic, a number of companies announced receipt of complete response letters due to the FDA’s inability to complete required inspections for their applications. In the event of a similar public health emergency in the future, the FDA may not be able to continue its current pace and review timelines could be extended. Regulatory authorities outside the U.S. facing similar circumstances may adopt similar restrictions or other policy measures in response to a similar public health emergency and may also experience delays in their regulatory activities.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Accordingly, if any of the foregoing developments impact the ability of the FDA to provide us with guidance regarding our clinical development programs or delay the FDA’s review and processing of our regulatory submissions, including INDs and BLAs, our business would be negatively impacted. Further, any future government shutdown could impact our ability to access the public markets and obtain necessary capital in order to properly capitalize and continue our operations.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our product candidates from being marketed abroad. Any approval we may be granted for our product candidates in the U.S. would not assure approval of our product candidates in foreign jurisdictions and any of our product candidates that may be approved for marketing in a foreign jurisdiction will be subject to risks associated with foreign operations.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order to market and sell our products in the EU and other foreign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U.S. generally includes all of the risks associated with obtaining FDA approval. We may not obtain approvals from regulatory authorities outside the U.S. on a timely basis, if at all. Approval by the FDA does not ensure approval by regulatory authorities in other countries or jurisdictions, and approval by one regulatory authority outside the U.S. does not ensure approval by regulatory authorities in other countries or jurisdictions or by the FDA. We may file for marketing approvals but not receive necessary approvals to commercialize our products in any market.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many countries outside the U.S., a product candidate must also be approved for reimbursement before it can be sold in that country. In some cases, the price that we intend to charge for our products, if approved, is also subject to approval. Obtaining non-U.S. regulatory approvals and compliance with non-U.S. regulatory requirements could result in significant delays, difficulties and costs for us and could delay or prevent the introduction of our product candidates in certain countries. In addition, if we fail to obtain the non-U.S. approvals required to market our product candidates outside the U.S. or if we fail to comply with applicable non-U.S. regulatory requirements, our target markets will be reduced and our ability to realize the full market potential of our product candidates will be harmed and our business, financial condition, results of operations and prospects may be adversely affected.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could face heightened risks with respect to obtaining marketing authorization in the United Kingdom, or the U.K., as a result of the withdrawal of the U.K. from the EU, commonly referred to as Brexit. The U.K. is no longer part of the European Single Market and EU Customs Union. As of January 1, 2025, the Medicines and Healthcare Products Regulatory Agency, or MHRA, is responsible for approving all medicinal products destined for the U.K. market (i.e., Great Britain and Northern Ireland). On April 28, 2025, the U.K. Parliament adopted amendments to improve and strengthen the U.K.’s clinical trials regulatory regime, which will take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 on April 28, 2026. These changes were needed since the current U.K. requirements are based upon the now-repealed EU Clinical Trials Directive (2001/20/EC), which has been replaced by the European Clinical Trials Regulation (Regulation EU No 536/2014). Since the U.K. left the EU prior to the date on which the EU Clinical Trials Regulation took effect, the U.K. legal framework did not benefit from the same revisions as occurred at EU level.</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the same time, a new international recognition procedure, or IRP, will apply, which intends to facilitate approval of pharmaceutical products in the U.K. The IRP is open to applicants that have already received an authorization for the same product from one of the MHRA’s specified Reference Regulators. The Reference Regulators notably include EMA and regulators in the EU/European Economic Area, or EEA, member states for approvals in the EU centralized procedure and mutual recognition procedure as well as the FDA (for product approvals granted in the United States). However, the concrete functioning of the IRP is currently unclear. Any delay in obtaining, or an inability to obtain, any marketing approvals may force us or our collaborators to restrict or delay efforts to seek regulatory approval in the U.K. for our product candidates, which could significantly and materially harm our business.</w:t>
      </w:r>
    </w:p>
    <w:p>
      <w:pPr>
        <w:spacing w:after="0" w:line="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which may reduce the duration of regulatory data protection and exclusivity periods for orphan drugs, and revise the eligibility for expedited pathways in addition to other changes, was published on April 26, 2023. On June 4, 2025, after almost two years of negotiations among the EU member states, the Council of the European Union adopted its position on the proposed overhaul of the EU general pharmaceutical legislative framework. Thereafter, on December 11, 2025, the European Parliament and Council reached a provisional political agreement on the legislation, which is expected to be adopted by mid-2026. The revisions may have a significant impact on the pharmaceutical industry and our business. They would, among other things, set a baseline period of eight years of data exclusivity and one year of market exclusivity, with possible extensions for new indications up to a maximum of 11 years total. There will likely be a transition period of 24 months, with the changes taking effect in mid-2028.</w:t>
      </w:r>
    </w:p>
    <w:p>
      <w:pPr>
        <w:spacing w:after="0" w:line="1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delay in obtaining, or an inability to obtain, any marketing approvals, as a result of Brexit or otherwise, may force us to restrict or delay efforts to seek regulatory approval in the United Kingdom for our product candidates, which could significantly and materially harm our business. We expect that we will be subject to additional risks in commercializing any of our product candidates that receive marketing approval outside the U.S., including tariffs, trade barriers and regulatory requirements; economic weakness, including inflation, or political instability in particular foreign economies and markets; compliance with tax, employment, immigration and labor laws for employees living or traveling abroad; foreign currency fluctuations, which could result in increased operating expenses and reduced revenue, and other obligations incident to doing business in another country; and workforce uncertainty in countries where labor unrest is more common than in the U.S.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orphan drug designation or orphan drug exclusivity for our product candidates and, even if we do, that exclusivity may not prevent the FDA or the EMA from approving competing products.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U.S. and the EU,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U.S. Generally, a product with orphan drug designation only becomes entitled to orphan drug exclusivity if it receives the first marketing approval for the indication for which it has such designation, in which case the FDA or the EMA will be precluded from approving another marketing application for the same product for that indication for the applicable exclusivity period. The applicable exclusivity period is seven years in the U.S. and ten years in the EU. The European exclusivity period can be reduced to six years if a product no longer meets the criteria for orphan drug designation or if the product is sufficiently profitable so that market exclusivity is no longer justified.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seek orphan drug designations for our product candidates and may be unable to obtain such designations. Even if we do secure such designations and orphan drug exclusivity for a product, that exclusivity may not effectively protect the product from competition because different products can be approved for the same condition. Further, the FDA can subsequently approve the same drug for the same condition if the FDA concludes that the later product is clinically superior in that it is shown to be safer, to be more effective or to make a major contribution to patient care. Finally, orphan drug exclusivity may be lost if the FDA or the EMA determines that the request for designation was materially defective or if the manufacturer is unable to assure sufficient quantity of the product to meet the needs of patients with the rare disease or condition.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FDA and Congress may further reevaluate the Orphan Drug Act and its regulations and policies. This may be particularly true in light of a decision from the Court of Appeals for the 11th Circuit in September 2021. In </w:t>
      </w:r>
      <w:r>
        <w:rPr>
          <w:rFonts w:ascii="Times New Roman" w:cs="Times New Roman" w:eastAsia="Times New Roman" w:hAnsi="Times New Roman"/>
          <w:sz w:val="18"/>
          <w:szCs w:val="18"/>
          <w:i w:val="1"/>
          <w:iCs w:val="1"/>
          <w:color w:val="auto"/>
        </w:rPr>
        <w:t>Catalyst Pharms, Inc. v. Becerra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xml:space="preserve">, that court held that, for the purpose of determining the scope of orphan drug exclusivity, the term “same disease or condition” in the statute means the designated “rare disease or condition” and could not be interpreted by the FDA to mean the “indication or use.” Thus, the court concluded, orphan drug exclusivity applies to the entire designated disease or condition rather than the approved “indication or use.” Although there have been legislative proposals to overrule this decision, they have not been enacted into law. On January 23, 2023, the FDA announced that, in matters beyond the scope of the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xml:space="preserve"> court order, the FDA will continue to apply its existing regulations tying orphan-drug exclusivity to the uses or indications for which the orphan drug is approved. More recently, however, on February 14, 2025, a federal district court in Washington, D.C., fully embraced the reasoning of the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xml:space="preserve"> decision in another decision challenging the scope of orphan drug exclusivity. On April 17, 2025, the FDA appealed this decision to the U.S. Court of Appeals for the D.C. Circuit. The implications of this decision, and its impact on the FDA’s implementation of the Orphan Drug Act, are unclear at this point.</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is subject to ongoing regulation and could be subject to restrictions or withdrawal from the market, and we may be subject to substantial penalties if we fail to comply with regulatory requirements, when and if any of our product candidates are approved.</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will be subject to continual requirements of and review by the FDA and other regulatory authorities. These requirements include submissions of safety and other post-marketing information and reports, registration and listing requirements, cGMP requirements relating to quality control and manufacturing, quality assurance and corresponding maintenance of records and documents, and requirements regarding the distribution of samples to physicians and recordkeeping. In addition, the approval may be subject to limitations on the indicated uses for which the product may be marketed or to the conditions of approval or contain requirements for costly post-marketing testing and surveillance to monitor the safety or efficacy of the medicine, including the requirement to implement a risk evaluation and mitigation strategy. Accordingly, if we receive marketing approval for one or more of our product candidates, we will continue to expend time, money and effort in all areas of regulatory compliance, including manufacturing, production, product surveillance and quality control. If we fail to comply with these requirements, we could have the marketing approvals for our products withdrawn by regulatory authorities and our ability to market any products could be limited, which could adversely affect our ability to achieve or sustain profitability.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Failure to comply with regulatory requirements, may yield various results, including:</w:t>
      </w:r>
    </w:p>
    <w:p>
      <w:pPr>
        <w:spacing w:after="0" w:line="117"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distribution or use of a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collaborators;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using our products.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Non-compliance with EU requirements regarding safety monitoring or pharmacovigilance, and with requirements related to the development of products for the pediatric population, can also result in significant financial penalties. Similarly, failure to comply with the EU’s requirements regarding the protection of personal information can also lead to significant penalties and sanctions. Further, the marketing and promotion of authorized drugs, including industry-sponsored continuing medical education and advertising directed toward the prescribers of drugs and/or the general public, are strictly regulated in the EU notably under Directive 2001/83EC, as amended, and are also subject to EU member state laws. Direct-to-consumer advertising of prescription medicines is prohibited across the EU.</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Accordingly, assuming we, or our collaborators, receive marketing approval for one or more of our product candidates, we, and our collaborators, and our and their contract manufacturers will continue to expend time, money and effort in all areas of regulatory compliance, including manufacturing, production, product surveillance and quality control. If we, and our collaborators, are not able to comply with post-approval regulatory requirements, our or our collaborators’ ability to market any future products could be limited, which could adversely affect our ability to achieve or sustain profitability. Further, the cost of compliance with post-approval regulations may have a negative effect on our operating results and financial condition.</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regulatory approval to market any of our products candidates for which we obtain approval will be limited by indication. If we fail to comply or are found to be in violation of FDA regulations restricting the promotion of any of our product candidates for unapproved uses, we could be subject to criminal penalties, substantial fines or other sanctions and damage awards.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regulations relating to the promotion of products for unapproved uses are complex and subject to substantial interpretation by the FDA, EMA, MHRA and other government agencies. In September 2021, the FDA published final regulations which describe the types of evidence that the agency will consider in determining the intended use of a drug product. Physicians may nevertheless prescribe products off-label to their patients in a manner that is inconsistent with the approved label. Prior to the approval of any of our product candidates, we intend to implement compliance and training programs designed to ensure that any future sales and marketing practices comply with applicable regulations. Notwithstanding these programs, the FDA or other government agencies may allege or find that our practices constitute prohibited promotion of our products for unapproved uses. We also cannot be sure that our employees will comply with company policies and applicable regulations regarding the promotion of products for unapproved uses.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example, on September 9, 2025, the current administration issued a memorandum directing HHS to “ensure transparency and accuracy in direct-to-consumer, or DTC, prescription drug advertising, including by increasing the amount of information regarding any risks associated with the use of any such prescription drug required to be provided in prescription drug advertisements.” To that end, the FDA announced that it is initiating a rulemaking process “to eliminate the ‘adequate provision’ loophole that allows pharmaceutical advertisements to hide safety information by placing it in another format or location.” In this context, the FDA declared that it will no longer tolerate what it characterized as “deceptive practices” in prescription drug advertising and that the FDA would “aggressively deploy” its available enforcement tools, with “heightened scrutiny” of fair balance and disclosures in social media promotions. The FDA also issued a generic “notice letter” directing companies to “remove any noncompliant advertising and bring all promotional communications into compliance.”</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Notwithstanding the regulatory restrictions on off-label promotion, the FDA and other regulatory authorities allow companies to engage in truthful, non-misleading, and non-promotional scientific communications concerning their products in certain circumstances. For example, in January 2025, the FDA published final guidance outlining its policies governing the distribution of scientific information to healthcare providers about unapproved uses of approved products. The final guidance calls for such communications to be non-promotional, truthful, non-misleading, and scientifically sound and to include all information necessary for healthcare providers to interpret the strengths and weaknesses and validity and utility of the information about the unapproved use of the approved product. If a company engages in such communications consistent with the guidance’s recommendations, the FDA indicated that it will not treat such communications as evidence of unlawful promotion of a new intended use for the approved product.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recent years, a significant number of pharmaceutical and biotechnology companies have been the target of inquiries and investigations by various federal and state regulatory, investigative, prosecutorial and administrative entities in connection with the promotion 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products for unapproved uses and other sales practices, including the Department of Justice and various U.S. Attorneys’ Offices, the Office of Inspector General of the Department of Health and Human Services, the FDA, the Federal Trade Commission, or the FTC, and various state Attorneys General offices. These investigations have alleged violations of various federal and state laws and regulations, including claims asserting antitrust violations, violations of the FDCA, the False Claims Act, the Prescription Drug Marketing Act and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FDA or any other governmental agency initiates an enforcement action against us or if we are the subject of a qui tam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certain designations for our product candidates, including Breakthrough Therapy, Fast Track and Priority Review designations in the U.S. and PRIME Designation in the EU, but we might not receive such designations, and even if we do, such designations may not lead to a faster development or regulatory review or approval process.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seek certain designations for one or more of our product candidates that could expedite review and approval by the FDA. A Breakthrough Therapy product is defined as a product that is intended, alone or in combination with one or more other products, to treat a serious condition, and preliminary clinical evidence indicates that the product may demonstrate substantial improvement over existing therapies on one or more clinically significant endpoints, such as substantial treatment effects observed early in clinical development. For products that have been designated as Breakthrough Therapies, interaction and communication between the FDA and the sponsor of the trial can help to identify the most efficient path for clinical development while minimizing the number of patients placed in ineffective control regimens.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FDA may also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also seek a priority review designation for one or more of our product candidates. If the FDA determines that a product candidate is intended to treat a serious condition and, if approved, offers a significant improvement in safety or effectiveness, the FDA may designate the product candidate for priority review.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review designation means that the goal for the FDA to review an application is six months, rather than the standard review period of ten months.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designations are within the discretion of the FDA. Accordingly, even if we believe that one of our product candidates meets the criteria for these designations, the FDA may disagree and instead determine not to make such designation. Further, even if we receive a designation, the receipt of such designation for a product candidate may not result in a faster development or regulatory review or approval process compared to products considered for approval under conventional FDA procedures and does not assure ultimate approval by the FDA. In addition, even if one or more of our product candidates qualifies for these designations, the FDA may later decide that the product candidates no longer meet the conditions for qualification or decide that the time period for FDA review or approval will not be shortened.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EU, we may seek PRIME designation for some of our product candidates in the future. PRIME is a voluntary program aimed at enhancing the EMA’s role to reinforce scientific and regulatory support in order to optimize development and enable accelerated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assessment of new medicines that are of major public health interest with the potential to address unmet medical needs. The program focuses on medicines that target conditions for which there exists no satisfactory method of treatment in the EU or even if such a method exists, it may offer a major therapeutic advantage over existing treatments. PRIME is limited to medicines under development and not authorized in the EU and the applicant intends to apply for an initial marketing authorization application through the centralized procedure. To be accepted for PRIME, a product candidate must meet the eligibility criteria in respect of its major public health interest and therapeutic innovation based on information that is capable of substantiating the claims. The benefits of a PRIME designation include the appointment of a CHMP rapporteur to provide continued support and help to build knowledge ahead of a marketing authorization application, early dialogue and scientific advice at key development milestones, and the potential to qualify products for accelerated review, meaning reduction in the review time for an opinion on approvability to be issued earlier in the application process. PRIME enables an applicant to request parallel EMA scientific advice and health technology assessment advice to facilitate timely market access. Even if we receive PRIME designation for any of our product candidates, the designation may not result in a materially faster development process, review or approval compared to conventional EMA procedures. Further, obtaining PRIME designation does not assure or increase the likelihood of EMA’s grant of a marketing authorization.</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Accelerated approval by the FDA, even if granted for any of our current or future product candidates, may not lead to a faster development or regulatory review or approval process and it does not increase the likelihood that our product candidates will receive marketing approval.</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seek approval of any of our current and future product candidates using the FDA’s accelerated approval pathway. A product may be eligible for accelerated approval if it treats a serious or life-threatening condition, generally provides a meaningful advantage over available therapies, and demonstrates an effect on a surrogate endpoint that is reasonably likely to predict clinical benefit. The FDA or other applicable regulatory agency makes the determination regarding whether a surrogate endpoint is reasonably likely to predict long-term clinical benefit.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seeking such accelerated approval, we will seek feedback from the FDA and otherwise evaluate our ability to seek and receive such accelerated approval. As a condition of approval, the FDA requires that a sponsor of a product receiving accelerated approval perform an adequate and well-controlled post-marketing confirmatory clinical trial or trials. These confirmatory trials must be completed with due diligence and we may be required to evaluate different or additional endpoints in these post-marketing confirmatory trials. These confirmatory trials may require enrollment of more patients than we currently anticipate and will result in additional costs, which may be greater than the estimated costs we currently anticipate. In addition, the FDA currently requires as a condition for accelerated approval preapproval of promotional materials, which could adversely impact the timing of the commercial launch of the product.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can be no assurance that the FDA will agree with any proposed surrogate endpoints or that we will decide to pursue or submit a BLA for accelerated approval or any other form of expedited development, review or approval for any of our current or future product candidates. Similarly, there can be no assurance that, after feedback from FDA,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there can be no assurance that such submission or application will be accepted or that any expedited review or approval will be granted on a timely basis, or at all.</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FDA may withdraw approval of a product candidate approved under the accelerated approval pathway if, for example, the trial required to verify the predicted clinical benefit of our product candidate fails to verify such benefit or does not demonstrate sufficient clinical benefit to justify the risks associated with the drug. The FDA may also withdraw approval if other evidence demonstrates that our product candidate is not shown to be safe or effective under the conditions of use, we fail to conduct any required post approval trial of our product candidate with due diligence or we disseminate false or misleading promotional materials relating to our product candidate. A failure to obtain accelerated approval or any other form of expedited development, review or approval for our product candidates, or withdrawal of a product candidate, would result in a longer time period for commercialization of such product candidate, could increase the cost of development of such product candidate and could harm our competitive position in the marketplace.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there can be no assurance that we will satisfy all FDA requirements, including new provisions that govern accelerated approval. For example, with the passage of FDORA in December 2022, Congress modified certain provisions governing accelerated approval of drug and biologic products. Specifically, the new legislation authorized the FDA to require a sponsor to have its confirmatory clinical trial underway before accelerated approval is awarded and to submit progress reports on its post-approval studies to the FDA every six months until the study is completed. Moreover, FDORA established expedited procedures authorizing FDA to withdraw an accelerated approval if certain conditions are met, including where a required confirmatory trial fails to verify and describe the product’s predicted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clinical benefit or where evidence demonstrates the product is not shown to be safe or effective under the conditions of use. The FDA may also use such procedures to withdraw an accelerated approval if a sponsor fails to conduct any required post-approval study of the product with due diligence, including with respect to “conditions specified by the Secretary.” The new procedures include the provision of due notice and an explanation for a proposed withdrawal, and opportunities for a meeting with the FDA commissioner or the FDA commissioner’s designee and a written appeal, among other things. We will need to fully comply with these and other requirements in connection with the development and approval of any product candidate that qualifies for accelerated approval.</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 recently, in March 2023, the FDA issued draft guidance that outlines its current thinking and approach to accelerated approval. The FDA indicated that the accelerated approval pathway is commonly used for approval of oncology drugs due to the serious and life-threatening nature of cancer. Although single-arm trials have been commonly used to support accelerated approval, a randomized controlled trial is the preferred approach as it provides a more robust efficacy and safety assessment and allows for direct comparisons to an available therapy. To that end, the FDA outlined considerations for designing, conducting, and analyzing data for trials intended to support accelerated approvals of oncology therapeutics. Subsequently, in December 2024 and January 2025, the FDA issued additional draft guidance relating to accelerated approval. The guidance describes the FDA’s views on what it means to conduct a confirmatory trial with due diligence and how the agency plans to interpret whether such a study needs to be underway at the time of approval. While the guidance is currently only in draft form and will ultimately not be legally binding even when finalized, sponsors typically observe the FDA’s guidance closely to ensure that their investigational products qualify for accelerated approval.</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EU, a “conditional” marketing authorization may be granted in cases where all the required safety and efficacy data are not yet available. A conditional marketing authorization is subject to conditions to be fulfilled for generating missing data or ensuring increased safety measures. A conditional marketing authorization is valid for one year and has to be renewed annually until fulfillment of all relevant conditions. Once the applicable pending studies are provided, a conditional marketing authorization can become a “standard” marketing authorization. However, if the conditions are not fulfilled within the timeframe set by the EMA, the marketing authorization will cease to be renewed.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obtain marketing approval of and commercialize our drug product candidates and affect the prices we may obtain for any products that are approved in the United States or foreign jurisdictions.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U.S. and some foreign jurisdictions, there have been a number of legislative and regulatory changes and proposed changes regarding the healthcare system that could prevent or delay marketing approval of our drug product candidates, restrict or regulate post-approval activities and affect our ability to profitably sell any drug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Cost reduction initiatives and other provisions of this legislation could decrease the coverage and price that we receive for any approved products. While the MMA applies only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2010, the PPACA was signed into law. In addition, other legislative changes have been proposed and adopted since the PPACA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2031 pursuant to the CARES Act.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American Taxpayer Relief Act of 2012, among other things, reduced Medicare payments to several providers and increased the statute of limitations period for the government to recover overpayments to providers from three to five years. These laws may result in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reductions in Medicare and other healthcare funding and otherwise affect the prices we may obtain for any of our drug product candidates for which we may obtain regulatory approval or the frequency with which any such product candidate is prescribed or used. For example, under current legislation, the actual reductions in Medicare payments may vary by up to 4%.</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enactment of the PPACA, there have been, and continue to be, numerous legal challenges and Congressional actions to repeal and replace provisions of the law. For example, with enactment of the Tax Cuts and Jobs Act of 2017, or the TCJA, Congress repealed the “individual mandate.” The repeal of this provision, which required most Americans to carry a minimal level of health insurance, became effective in 2019. Further, on June 17, 2021, the U.S. Supreme Court dismissed an action challenging the PPACA after finding that the plaintiffs did not have standing to challenge the constitutionality of the law. Litigation and legislation over the PPACA are likely to continue, with unpredictable and uncertain results.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EU, on December 13, 2021, Regulation No 2021/2282 on Health Technology Assessment, or HTA, amending Directive 2011/24/EU, was adopted. The HTA entered into force in January 2022 and began to apply in January 2025, with a phased implementation depending on the concerned products. The HTA intends to boost cooperation among EU member states in assessing health technologies, including new medicinal products as well as certain high-risk medical devices, and provide the basis for cooperation at the EU level for joint clinical assessments in these areas. It permits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continue to be responsible for assessing non-clinical (e.g., economic, social, ethical) aspects of health technology, and making decisions on pricing and reimbursement.</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legislative efforts may limit the prices for our products, if and when they are licensed for marketing, and that could materially impact our ability to generate revenues.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prices of prescription pharmaceuticals have been the subject of considerable legislative and executive actions in the United States. There have been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example, in October 2020, HHS and the FDA published a final rule allowing states and other entities to develop a Section 804 Importation Program, or SIP, to import certain prescription drugs from Canada into the U.S. That regulation was challenged in a lawsuit by the Pharmaceutical Research and Manufacturers of America, or PhRMA, but the case was dismissed by a federal district court in February 2023 after the court found that PhRMA did not have standing to sue HHS. Several states have passed laws allowing for the importation of drugs from Canada. On May 21, 2025, the FDA announced that it would offer individual states the opportunity to submit a draft proposal for pre-review and meet with the FDA to obtain its initial feedback prior to formally submitting SIP proposals. The intent of these meetings is to assist states in developing their proposals by further clarifying requirements, enhancing the quality of proposals submitted to the FDA and ultimately shortening the review timeline.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16, 2022, the Inflation Reduction Act of 2022, or the IRA, was signed into law.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2023); and replaces the Part D coverage gap discount program with a new discounting program (beginning in 2025). The IRA permits the Secretary of HHS to implement many of these provisions through guidance, as opposed to regulation, for the initial years.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nine years and biologics that have been licensed for 13 years, but it did not originally apply to drugs and biologics that had been approved for a single rare disease or condition. With passage of the One Big Beautiful Bill Act, or OBBBA, on July 3, 2025, which was signed into law on July 4, 2025, Congress extended this exemption to drugs and biologics with multiple orphan drug designations. Nonetheless, since CMS may establish a maximum price for these products in price negotiations, we would be fully at risk of government action if our products are the subject of Medicare price negotiations. Moreover, given the risk that could be the case, these provisions of the IRA may also further heighten the risk that we would not be able to achieve the expected return on our drug products or full value of our patents protecting our products if prices are set after such products have been on the market for nine years.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$4,000 a year in 2024 and, thereafter beginning in 2025, at $2,000 a year.</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IRA potentially raises legal risks with respect to individuals participating in a Medicare Part D prescription drug plan who may experience a gap in coverage if they required coverage above their initial annual coverage limit before they reached the higher threshold, or “catastrophic period” of the plan. Individuals requiring services exceeding the initial annual coverage limit and below the catastrophic period must pay 100% of the cost of their prescriptions until they reach the catastrophic period. Among other things, the IRA contains many provisions aimed at reducing this financial burden on individuals by reducing the co-insurance and co-payment costs, expanding eligibility for lower income subsidy plans, and placing price caps on annual out-of-pocket expenses, each of which could have potential pricing and reporting implications.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first cycle of negotiations for the Medicare Drug Price Negotiation Program commenced in the summer of 2023, with the negotiated prices for ten selected drug products becoming effective on January 1, 2026. The second cycle of negotiations with participating drug companies occurred during 2025, and the negotiated prices for this second set of fifteen drugs will become effective on January 1, 2027. On January 27, 2026, CMS published the list of fifteen drugs selected for the third cycle of negotiations. These negotiated prices will become effective on January 1, 2028.</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6, 2023, Merck &amp; Co., or Merck, filed a lawsuit against the HHS and CMS asserting that, among other things, the IRA’s Drug Price Negotiation Program for Medicare constitutes an uncompensated taking in violation of the Fifth Amendment of the Constitution. Subsequently, a number of other parties, including the U.S. Chamber of Commerce, Bristol Myers Squibb Company, the PhRMA, Astellas, Novo Nordisk, Janssen Pharmaceuticals, Novartis, AstraZeneca and Boehringer Ingelheim, also filed lawsuits in various courts with similar constitutional claims against the HHS and CMS. The HHS has generally won the substantive disputes in these cases, or succeeded in getting claims dismissed for lack of standing. We expect that current or future litigation involving provisions of the IRA will have unpredictable and uncertain results on the implementation and impact of the IRA on the biotechnology industry generally, as well as our business and current or future products.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since adoption of the IRA, the current administration has taken a number of actions to reduce the costs of pharmaceutical products. For example, an April 2025 executive order directed HHS to take steps to reduce the prices of pharmaceutical products, and a May 2025 executive order called on pharmaceutical manufacturers to voluntarily reduce the prices of medicines in the United States. The May 2025 executive order provides that if such actions do not lower the costs of pharmaceuticals, the Secretary of HHS would pursue other actions, including proposing a rulemaking that imposes most favored nation, or MFN, pricing in the United States. Thereafter, on July 31, 2025, 17 pharmaceutical companies were issued letters reiterating the requirements of the May 2025 executive order and demanding that such companies extend MFN pricing to Medicaid patients. Virtually all of these pharmaceutical companies have entered into agreements with the administration to provide for lower prices on certain pharmaceuticals. On February 5, 2026, the administration launched a website that directs individuals to pharmaceutical manufacturer websites that are offering price discounts based on the administration’s pricing agreements with pharmaceutical manufacturers.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Separately, on December 23, 2025, CMS, through its Center for Medicare and Medicaid Innovation, or CMMI, proposed two five-year pilot programs to implement a “reference pricing” regime for drugs paid for under Medicare for 25% of covered beneficiaries. The programs are referred to as the Global Benchmark for Efficient Drug Pricing Model for Medicare Part B drugs, or GLOBE, and the Guarding U.S. Medicare Against Rising Drug Costs for Medicare Part D drugs, or GUARD. Under the proposed pilot programs, a manufacturer would owe rebates to Medicare if prices for its drugs exceeded the prices paid by other economically comparable reference countries, defined in the proposed regulations as Organisation for Economic Co-Operation and Development countries with a gross domestic product, or GDP, of $400 billion and a per capita GDP that is at least 60% of the U.S. per capita GDP (an initial list of 19 reference countries is included in the proposed rule). These pilot programs are proposed to go into effect beginning October 1, 2026.</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organizations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 This may be increasingly true with respect to products approved pursuant to the accelerated approval pathway. State Medicaid programs and other payers are developing strategies and implementing significant coverage barriers, or refusing to cover these products outright, arguing that accelerated approval drugs have insufficient or limited evidence despite meeting the FDA’s standards for accelerated approval.</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Finally, outside the U.S., in some nations, including those of the EU,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certain healthcare laws and regulations, which could expose us to criminal sanctions, civil penalties, contractual damages, reputational harm, fines, disgorgement, exclusion from participation in government healthcare programs, curtailment or restricting of our operations, and diminished future profits and earnings, if any.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Healthcare providers, third-party payors and others will play a primary role in the recommendation and prescription of any products for which we obtain marketing approval. Our current and future arrangements with healthcare providers and third-party payors will expose us to broadly applicable fraud and abuse and other healthcare laws and regulations that may constrain the business or financial arrangements and relationships through which we research as well as market, sell and distribute any products for which we obtain marketing approval. Potentially applicable U.S. federal and state healthcare laws and regulations include the following:</w:t>
      </w:r>
    </w:p>
    <w:p>
      <w:pPr>
        <w:spacing w:after="0" w:line="75" w:lineRule="exact"/>
        <w:rPr>
          <w:sz w:val="20"/>
          <w:szCs w:val="20"/>
          <w:color w:val="auto"/>
        </w:rPr>
      </w:pPr>
    </w:p>
    <w:p>
      <w:pPr>
        <w:jc w:val="both"/>
        <w:ind w:left="1020" w:hanging="503"/>
        <w:spacing w:after="0" w:line="261"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healthcare program such as Medicare and Medicaid;</w:t>
      </w:r>
    </w:p>
    <w:p>
      <w:pPr>
        <w:spacing w:after="0" w:line="71" w:lineRule="exact"/>
        <w:rPr>
          <w:rFonts w:ascii="Times New Roman" w:cs="Times New Roman" w:eastAsia="Times New Roman" w:hAnsi="Times New Roman"/>
          <w:sz w:val="18"/>
          <w:szCs w:val="18"/>
          <w:color w:val="auto"/>
        </w:rPr>
      </w:pPr>
    </w:p>
    <w:p>
      <w:pPr>
        <w:ind w:left="1020" w:right="160" w:hanging="503"/>
        <w:spacing w:after="0" w:line="261"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penalty and false statement laws and regulations relating to pricing and submission of pricing information for government programs, including penalties for knowingly and intentionally overcharging 340b eligible entities and the submission of false or fraudulent pricing information to government entities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0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created additional federal criminal laws that prohibit, among other things, knowingly and willfully executing, or attempting to execute, a scheme to defraud any healthcare benefit program or making false statements relating to healthcare matters;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which prohibits knowingly and willfully falsifying, concealing or covering up a material fact or making any materially false statement in connection with the delivery of or payment for health care benefits, items or services;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which prohibits companies and their intermediaries from making, or offering or promising to make, improper payments to non-U.S. officials for the purpose of obtaining or retaining business or otherwise seeking favorable treatment;</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known as the federal Physician Payments Sunshine Act, under the Patient Protection and Affordable Care Act, or PPACA, as amended by the Health Care Education Reconciliation Act, which requires certain manufacturers of drugs, devices, biologics and medical supplies to report annually to the Centers for Medicare &amp; Medicaid Services, or CMS, within HHS, information related to payments and other transfers of value made by that entity to physicians, other healthcare providers and teaching hospitals, as well as ownership and investment interests held by physicians and their immediate family members; and</w:t>
      </w:r>
    </w:p>
    <w:p>
      <w:pPr>
        <w:spacing w:after="0" w:line="34" w:lineRule="exact"/>
        <w:rPr>
          <w:rFonts w:ascii="Times New Roman" w:cs="Times New Roman" w:eastAsia="Times New Roman" w:hAnsi="Times New Roman"/>
          <w:sz w:val="18"/>
          <w:szCs w:val="18"/>
          <w:color w:val="auto"/>
        </w:rPr>
      </w:pPr>
    </w:p>
    <w:p>
      <w:pPr>
        <w:ind w:left="1020" w:right="20" w:hanging="503"/>
        <w:spacing w:after="0" w:line="259" w:lineRule="exact"/>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and false claims laws, which may apply to healthcare items or services that are reimbursed by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governmental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including private insurers.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provision of benefits or advantages to physicians to induce or encourage the prescription, recommendation, endorsement, purchase, supply, order or use of medicinal products is prohibited in the EU. 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disgorgement, contractual damages, and reputational harm, any of which could substantially disrupt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privacy laws, information security laws, regulations, policies and contractual obligations related to data privacy and security and changes in such laws, regulations, policies, contractual obligations and failure to comply with such requirements could subject us to significant fines and penalties, which may have a material adverse effect on our business, financial condition or results of operations.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data privacy and protection laws and regulations that apply to the collection, transmission, storage and use of personally identifiable information, which among other things, impose certain requirements relating to the privacy, security and transmission of personal information, including comprehensive regulatory systems in the U.S., EU and United Kingdom. The legislative and regulatory landscape for privacy and data protection continues to evolve in jurisdictions worldwide, and there has been an increasing focus on privacy and data protection issues with the potential to affect our business. Failure to comply with any of these laws and regulations could result in enforcement action against us, including fines, claims for damages by affected individuals, damage to our reputation and loss of goodwill, any of which could have a material adverse effect on our business, financial condition, results of operations or prospects.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are numerous U.S. federal and state laws and regulations related to the privacy and security of personal information. In particular, regulations promulgated pursuant to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These obligations may be applicable to some or all of our business activities now or in the future.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are unable to properly protect the privacy and security of protected health information, we could be found to have breached our contracts. Further, if we fail to comply with applicable privacy laws, including applicable HIPAA privacy and security standards, we could face civil and criminal penalties. HHS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are a broad variety of data protection laws that are applicable to our activities, and a wide range of enforcement agencies at both the state and federal levels that can review companies for privacy and data security concerns based on general consumer protection laws. The Federal Trade Commission, or FTC, and state attorneys general all are aggressive in reviewing privacy and data security protections for consumers. There are also increased restrictions at the federal level relating to transferring sensitive data outside of the United States to certain foreign countries. For example, in 2024, Congress passed H.B. 815, which included the Protecting Americans’ Data from Foreign Adversaries Act of 2024. This law creates certain restrictions for entities that disclose sensitive data, including potential health data, to countries such as China. Failure to comply with these rules can lead to a potential FTC enforcement action. Additionally, the Department of Justice recently finalized a rule implementing Executive Order 14117, which creates similar restrictions related to the transfer of sensitive U.S. data to countries such as China. These data protection laws and transfer restrictions, and others that may pass in the future, may create operational challenges and legal risks for our business. As a result, we will need to seek to ensure our business practices comply with evolving rules and guidance at the federal and state level related to privacy and data security in order to mitigate our risk for any potential enforcement action, which may be costly. In addition, if we are subject to an enforcement action and settlement order, we may be required to adhere to very specific privacy and data security practices or pay fines and adhere to specified compliance requirements, all of which could be costly and adversely impact our business. For example, the FTC has been particularly focused on the unpermitted processing of health and genetic data through its recent enforcement actions and is expanding the types of privacy violations that it interprets to be “unfair” under Section 5 of the FTC Act, as well as the types of activities it views to trigger the Health Breach Notification Rule, which the FTC also has the authority to enforce, and is in the process of developing rules related to commercial surveillance and data security.</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Similarly, in 2018, California passed into law the California Consumer Privacy Act, or the CCPA, which took effect on January 1, 2020 and imposed many requirements on businesses that process the personal information of California residents. Many of the CCPA’s requirements are similar to those found in the General Data Protection Regulation, or the GDPR,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information. The CCPA also affords California residents the right to opt-out of “sales” of their personal information. The CCPA contains significant penalties for companies that violate its requirements. In addition, the California Privacy Rights Act, or the CPRA, went into effect on January 1, 2023 and significantly expanded the CCPA to incorporate additional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the California Privacy Protection Agency, a new enforcement agency whose sole responsibility is to enforce the CPRA, which will further increase compliance risk.</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California, a number of other states have passed comprehensive privacy laws similar to the CCPA and CPRA. These laws are either in effect or will go into effect sometime before the end of 2026, with other states likely to consider or pass similar laws in the future.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Congress has also been debating passing a federal privacy law. There are also states that are specifically regulating health information that may affect our business. For example, the State of Washington passed the My Health My Data Act in 2023 which specifically regulated health information that is not otherwise regulated by the HIPAA rules, and the law also has a private right of action, which further increases the relevant compliance risk. Connecticut and Nevada have also passed similar laws regulating consumer health data, and more states are considering such legislation. These laws may impact our business activities, including our identification of research subjects, relationships with business partners and ultimately the marketing and distribution of our products.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Similar to the laws in the United States, there are significant privacy and data security laws that apply in Europe and other countries. The collection, use, disclosure, transfer, or other processing of personal data, including personal health data, regarding individuals who are located in the European Economic Area, or the EEA, and the processing of personal data that takes place in the EEA, is regulated by the GDPR, which went into effect in May 2018 and which imposes obligations on companies that operate in our industry with respect to the processing of personal data and the cross-border transfer of such data. The GDPR imposes onerous accountability obligations requiring data controllers and processors to maintain a record of their data processing and policies. If our or our partners’ or service providers’ privacy or data security measures fail to comply with the GDPR requirements, we may be subject to litigation, regulatory investigations, enforcement notices requiring us to change the way we use personal data and/or fines of up to 20 million Euros or up to 4% of the total worldwide annual turnover of the preceding financial year, whichever is higher, as well as compensation claims by affected individuals, negative publicity, reputational harm and a potential loss of business and goodwill.</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Given the breadth and depth of changes in data protection obligations, complying with the GDPR’s requirements is rigorous and time intensive and requires significant resources and a review of our technologies, systems and practices, as well as those of any third-party collaborators, service providers, contractors or consultants that process or transfer personal data collected in the European Union. The GDPR and other changes in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could lead to government enforcement actions, private litigation and significant fines and penalties against us, all of which could increase our cost of doing business and have a material adverse effect on our business, financial condition or results of operations. Similarly, failure to comply with federal and state laws regarding privacy and security of personal information could expose us to fines and penalties under such laws.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GDPR places restrictions on the cross-border transfer of personal data from the EU to countries that have not been found by the European Commission, or EC, to offer adequate data protection legislation, such as the U.S. There are ongoing concerns about the ability of companies to transfer personal data from the EU to other countries. In July 2020, the Court of Justice of the European Union, or the CJEU, invalidated the EU-U.S. Privacy Shield, one of the mechanisms used to legitimize the transfer of personal data from the EEA to the U.S. The CJEU decision also drew into question the long-term viability of an alternative means of data transfer, the standard contractual clauses, for transfers of personal data from the EEA to the U.S. While we were not self-certified under the privacy shield, this CJEU decision may lead to increased scrutiny on data transfers from the EEA to the U.S. generally and increase our costs of compliance with data privacy legislation, as well as our costs of negotiating appropriate privacy and security agreements with our vendors and business partners.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Beyond GDPR, there are privacy and data security laws in a growing number of countries around the world. While many loosely follow GDPR as a model, other laws contain different or conflicting provisions. These laws will impact our ability to conduct our business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activities, including both our clinical trials and the sale and distribution of commercial products, through increased compliance costs, costs associated with contracting and potential enforcement actions.</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While we continue to address the implications of the recent changes to data privacy regulations, data privacy remains an evolving landscape at both the domestic and international level, with new regulations coming into effect and continued legal challenges, and our efforts to comply with the evolving data protection rules may be unsuccessful. It is possible that these laws may be interpreted and applied in a manner that is inconsistent with our practices. We must devote significant resources to understanding and complying with this changing landscape. Failure to comply with laws regarding data protection would expose us to risk of enforcement actions taken by data protection authorities in the EEA and elsewhere and carries with it the potential for significant penalties if we are found to be non-compliant. Similarly, failure to comply with federal and state laws in the U.S. regarding privacy and security of personal information could expose us to penalties under such laws. Any such failure to comply with data protection and privacy laws could result in government-imposed fines or orders requiring that we change our practices, claims for damages or other liabilities, regulatory investigations and enforcement action, litigation and significant costs for remediation, any of which could adversely affect our business. Even if we are not determined to have violated these laws, government investigations into these issues typically require the expenditure of significant resources and generate negative publicity, which could harm our business, financial condition, results of operations or prospects. Further, we cannot assure you that our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 We cannot assure you that our contractual measures and our own privacy and security-related safeguards will protect us from the risks associated with the third-party processing, storage and transmission of such information.</w:t>
      </w:r>
    </w:p>
    <w:p>
      <w:pPr>
        <w:spacing w:after="0" w:line="1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control, import, sanctions, anti-corruption, and anti-money laundering laws and regulations with respect to our operations and non-compliance with such laws can subject us to criminal and/or civil liability and harm our business.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 the U.S. Foreign Corrupt Practices Act of 1977, as amended, or the FCPA, the U.S. domestic bribery statute contained in 18 U.S.C. § 201, the U.S. Travel Act, the USA PATRIOT Act, and other state and national anti-bribery and anti-money laundering laws in countries in which we conduct activities. Anti-corruption laws are interpreted broadly and prohibit companies and their employees, agents, third-party intermediaries, joint venture partners and collaborators from authorizing, promising, offering or providing, directly or indirectly, improper payments or benefits to recipients in the public or private sector. We may have direct or indirect interactions with officials and employees of government agencies or government-affiliated hospitals, universities and other organizations. In addition, we may engage third-party intermediaries to promote our clinical research activities abroad and/or to obtain necessary permits, licenses, and other regulatory approvals. We can be held liable for the corrupt or other illegal activities of these third-party intermediaries, our employees, representatives, contractors, partners and agents, even if we do not explicitly authorize or have actual knowledge of such activities.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Noncompliance with the laws and regulations described above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investigations or other enforcement actions are launched, or governmental or other sanctions are imposed, or if we do not prevail in any possible civil or criminal litigation, our business, results of operations and financial condition could be materially harmed. In addition, responding to any such action will likely result in a materially significant diversion of management’s attention and resources and significant defense and compliance costs and other professional fees. In certain cases, enforcement authorities may even cause us to appoint an independent compliance monitor which can result in added costs and administrative burdens.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and uncertainty surrounding U.S. and international trade policies may adversely impact our business and operating results.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2025, the U.S. government initiated a series of tariff-related actions against U.S. trading partners, which included a number of reciprocal and country-specific tariffs under the International Emergency Economic Powers Act, or the IEEPA. In February 2026, the U.S. Supreme Court held that the IEEPA does not authorize the President to impose tariffs, invalidating both the “reciprocal” tariffs and certain country-specific tariffs. The President subsequently invoked Section 122 of the Trade Act of 1974 to impose a 10% tariff, which could be raised to 15%, on nearly all foreign imports. The tariffs imposed under Section 122 are temporary and valid for 150 days without congressional approval. Multiple states have challenged these tariffs in court.The U.S. Trade Representative concurrently initiated two investigations under Section 301 of the Trade Act of 1974, which may also result in additional tariffs.</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Separately, in 2025, the Department of Commerce initiated an investigation under Section 232 of the Trade Expansion Act of 1962 into the impact on U.S. national security of the imports of pharmaceuticals and pharmaceutical ingredients, including finished drug products, medical countermeasures, critical inputs such as active pharmaceutical ingredients, and key starting materials, and derivative products of those items. On September 25, 2025, the U.S. administration announced that, beginning October 1, 2025, all branded or patented drugs imported in the U.S. would face a 100% tariff. At the same time, the administration indicated that these tariffs could be avoided by building pharmaceutical manufacturing facilities in the U.S. Thereafter, the administration delayed the October 1, 2025 effective date of the tariffs on branded or patented pharmaceutical products announcing that the administration had now “begun preparing” tariffs on manufacturers that do not build in the U.S. or enter into a most-favored-nation drug pricing agreement with the administration. Significant uncertainty surrounding trade policy and tariff activity continues.</w:t>
      </w:r>
    </w:p>
    <w:p>
      <w:pPr>
        <w:spacing w:after="0" w:line="192"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On April 2, 2026, the administration issued a proclamation invoking Section 232 of the Trade Expansion Act of 1962 to impose tariffs on imports of patented pharmaceuticals, biologics, and associated ingredients into the U.S. Specifically, beginning July 31, 2026, a 100% tariff will apply to pharmaceutical articles classified in certain 10-digit harmonized tariff, or HTS, codes that are subject to a valid, unexpired U.S. patent and are listed in the FDA’s Approved Drug Products with Therapeutic Equivalence Evaluations, or the Orange Book, or are listed in the FDA’s Lists of Licensed Biological Products, or the Purple Book, unless a relevant exemption applies. The 100% tariff also applies to active pharmaceutical ingredients, or APIs, and key starting materials for such articles. For companies like ours that are not listed in the annexes to the proclamation (i.e., those that have not concluded qualifying onshoring plans and MFN pharmaceutical pricing agreements with the U.S. government), the Section 232 tariffs will be effective on September 29, 2026. Preferential tariff rates are provided for imports of covered pharmaceuticals from Japan, the EU, Korea, Switzerland, Lichtenstein and the U.K. Certain categories of products are exempt from these tariffs, including, but not limited to, generic pharmaceuticals and biosimilars; specified U.S.-origin pharmaceutical products; and products classified in certain HTS codes, listed in Annex IV of the proclamation. Drugs and associated ingredients for all approved indications that are designated as orphan pursuant to the Orphan Drug Act; drugs for certain specific uses, including nuclear medicines; plasma-derived therapies; fertility treatments; cell and gene therapies; antibody drug conjugates; medical countermeasures related to chemical, biological, radiological, and nuclear threats; animal health; and other specialty pharmaceutical products to be later identified by the Secretary of Commerce are also likely to be exempt from the tariffs.</w:t>
      </w:r>
    </w:p>
    <w:p>
      <w:pPr>
        <w:spacing w:after="0" w:line="19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changes in tariffs that have been announced and/or implemented and the underlying uncertainty currently surrounding international trade, could have a negative impact on our costs of materials and production processes, or could cause supply chain disruptions and delays due to new tariff policies or trade restrictions. If we are unable to obtain necessary raw materials or product components in sufficient quantities and in a timely manner, the research, development, testing and clinical trials of our product candidates may be delayed or infeasible, and regulatory approval or commercial launch of any resulting product may be delayed or not obtained, which could significantly harm our business. Further, sustained uncertainty about, or the further escalation of, trade and political tensions between the U.S. and China could result in a disadvantageous research and manufacturing environment in China, particularly for U.S.-based companies, including retaliatory restrictions that hinder or potentially inhibit our ability to rely on CMOs and other service providers that operate in China. We cannot yet predict the effect of the U.S. tariffs on imports, or the extent to which other countries will impose quotas, duties, tariffs, taxes or other similar restrictions upon imports or exports in the future, nor can we predict future trade policy or the terms of any renegotiated trade agreements and their impact on our business.</w:t>
      </w:r>
    </w:p>
    <w:p>
      <w:pPr>
        <w:spacing w:after="0" w:line="19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workers’ compensation insurance to cover us for costs and expenses we may incur due to injuries to our employees resulting from the use of hazardous materials, however this insurance may not provide adequate coverage against potential liabilities. We do not maintain insurance for environmental liability or toxic tort claims that may be asserted against us.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CROs, consultants, commercial partners, vendors and principal investigators may engage in misconduct or other improper activities, including non-compliance with regulatory standards and requirements.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independent contractors, CROs, consultants, commercial partners, vendors and our principal investigators. Misconduct by these parties could include intentional failures to comply with FDA regulations or the regulations applicable in the EU and other jurisdictions, provide accurate information to the FDA, the EC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Such misconduct also could involve the improper use of information obtained in the course of clinical trials or interactions with the FDA or other regulatory authorities, which could result in regulatory sanctions and cause serious harm to our reputation. Even with appropriate policies and procedures, it is not always possible to identify and deter misconduct, and the precautions we take to detect and prevent such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Employee Matters and Managing Growth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employees, consultants and advisors and to attract, retain and motivate qualified personnel.</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highly dependent on the management, research and development, clinical, financial and business development expertise of our executive officers, as well as the other members of our scientific and clinical teams. Although we have employment agreements that outline the terms of employment with each of our executive officers, each of them may terminate their employment with us at any time. As such, these employment agreements do not guarantee our retention of our executive officers for any period of time. In addition, at our 2025 annual meeting of stockholders, our stockholders approved a certificate of amendment to our restated certificate of incorporation to provide for the exculpation of our executive officers, as permitted under Delaware law, which amendment became effective on June 10, 2025. Despite this, we may have difficulty retaining key personnel, which could adversely affect our business and further development of our product candidates. Furthermore, the cost of directors’ and officers’ liability insurance, or D&amp;O insurance, is subject to change, which could result in D&amp;O insurance becoming significantly more expensive for us to maintain or require us to accept coverage terms or policy limits that are less favorable. Accordingly, there is no guarantee that we will be able to maintain D&amp;O insurance at a reasonable cost or in an amount adequate to satisfy any liability that may arise. An inability to secure and maintain D&amp;O</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insurance may make it difficult for us to retain and attract talented and skilled directors and officers to serve our company, which could adversely affect our business. We do not maintain “key person” insurance for any of our employees.</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Recruiting and retaining qualified scientific and clinical personnel and, if we are successful in obtaining marketing approval for our product candidates, sales and marketing personnel, is and will be critical to our success. The loss of the services of our executive officers or other key employees could impede, delay or prevent the achievement of our research, development and commercialization objectives and seriously harm our ability to successfully implement our business strategy. Furthermore, replacing executive officers and other key employees may be difficult and may take an extended period of time because of the limited number of individuals in our industry with the breadth of skills and experience required to successfully develop, gain regulatory approval for and commercialize products in the life sciences industry, and specifically our product candidates. We are based in Massachusetts, a state that is home to many other biopharmaceutical companies as well as many academic and research institutions, resulting in fierce competition for qualified personnel. Furthermore, to the extent we hire personnel from competitors, we may be subject to allegations that they have been improperly solicited or that they have divulged proprietary or other confidential information, or that their former employers own their research output. We also experience competition for the hiring of scientific and clinical personnel from universities and research institutions. In addition, we rely on consultants and advisors, including scientific and clinical advisors, to assist us in formulating our research and development strategy. Our consultants and advisors may be employed by employers other than us and may have commitments under consulting or advisory contracts with other entities that may limit their availability to us. Additionally, the biotechnology industry generally has continued to experience a competitive wage environment, which is likely to further exacerbate the foregoing risks and may impact our ability to retain our executive officers or other key employees. If we are unable to continue to attract and retain high quality personnel, our ability to pursue our growth strategy will be limited and could adversely affect our business, prospects, financial condition and results of operations.</w:t>
      </w:r>
    </w:p>
    <w:p>
      <w:pPr>
        <w:spacing w:after="0" w:line="19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on our information technology systems and those of our third-party service providers, and any failure of these systems could harm our business. Security breaches, loss of data, inability to access systems, and other disruptions could compromise sensitive information related to our business or prevent us from accessing critical information and expose us to liability or competitive or reputational harm, which could adversely affect our business, results of operations and financial condition.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collect and maintain information in digital and other forms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privacy, security, confidentiality, availability and integrity of such confidential information. Our internal information technology systems and infrastructure, and those of our contractors, consultants, vendors, service providers and other third parties on which we rely, are vulnerable to damage or unauthorized access or use resulting from computer viruses, malware, natural disasters, terrorism, war, telecommunication and electrical failures, cyber-attacks or cyber-intrusions over the Internet, denial or degradation of service attacks, ransomware, hacking, phishing and other social engineering attacks, attachments to emails, intentional or accidental actions or inactions by persons inside our organization or by persons with access to systems inside our organization.</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risk of a security breach or disruption or data loss, particularly through cyber-attacks or cyber intrusion, including by computer hackers, supply chain attacks, foreign governments and cyber terrorists, has generally increased as the number, intensity and sophistication of attempted attacks and intrusions from around the world have increased. Additionally, attackers may use artificial intelligence and machine learning to launch more automated, targeted and coordinated attacks against targets. In addition, the prevalent use of mobile devices that access confidential information increases the risk of lost or stolen devices, security incidents and data security breaches, which could lead to the loss of confidential information or other intellectual property. We also may face increased risks of a security breach or disruption due to our reliance on internet technology and the number of our employees who are working remotely, which may create additional opportunities for cybercriminals to exploit vulnerabilities.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negative publicity and other harm to our business and our competitive position. If such an event were to occur and cause interruptions in our operations, it could result in a material disruption of our product development programs.</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security compromise affecting us, our partners, our service providers or our industry, whether real or perceived, could harm our reputation, erode confidence in the effectiveness of our security measures and lead to regulatory scrutiny. If such an event were to occur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and cause interruptions in our operations or result in the unauthorized acquisition of or access to personally identifiable information or individually identifiable health information (violating certain privacy laws, as applicable, such as HIPAA, CCPA, HITECH and GDPR), it could result in a material disruption of our discovery and development programs and our business operations, whether due to a loss of our trade secrets or other similar disruptions. Some of the federal, state and foreign government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 Notifications and follow-up actions related to a security breach could impact our reputation,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would also be exposed to a risk of loss, governmental investigations or enforcement, or litigation and potential liability, any of which could materially adversely affect our business, results of operations and financial condition. While we do maintain cyber liability insurance, our insurance coverages may not be sufficient in type or amount to cover us against any such losses, claims, or liabilities related to security breaches, cyber-attacks, cyber intrusion, or other related breaches or disruptions.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face emerging risks associated with the use of generative artificial intelligence and related technologies, including algorithmic error, vendor dependency, potential infringement of third-party intellectual property rights through agent-generated outputs, and an uncertain and rapidly evolving regulatory environment at the state, federal, and international levels, any of which could adversely impact our business, results of operations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marketing our product candidates internationally, if approved, could materially adversely affect our business.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plan to seek regulatory approval of our product candidates outside of the U.S. and, accordingly, we expect that we will be subject to additional risks related to operating, including conducting marketing and sales activities, in international jurisdictions if we obtain the necessary approvals, including:</w:t>
      </w:r>
    </w:p>
    <w:p>
      <w:pPr>
        <w:spacing w:after="0" w:line="54"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in foreign countries that differ from those in the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payor reimbursement regimes, government payors or patient self-pay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FCPA or other comparable foreign regulations;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armed conflicts and terrorism or natural disasters, including pandemics or other outbreaks of infectious disease, earthquakes, typhoons, floods and fires.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Any of these factors, along with other risks associated with international operations, could materially adversely affect our future international expansion and operations and, consequently, our results of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impact our liquidity, increase our expenses and present significant distractions to our management.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we may consider strategic transactions, such as acquisitions of companies, asset purchases and out-licensing or in-licensing of intellectual property, products or technologies. Additional potential transactions that we may consider in the future include a variety of business arrangements, including spin-offs, strategic partnerships, joint ventures, restructurings, divestitures, business combinations and investments.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sufficient additional capital, which may not be available on favorable terms or at all. These transactions may not be successful and may require significant time and attention of management. In addition, the integration of any business that we may acquire in the future may disrupt our existing business and may be a complex, risky and costly endeavor for which we may never realize any or all potential benefits of the acquisition.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or those of the third parties upon whom we depend might be affected by the occurrence of a catastrophic event, such as a terrorist attack, war or other armed conflict, geopolitical tensions or trade wars, pandemic or natural disaster.</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depend on our employees, consultants, CDMOs, CROs, as well as regulatory agencies and other parties, for the continued operation of our business. While we maintain disaster recovery plans, they might not adequately protect us. Despite any precautions that we or any third parties on whom we depend take for catastrophic events, including terrorist attacks, wars or other armed conflicts, geopolitical tensions or trade wars, pandemics or natural disasters, these events could result in significant disruptions to our research and development, manufacturing, preclinical studies, clinical trials, and, ultimately, if approved, the commercialization of our products. Long-term disruptions in the infrastructure caused by these types of events, such as natural disasters, which are increasing in frequency due to the impacts of climate change, the outbreak of wars or other armed conflicts, the escalation of hostilities, geopolitical tensions or trade wars, acts of terrorism or “acts of God,” particularly involving geographies in which we or third parties on whom we depend have offices, manufacturing or clinical trial sites, could adversely affect our businesses. Although we carry business interruption insurance policies and typically have provisions in our contracts that protect us in certain events, our coverage might not include or be adequate to compensate us for all losses that may occur. Any catastrophic event affecting us, our CDMOs, our CROs, regulatory agencies or other parties with which we are engaged could have a material adverse effect on our operations and financial performance.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 and Our Status as a Public Company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may be subject to a low trading volume and volatile market price related or unrelated to our operations and purchasers of our common stock could have difficulty selling their shares or could suffer a decline in value.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trading volume and market price of our common stock has been, and may continue to be, subject to significant fluctuations in response to numerous factors, many of which are beyond our control. The stock market in general and the market for biotechnology and 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trading volume and market price for our common stock may be influenced by many factors, including:</w:t>
      </w:r>
    </w:p>
    <w:p>
      <w:pPr>
        <w:spacing w:after="0" w:line="75"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recently effected reverse stock split of our common stock, which became effective March 13, 2026;</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from our preclinical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or results of any current or future clinical trials we may conduct, or changes in the development status of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from, delays in initiating or completing, or termination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the use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results from, or regulatory developments regarding, a competitor’s product candidate;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 including failure to receive regulatory approval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foreign countries;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third parties, including our filings with the SEC, and announcements relating to acquisitions, strategic transactions, licenses, joint ventures, collaborations, capital commitments, intellectual property, litigation or other disputes impacting us or our business;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expected market acceptance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our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adequate product supply for any product candidate, or approved product or inability to do so at acceptable prices;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expenses related to our preclinical and clinical development programs, including relating to the timing of invoices from, and other billing practices of, our CROs and clinical trial sites;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expenses related to our commercialization activities, if any product candidates are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results of our competitors or potential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services by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us or by any securities analysts who might cover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trends in our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position;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 in the future, including the common stock that may be issuable upon the exercise of outstanding prefunded warrants and common stock warrants, or the perception that such sales could occur;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new, or changes to current accounting standards;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ineffectiveness of our internal controls;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market price and volume fluctuations of comparable companies and, in particular, those that operate in the biotechnology and pharmaceutical industry;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positive or negative recommendations or withdrawal of research coverage by securities analysts;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or divestitures;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our company and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inclusion or exclusion of our common stock in exchange, industry, or other tracking indices;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 and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020" w:right="2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changes to healthcare laws, intellectual property laws or pharmaceutical pricing in the U.S. or foreign jurisdictions, or speculation regarding such changes;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by our officers, directors and significant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76" w:lineRule="exact"/>
        <w:rPr>
          <w:rFonts w:ascii="Times New Roman" w:cs="Times New Roman" w:eastAsia="Times New Roman" w:hAnsi="Times New Roman"/>
          <w:sz w:val="18"/>
          <w:szCs w:val="18"/>
          <w:color w:val="auto"/>
        </w:rPr>
      </w:pPr>
    </w:p>
    <w:p>
      <w:pPr>
        <w:ind w:left="1020" w:hanging="503"/>
        <w:spacing w:after="0" w:line="245" w:lineRule="exact"/>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epidemics or pandemics, such as 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 and any recession, depression, or other sustained adverse market event or economic impact resulting from such epidemics or pandemics;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economic, industry and market conditions;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described in this “Risk Factors” section, many of which are beyond our control.</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 the past, stockholders have initiated class action lawsuits against pharmaceutical and biotechnology companies following periods of volatility in the market prices of these companies’ stock. This risk is especially relevant for us, because biopharmaceutical companies have experienced significant stock price volatility in recent years. Such litigation, if instituted against us, could cause us to incur substantial costs and divert management’s attention and resources from our business.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 the future, we fail to comply with the continued listing requirements of Nasdaq, our common stock may be delisted and the price of our common stock and our ability to access the capital markets could be negatively impacted.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common stock is listed on the Nasdaq Capital Market and we must satisfy continued listing requirements, including minimum stock price, public float, stockholders' equity and other corporate governance standards. If we are unable to comply with applicable Nasdaq listing standards, shares of our common stock would be subject to delisting, which could have a material adverse effect on our business. We have previously received deficiency letters from the Listing Qualifications Department of Nasdaq informing us that we were not in compliance with the continued listing requirements for minimum stock price and stockholders' equity. While we have regained compliance with respect to each of these deficiencies, there can be no assurance that we will be able to continue to maintain compliance with the Nasdaq continued listing requirements in the future. Any potential delisting of our common stock could have a material adverse effect on the market for, and liquidity and price of, our common stock and would adversely affect our ability to raise capital on terms acceptable to us, or at all. Delisting from Nasdaq could also have other negative results, including, without limitation, the potential loss of confidence by investors, customers and employees and fewer business development opportunities. Any delisting of our common stock from Nasdaq would also make it more difficult for our stockholders to sell their shares of our common stock in the public market.</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company, or if they issue unfavorable or inaccurate research regarding our business, or if they publish negative evaluations of our stock, the price and trading volume of our stock could decline.</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securities or industry analysts publish about us or our business. Currently, one securities and industry analyst publishes research on our company. There can be no assurance that the existing analyst will continue to cover us or that new analysts will begin to cover us. There is also no assurance that the covering analyst will provide favorable coverage. Although we have obtained analyst coverage, if the analyst covering our business downgrades her evaluation of our stock or publishes inaccurate or unfavorable research about our business, or provides more favorable relative recommendations about our competitors, the price of our stock could decline. In the past, analysts have ceased to cover our stock and others may cease to do so in the future. As a result, we could lose visibility in the market for our stock, which in turn could cause our stock price and trading volume to decline.</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Unstable global economic and political conditions, including economic uncertainty tied to interest rates and heightened inflation, credit and financial market instability, and uncertainty related to ongoing geopolitical conflicts, could adversely affect our business, financial condition, stock price and ability to raise capital.</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Unstable global economic and political conditions, including economic uncertainty tied to interest rates and heightened inflation, credit and financial market instability, and uncertainty related to ongoing geopolitical conflicts, could adversely affect our business, financial condition, stock price and ability to raise capital. The global economy, in particular the financial markets, have recently experienced significant disruption and volatility, including without limitation, as a result of heightened inflation, capital market volatility, interest rate and currency rate fluctuations, volatility in commodity prices, decline in consumer confidence and economic growth, supply chain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disruptions, banking disruptions, and uncertainty resulting from geopolitical events, including trade wars, civil and political unrest, wars and other armed conflicts. In addition, market volatility, high levels of inflation and high interest rates may increase our cost of financing or restrict our access to potential sources of future capital. Furthermore, our stock price may further decline due in part to the volatility of the stock market and any general economic downturn. If the disruption and volatility persist or deepen, we may be unable to raise sufficient additional capital on acceptable terms, or at all. If we are unable to raise sufficient additional capital, our business, financial condition, stock price and results of operations could be adversely affected, and we may need to implement cost reduction strategies, which could include delaying, reducing or altogether terminating both internal and external costs related to our operations and research and development programs. In addition, political developments impacting government spending and international trade, including changes in trade agreements, trade disputes, tariffs and investment restrictions, such as the ongoing trade dispute between the United States and China, may negatively impact markets and cause weaker macroeconomic conditions. These global economic and political factors could also strain certain of our suppliers and manufacturers, including our primary CDMO, possibly resulting in supply disruptions or increased raw material or manufacturing costs, or adversely impacting their ability to manufacture clinical trial materials for our product candidates. Any of the foregoing could harm our business and we cannot anticipate all of the ways in which the current economic and geopolitical climate and financial market conditions could adversely impact our business.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common stock and exert significant control over matters subject to stockholder approval.</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our executive officers, directors, holders of 5% or more of our common stock and their respective affiliates beneficially owned shares in the aggregate representing a majority of our outstanding common stock. As a result of their share ownership, these stockholders, if they act together, would have the ability to influence our management and policies and would be able to significantly affect the outcome of matters requiring stockholder approval, such as elections of directors, amendments of our organizational documents or approvals of any merger, sale of assets or other major corporate transaction. This may prevent or discourage unsolicited acquisition proposals or offers for our common stock that our stockholders may feel are in their best interest.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Some of these persons or entities may have interests different than our unaffiliated stockholders, or they may want us to pursue strategies that deviate from the interests of other stockholders. In addition, this concentration of ownership might adversely affect the market price of our common stock by:</w:t>
      </w:r>
    </w:p>
    <w:p>
      <w:pPr>
        <w:spacing w:after="0" w:line="54" w:lineRule="exact"/>
        <w:rPr>
          <w:sz w:val="20"/>
          <w:szCs w:val="20"/>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of control of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entrench our management and board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regarding use of our cash and cash equivalents, and we may not use them effectively.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has broad discretion in the application of our cash and cash equivalents and could use such funds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these funds in a manner that does not produce income or that loses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so any returns will be limited to the value of our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anticipate that we will retain future earnings for the development, operation and expansion of our business and do not anticipate declaring or paying any cash dividends for the foreseeable future. Any determination to pay dividends in the future will be at the sole discretion of our board of directors. In addition, the terms of any future debt agreements may preclude us from paying dividends. Any return to stockholders will therefore be limited in the foreseeable future to the appreciation of their stock.</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or EGC, as defined in the Jumpstart Our Business Startups Act of 2012, or the JOBS Act. We expect to remain an EGC until December 31, 2026. For so long as we remain an EGC, we are permitted and intend to rely on exemptions from certain disclosure requirements that are applicable to other public companies that are not EGCs. These exemptions include:</w:t>
      </w:r>
    </w:p>
    <w:p>
      <w:pPr>
        <w:spacing w:after="0" w:line="68" w:lineRule="exact"/>
        <w:rPr>
          <w:sz w:val="20"/>
          <w:szCs w:val="20"/>
          <w:color w:val="auto"/>
        </w:rPr>
      </w:pPr>
    </w:p>
    <w:p>
      <w:pPr>
        <w:ind w:left="1020" w:right="2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after we no longer qualify as an emerging growth company, we may continue to qualify as a smaller reporting company, which would allow us to take advantage of many of the same exemptions from disclosure requirements, including reduced disclosure obligations regarding executive compensation. In addition, if we are a smaller reporting company with less than $100 million in annual revenue, we would not be required to comply with the auditor attestation requirements of Section 404 of the Sarbanes-Oxley Act of 2002, or Section 404.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JOBS Act permits an EGC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can adopt the new or revised standard at the time private companies adopt the new or revised standard and may do so until such time that we either (1) irrevocably elect to “opt out” of such extended transition period or (2) no longer qualify as an EGC or a smaller reporting company. We may choose to early adopt any new or revised accounting standards whenever such early adoption is permitted for private companies.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substantial costs as a result of operating as a public company, and our management has devoted and will continue to be required to devote substantial time to new compliance initiatives and corporate governance practices.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substantial legal, accounting and other expenses. The Sarbanes-Oxley Act of 2002, or the Sarbanes-Oxley Act, the Dodd-Frank Wall Street Reform and Consumer Protection Act, Nasdaq listing requirements,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continue to increase our legal and financial compliance costs and will make some activities more time-consuming and costly.</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evaluate developments in these rules and regulations as they are promulgated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continue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 and our business may be materially adversely effected.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Section 404, we are required to furnish a report by our management on our internal control over financial reporting. However, while we remain an EGC or a smaller reporting company with less than $100 million in annual revenue, we will not be required to include an attestation report on internal control over financial reporting issued by our independent registered public accounting firm. To comply with Section 404, we are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subject us to regulatory scrutiny and sanctions, impair our ability to raise revenue and cause investors to lose confidence in our reported financial information, which could harm our business and have a negative effect on the trading price of our common stock and adversely affect our results of operations and financial condition.</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required to disclose changes made in our internal controls and procedures on a quarterly basis and our management is required to assess the effectiveness of these controls annually. However, for as long as we are an EGC or a smaller reporting company with less than $100 million in annual revenue, our independent registered public accounting firm will not be required to attest to the effectiveness of our internal control over financial reporting pursuant to Section 404.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 which could have a negative effect on the trading price of our common stock and adversely affect our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public company, we are subject to certain reporting requirements of the Securities Exchange Act of 1934, as amended, or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 over financial reporting,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implementation or interpretation may adversely affect our business and financial condition.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sales, use or other tax laws, statutes, rules, or regulations could be enacted or amended at any time, which could affect our business or financial condition, including causing potentially adverse impacts to our effective tax rate, tax liabilities, and cash tax obligations. For example, the IRA was signed into law in August 2022 and OBBBA was signed into law in July 2025. The IRA introduced new tax provisions, including a one percent excise tax imposed on certain stock repurchases by publicly traded companies.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one percent excise tax generally applies to any acquisition of stock by the publicly traded company (or certain of its affiliates) from a stockholder of the company in exchange for money or other property (other than stock of the company itself), subject to certain exceptions. Thus, the excise tax could apply to certain transactions that are not traditional stock repurchases. The OBBBA contains numerous tax provisions that may significantly affect our business or financial condition. The recent changes under the OBBBA include tax rate extensions, changes to the business interest deduction limitation, the election to either fully deduct or continue to capitalize and amortize domestic research and development expenditures (in contrast to the continued capitalization and amortization of foreign research and development expenditures), changes to the bonus depreciation deduction rules, and changes to the international tax framework. Regulatory guidance under the OBBBA and other tax-related legislation is and continues to be forthcoming, and we will utilize such guidance to analyze the impact of such legislation on our business and financial condition. In addition, it is uncertain if and to what extent various states will conform to federal tax legislation.</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Provisions in our restated certificate of incorporation and our second amended and restated bylaws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9" w:lineRule="exact"/>
        <w:rPr>
          <w:sz w:val="20"/>
          <w:szCs w:val="20"/>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only one of three classes of directors is elected each year;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our board of directors;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 of directors;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two-thirds of the votes that all our stockholders would be entitled to cast to amend or repeal specified provisions of our certificate of incorporation or bylaws.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these provisions would apply even if we were to receive an offer that some stockholders may consider beneficial. 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restated certificate of incorporation designates the Court of Chancery of the State of Delaware and the federal district courts of the United States of America as the sole and exclusive forum for certain types of actions and proceedings that may be initiated by our stockholders, which could limit our stockholders’ ability to obtain a favorable judicial forum for disputes with us or our directors, officers and employees and increase the costs to our stockholders of bringing such claims.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the following types of actions or proceedings under Delaware statutory or common law:</w:t>
      </w:r>
    </w:p>
    <w:p>
      <w:pPr>
        <w:spacing w:after="0" w:line="68" w:lineRule="exact"/>
        <w:rPr>
          <w:sz w:val="20"/>
          <w:szCs w:val="20"/>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of our directors, officers, employees or stockholders to our company or our stockholders;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DGCL or as to which the DGCL confers jurisdiction on the Court of Chancery of the State of Delaware; or</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our certificate of incorporation or bylaws (in each case, as they may be amended from time to time) or governed by the internal affairs doctrine.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choice of forum provisions will not apply to suits brought to enforce a duty or liability created by the Exchange Act. Furthermore, Section 22 of the Securities Act creates concurrent jurisdiction for federal and state courts over all such Securities Act actions, and investors cannot waive compliance with the federal securities laws and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restated certificate of incorporation provides that, unless we consent in writing to the selection of an alternative forum, the federal district courts of the United States of America shall, to the fullest extent permitted by law, be the sole and exclusive forum for the resolution of any claims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exclusive forum provisions may limit the ability of our stockholders to bring a claim in a judicial forum that such stockholders find favorable for disputes with us or our directors, officers or employees, and increase the costs to such stockholders of bringing such a claim, either of which may discourage such lawsuits against us and our directors, officers and employees. If a court were to find that either exclusive forum provision contained in our restated certificate of incorporation to be inapplicable or unenforceable in an action, we may incur further significant additional costs associated with resolving such action in other jurisdictions, all of which could materially adversely affect our business, financial condition and operating results.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Departure of Chief Medical Officer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11, 2026, Katarina Luptakova, M.D., notified us of her decision to resign as chief medical officer effective May 31, 2026 to pursue other opportunities. We have engaged Martin Huber, M.D., to serve as a medical and clinical consultant on an interim basis. Dr. Huber most recently served as president and chief executive officer of Mersana Therapeutics, Inc. (prior to its acquisition by Day One Biopharmaceuticals, Inc.), and prior to that served as president and head of R&amp;D at Xilio.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Principal Accounting Officer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11, 2026, our board of directors appointed Christopher Frankenfield, our chief operating and financial officer and principal financial officer, to also serve as our principal accounting officer effective as of that date. Upon Mr. Frankenfield’s appointment, our former principal accounting officer ceased to serve in such role.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Christopher Frankenfield, age 44, has served as our chief financial officer since August 2024 and our chief operating officer since August 2023. Mr. Frankenfield previously served as our chief legal and administrative officer from August 2022 to August 2023 and as our general counsel from March 2021 to August 2022. Prior to joining us, Mr. Frankenfield served in roles of increasing responsibility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Blueprint Medicines Corporation, or Blueprint, from August 2015 to March 2021, including as vice president of corporate legal affairs from July 2019 to March 2021. While at Blueprint, Mr. Frankenfield was responsible for a range of corporate legal activities, including public company reporting, capital markets strategy and follow-on equity offerings, collaborations and partnerships, and supporting commercial product launches. Prior to joining Blueprint, Mr. Frankenfield was a senior associate at Wilmer Cutler Pickering Hale and Dorr LLP, where his practice focused on capital markets and strategic transactions, public company reporting and corporate governance matters. Mr. Frankenfield began his career in the advisory practice at PricewaterhouseCoopers LLP. He received his B.A. in economics from the College of William &amp; Mary and his J.D. from the University of Virginia School of Law.</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Frankenfield does not have a family relationship with any of our officers or directors and has no direct or indirect interest in any transaction required to be disclosed pursuant to Item 404(a) of Regulation S-K.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changes to Mr. Frankenfield’s compensatory plans or arrangements in connection with his appointment described herein.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and Officer Trading Arrangements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None of our directors or officers adopted or terminated a Rule 10b5-1 trading arrangement or a non-Rule 10b5-1 trading arrangement (as such terms are defined in Items 408(a) and 408(c) of Regulation S-K, respectively) during the quarterly period covered by this Quarterly Report on Form 10-Q.</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740" w:type="dxa"/>
            <w:vAlign w:val="bottom"/>
            <w:gridSpan w:val="10"/>
          </w:tcPr>
          <w:p>
            <w:pPr>
              <w:ind w:left="4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0" w:type="dxa"/>
            <w:vAlign w:val="bottom"/>
          </w:tcPr>
          <w:p>
            <w:pPr>
              <w:spacing w:after="0"/>
              <w:rPr>
                <w:sz w:val="20"/>
                <w:szCs w:val="20"/>
                <w:color w:val="auto"/>
              </w:rPr>
            </w:pPr>
          </w:p>
        </w:tc>
        <w:tc>
          <w:tcPr>
            <w:tcW w:w="1006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0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4"/>
                <w:szCs w:val="14"/>
                <w:color w:val="auto"/>
              </w:rPr>
            </w:pPr>
          </w:p>
        </w:tc>
        <w:tc>
          <w:tcPr>
            <w:tcW w:w="10060" w:type="dxa"/>
            <w:vAlign w:val="bottom"/>
            <w:tcBorders>
              <w:top w:val="single" w:sz="8" w:color="auto"/>
            </w:tcBorders>
            <w:gridSpan w:val="12"/>
          </w:tcPr>
          <w:p>
            <w:pPr>
              <w:spacing w:after="0" w:line="169"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Restated Certificate of Incorporation of the Registrant, as amended (incorporated by reference to Exhibit 3.1 to the Registrant's Form 10-K</w:t>
              </w:r>
            </w:hyperlink>
          </w:p>
        </w:tc>
      </w:tr>
      <w:tr>
        <w:trPr>
          <w:trHeight w:val="20"/>
        </w:trPr>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3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60" w:type="dxa"/>
            <w:vAlign w:val="bottom"/>
            <w:gridSpan w:val="12"/>
          </w:tcPr>
          <w:p>
            <w:pPr>
              <w:spacing w:after="0" w:line="19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(File No. 001-40925), filed with the Securities and Exchange Commission on March 23, 2026)</w:t>
              </w:r>
            </w:hyperlink>
          </w:p>
        </w:tc>
      </w:tr>
      <w:tr>
        <w:trPr>
          <w:trHeight w:val="20"/>
        </w:trPr>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3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7"/>
                <w:szCs w:val="17"/>
                <w:color w:val="auto"/>
              </w:rPr>
            </w:pPr>
          </w:p>
        </w:tc>
        <w:tc>
          <w:tcPr>
            <w:tcW w:w="10060" w:type="dxa"/>
            <w:vAlign w:val="bottom"/>
            <w:gridSpan w:val="12"/>
          </w:tcPr>
          <w:p>
            <w:pPr>
              <w:spacing w:after="0" w:line="19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Second Amended and Restated Bylaws of the Registrant (incorporated by reference to Exhibit 3.1 to the Registrant’s Current Report on</w:t>
              </w:r>
            </w:hyperlink>
          </w:p>
        </w:tc>
      </w:tr>
      <w:tr>
        <w:trPr>
          <w:trHeight w:val="20"/>
        </w:trPr>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3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60" w:type="dxa"/>
            <w:vAlign w:val="bottom"/>
            <w:gridSpan w:val="12"/>
          </w:tcPr>
          <w:p>
            <w:pPr>
              <w:spacing w:after="0" w:line="19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Form 8-K (File No. 001-40925), filed with the Securities and Exchange Commission on April 3, 2023)</w:t>
              </w:r>
            </w:hyperlink>
          </w:p>
        </w:tc>
      </w:tr>
      <w:tr>
        <w:trPr>
          <w:trHeight w:val="20"/>
        </w:trPr>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3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EE"/>
            </w:tcBorders>
            <w:gridSpan w:val="2"/>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7"/>
                <w:szCs w:val="17"/>
                <w:color w:val="auto"/>
              </w:rPr>
            </w:pPr>
          </w:p>
        </w:tc>
        <w:tc>
          <w:tcPr>
            <w:tcW w:w="10060" w:type="dxa"/>
            <w:vAlign w:val="bottom"/>
            <w:gridSpan w:val="12"/>
          </w:tcPr>
          <w:p>
            <w:pPr>
              <w:spacing w:after="0" w:line="196" w:lineRule="exact"/>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Form of Pre-Funded Warrant Agreement (incorporated by reference to Exhibit 4.1 to the Registrant’s Current Report on form 8-K (File No.</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tcBorders>
              <w:right w:val="single" w:sz="8" w:color="0000FF"/>
            </w:tcBorders>
            <w:gridSpan w:val="3"/>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60" w:type="dxa"/>
            <w:vAlign w:val="bottom"/>
            <w:gridSpan w:val="12"/>
          </w:tcPr>
          <w:p>
            <w:pPr>
              <w:spacing w:after="0" w:line="19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001-40925), filed with the Securities and Exchange Commission on February 12, 2026)</w:t>
              </w:r>
            </w:hyperlink>
          </w:p>
        </w:tc>
      </w:tr>
      <w:tr>
        <w:trPr>
          <w:trHeight w:val="20"/>
        </w:trPr>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3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7"/>
                <w:szCs w:val="17"/>
                <w:color w:val="auto"/>
              </w:rPr>
            </w:pPr>
          </w:p>
        </w:tc>
        <w:tc>
          <w:tcPr>
            <w:tcW w:w="10060" w:type="dxa"/>
            <w:vAlign w:val="bottom"/>
            <w:gridSpan w:val="12"/>
          </w:tcPr>
          <w:p>
            <w:pPr>
              <w:spacing w:after="0" w:line="196" w:lineRule="exact"/>
              <w:rPr>
                <w:rFonts w:ascii="Times New Roman" w:cs="Times New Roman" w:eastAsia="Times New Roman" w:hAnsi="Times New Roman"/>
                <w:sz w:val="18"/>
                <w:szCs w:val="18"/>
                <w:color w:val="0000FF"/>
                <w:w w:val="99"/>
              </w:rPr>
            </w:pPr>
            <w:hyperlink r:id="rId199">
              <w:r>
                <w:rPr>
                  <w:rFonts w:ascii="Times New Roman" w:cs="Times New Roman" w:eastAsia="Times New Roman" w:hAnsi="Times New Roman"/>
                  <w:sz w:val="18"/>
                  <w:szCs w:val="18"/>
                  <w:color w:val="0000FF"/>
                  <w:w w:val="99"/>
                </w:rPr>
                <w:t>Underwriting Agreement, dated February 11, 2026, by and between Xilio Therapeutics, Inc. and Leerink Partners LLC, as representative of</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2400" w:type="dxa"/>
            <w:vAlign w:val="bottom"/>
            <w:tcBorders>
              <w:right w:val="single" w:sz="8" w:color="0000FF"/>
            </w:tcBorders>
            <w:gridSpan w:val="4"/>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60" w:type="dxa"/>
            <w:vAlign w:val="bottom"/>
            <w:gridSpan w:val="12"/>
          </w:tcPr>
          <w:p>
            <w:pPr>
              <w:spacing w:after="0" w:line="19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the underwriter named therein (incorporated by reference to Exhibit 1.1 to the Registrant’s Current Report on form 8-K (File No. 001-</w:t>
              </w:r>
            </w:hyperlink>
          </w:p>
        </w:tc>
      </w:tr>
      <w:tr>
        <w:trPr>
          <w:trHeight w:val="20"/>
        </w:trPr>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3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2400" w:type="dxa"/>
            <w:vAlign w:val="bottom"/>
            <w:tcBorders>
              <w:right w:val="single" w:sz="8" w:color="0000FF"/>
            </w:tcBorders>
            <w:gridSpan w:val="4"/>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60" w:type="dxa"/>
            <w:vAlign w:val="bottom"/>
            <w:gridSpan w:val="12"/>
          </w:tcPr>
          <w:p>
            <w:pPr>
              <w:spacing w:after="0" w:line="19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40925)</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filed with the Securities and Exchange Commission on February 12, 2026)</w:t>
              </w:r>
            </w:hyperlink>
          </w:p>
        </w:tc>
      </w:tr>
      <w:tr>
        <w:trPr>
          <w:trHeight w:val="20"/>
        </w:trPr>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3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EE"/>
            </w:tcBorders>
            <w:shd w:val="clear" w:color="auto" w:fill="0000FF"/>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17"/>
                <w:szCs w:val="17"/>
                <w:color w:val="auto"/>
              </w:rPr>
            </w:pPr>
          </w:p>
        </w:tc>
        <w:tc>
          <w:tcPr>
            <w:tcW w:w="10060" w:type="dxa"/>
            <w:vAlign w:val="bottom"/>
            <w:gridSpan w:val="12"/>
          </w:tcPr>
          <w:p>
            <w:pPr>
              <w:spacing w:after="0" w:line="196" w:lineRule="exact"/>
              <w:rPr>
                <w:rFonts w:ascii="Times New Roman" w:cs="Times New Roman" w:eastAsia="Times New Roman" w:hAnsi="Times New Roman"/>
                <w:sz w:val="18"/>
                <w:szCs w:val="18"/>
                <w:color w:val="0000FF"/>
                <w:w w:val="99"/>
              </w:rPr>
            </w:pPr>
            <w:hyperlink r:id="rId200">
              <w:r>
                <w:rPr>
                  <w:rFonts w:ascii="Times New Roman" w:cs="Times New Roman" w:eastAsia="Times New Roman" w:hAnsi="Times New Roman"/>
                  <w:sz w:val="18"/>
                  <w:szCs w:val="18"/>
                  <w:color w:val="0000FF"/>
                  <w:w w:val="99"/>
                </w:rPr>
                <w:t>Second Amended and Restated 2022 Inducement Stock Incentive Plan (incorporated by reference to Exhibit 10.9 to the Registrant's Annual</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3440" w:type="dxa"/>
            <w:vAlign w:val="bottom"/>
            <w:tcBorders>
              <w:right w:val="single" w:sz="8" w:color="0000FF"/>
            </w:tcBorders>
            <w:gridSpan w:val="5"/>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60" w:type="dxa"/>
            <w:vAlign w:val="bottom"/>
            <w:gridSpan w:val="12"/>
          </w:tcPr>
          <w:p>
            <w:pPr>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Report on Form 10-K (File No. 001-40925) filed with the Securities and Exchange Commission on March 23, 2026)</w:t>
              </w:r>
            </w:hyperlink>
          </w:p>
        </w:tc>
      </w:tr>
      <w:tr>
        <w:trPr>
          <w:trHeight w:val="20"/>
        </w:trPr>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3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3440" w:type="dxa"/>
            <w:vAlign w:val="bottom"/>
            <w:tcBorders>
              <w:right w:val="single" w:sz="8" w:color="0000EE"/>
            </w:tcBorders>
            <w:gridSpan w:val="5"/>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17"/>
                <w:szCs w:val="17"/>
                <w:color w:val="auto"/>
              </w:rPr>
            </w:pPr>
          </w:p>
        </w:tc>
        <w:tc>
          <w:tcPr>
            <w:tcW w:w="10060" w:type="dxa"/>
            <w:vAlign w:val="bottom"/>
            <w:gridSpan w:val="12"/>
          </w:tcPr>
          <w:p>
            <w:pPr>
              <w:spacing w:after="0" w:line="19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Amended and Restated Employment Agreement, dated January 1, 2026, by and between the Registrant and René Russo (incorporated by</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4900" w:type="dxa"/>
            <w:vAlign w:val="bottom"/>
            <w:gridSpan w:val="7"/>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60" w:type="dxa"/>
            <w:vAlign w:val="bottom"/>
            <w:gridSpan w:val="12"/>
          </w:tcPr>
          <w:p>
            <w:pPr>
              <w:spacing w:after="0" w:line="19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reference to Exhibit 10.15 to the Registrant’s Annual Report on Form 10-K (File No. 001-40925) filed with the Securities and Exchange</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4900" w:type="dxa"/>
            <w:vAlign w:val="bottom"/>
            <w:gridSpan w:val="7"/>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60" w:type="dxa"/>
            <w:vAlign w:val="bottom"/>
            <w:gridSpan w:val="12"/>
          </w:tcPr>
          <w:p>
            <w:pPr>
              <w:spacing w:after="0" w:line="19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Commission on March 23, 2026)</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80" w:type="dxa"/>
            <w:vAlign w:val="bottom"/>
            <w:tcBorders>
              <w:right w:val="single" w:sz="8" w:color="0000EE"/>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1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17"/>
                <w:szCs w:val="17"/>
                <w:color w:val="auto"/>
              </w:rPr>
            </w:pPr>
          </w:p>
        </w:tc>
        <w:tc>
          <w:tcPr>
            <w:tcW w:w="1006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20" w:type="dxa"/>
            <w:vAlign w:val="bottom"/>
            <w:tcBorders>
              <w:right w:val="single" w:sz="8" w:color="0000EE"/>
            </w:tcBorders>
            <w:shd w:val="clear" w:color="auto" w:fill="0000FF"/>
          </w:tcPr>
          <w:p>
            <w:pPr>
              <w:spacing w:after="0" w:line="20" w:lineRule="exact"/>
              <w:rPr>
                <w:sz w:val="1"/>
                <w:szCs w:val="1"/>
                <w:color w:val="auto"/>
              </w:rPr>
            </w:pPr>
          </w:p>
        </w:tc>
        <w:tc>
          <w:tcPr>
            <w:tcW w:w="51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17"/>
                <w:szCs w:val="17"/>
                <w:color w:val="auto"/>
              </w:rPr>
            </w:pPr>
          </w:p>
        </w:tc>
        <w:tc>
          <w:tcPr>
            <w:tcW w:w="1006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20" w:type="dxa"/>
            <w:vAlign w:val="bottom"/>
            <w:tcBorders>
              <w:right w:val="single" w:sz="8" w:color="0000EE"/>
            </w:tcBorders>
            <w:shd w:val="clear" w:color="auto" w:fill="0000FF"/>
          </w:tcPr>
          <w:p>
            <w:pPr>
              <w:spacing w:after="0" w:line="20" w:lineRule="exact"/>
              <w:rPr>
                <w:sz w:val="1"/>
                <w:szCs w:val="1"/>
                <w:color w:val="auto"/>
              </w:rPr>
            </w:pPr>
          </w:p>
        </w:tc>
        <w:tc>
          <w:tcPr>
            <w:tcW w:w="51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17"/>
                <w:szCs w:val="17"/>
                <w:color w:val="auto"/>
              </w:rPr>
            </w:pPr>
          </w:p>
        </w:tc>
        <w:tc>
          <w:tcPr>
            <w:tcW w:w="100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Certifications of Principal Executive Officer and Principal Financial Officer Pursuant to 18 U.S.C. Section 1350, as Adopted Pursuant to</w:t>
            </w: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40" w:type="dxa"/>
            <w:vAlign w:val="bottom"/>
            <w:tcBorders>
              <w:top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w:t>
            </w:r>
            <w:r>
              <w:rPr>
                <w:rFonts w:ascii="Times New Roman" w:cs="Times New Roman" w:eastAsia="Times New Roman" w:hAnsi="Times New Roman"/>
                <w:sz w:val="18"/>
                <w:szCs w:val="18"/>
                <w:color w:val="000000"/>
              </w:rPr>
              <w:t>2</w:t>
            </w: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740" w:type="dxa"/>
            <w:vAlign w:val="bottom"/>
            <w:gridSpan w:val="10"/>
          </w:tcPr>
          <w:p>
            <w:pPr>
              <w:spacing w:after="0" w:line="20" w:lineRule="exact"/>
              <w:rPr>
                <w:sz w:val="1"/>
                <w:szCs w:val="1"/>
                <w:color w:val="auto"/>
              </w:rPr>
            </w:pP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60" w:type="dxa"/>
            <w:vAlign w:val="bottom"/>
          </w:tcPr>
          <w:p>
            <w:pPr>
              <w:spacing w:after="0"/>
              <w:rPr>
                <w:sz w:val="18"/>
                <w:szCs w:val="18"/>
                <w:color w:val="auto"/>
              </w:rPr>
            </w:pPr>
          </w:p>
        </w:tc>
        <w:tc>
          <w:tcPr>
            <w:tcW w:w="100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16"/>
        </w:trPr>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60" w:type="dxa"/>
            <w:vAlign w:val="bottom"/>
          </w:tcPr>
          <w:p>
            <w:pPr>
              <w:spacing w:after="0"/>
              <w:rPr>
                <w:sz w:val="18"/>
                <w:szCs w:val="18"/>
                <w:color w:val="auto"/>
              </w:rPr>
            </w:pPr>
          </w:p>
        </w:tc>
        <w:tc>
          <w:tcPr>
            <w:tcW w:w="100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0"/>
                <w:szCs w:val="20"/>
                <w:color w:val="auto"/>
              </w:rPr>
            </w:pPr>
          </w:p>
        </w:tc>
        <w:tc>
          <w:tcPr>
            <w:tcW w:w="100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13284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2">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367" w:lineRule="exact"/>
        <w:rPr>
          <w:sz w:val="20"/>
          <w:szCs w:val="20"/>
          <w:color w:val="auto"/>
        </w:rPr>
      </w:pPr>
    </w:p>
    <w:p>
      <w:pPr>
        <w:ind w:left="360" w:hanging="352"/>
        <w:spacing w:after="0"/>
        <w:tabs>
          <w:tab w:leader="none" w:pos="3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jc w:val="both"/>
        <w:ind w:left="380" w:hanging="372"/>
        <w:spacing w:after="0" w:line="253" w:lineRule="auto"/>
        <w:tabs>
          <w:tab w:leader="none" w:pos="36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are being furnished solely to accompany this Quarterly Report on Form 10-Q and will not be deemed to be “filed” for purposes of Section 18 of the Exchange Act or otherwise subject to the liability of that section. Such certifications will not be deemed to be incorporated by reference into any filing under the Securities Act of 1933, as amended, or the Exchange Act, except to the extent that the Registrant specifically incorporates it by reference into such filing.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802005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778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XILIO THERAPEUTICS, INC.</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77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By: /s/ René Russo</w:t>
            </w:r>
          </w:p>
        </w:tc>
      </w:tr>
      <w:tr>
        <w:trPr>
          <w:trHeight w:val="191"/>
        </w:trPr>
        <w:tc>
          <w:tcPr>
            <w:tcW w:w="34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René Russo, Pharm.D.</w:t>
            </w:r>
          </w:p>
        </w:tc>
      </w:tr>
      <w:tr>
        <w:trPr>
          <w:trHeight w:val="214"/>
        </w:trPr>
        <w:tc>
          <w:tcPr>
            <w:tcW w:w="34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34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77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By: /s/ Christopher Frankenfield</w:t>
            </w:r>
          </w:p>
        </w:tc>
      </w:tr>
      <w:tr>
        <w:trPr>
          <w:trHeight w:val="191"/>
        </w:trPr>
        <w:tc>
          <w:tcPr>
            <w:tcW w:w="34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Christopher Frankenfield</w:t>
            </w:r>
          </w:p>
        </w:tc>
      </w:tr>
      <w:tr>
        <w:trPr>
          <w:trHeight w:val="214"/>
        </w:trPr>
        <w:tc>
          <w:tcPr>
            <w:tcW w:w="34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tc>
      </w:tr>
      <w:tr>
        <w:trPr>
          <w:trHeight w:val="236"/>
        </w:trPr>
        <w:tc>
          <w:tcPr>
            <w:tcW w:w="34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864"/>
        </w:trPr>
        <w:tc>
          <w:tcPr>
            <w:tcW w:w="3460" w:type="dxa"/>
            <w:vAlign w:val="bottom"/>
          </w:tcPr>
          <w:p>
            <w:pPr>
              <w:spacing w:after="0"/>
              <w:rPr>
                <w:sz w:val="24"/>
                <w:szCs w:val="24"/>
                <w:color w:val="auto"/>
              </w:rPr>
            </w:pPr>
          </w:p>
        </w:tc>
        <w:tc>
          <w:tcPr>
            <w:tcW w:w="2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103</w:t>
            </w:r>
          </w:p>
        </w:tc>
        <w:tc>
          <w:tcPr>
            <w:tcW w:w="5280" w:type="dxa"/>
            <w:vAlign w:val="bottom"/>
          </w:tcPr>
          <w:p>
            <w:pPr>
              <w:spacing w:after="0"/>
              <w:rPr>
                <w:sz w:val="24"/>
                <w:szCs w:val="24"/>
                <w:color w:val="auto"/>
              </w:rPr>
            </w:pPr>
          </w:p>
        </w:tc>
      </w:tr>
      <w:tr>
        <w:trPr>
          <w:trHeight w:val="1249"/>
        </w:trPr>
        <w:tc>
          <w:tcPr>
            <w:tcW w:w="346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René Russo, certify that:</w:t>
      </w:r>
    </w:p>
    <w:p>
      <w:pPr>
        <w:spacing w:after="0" w:line="185" w:lineRule="exact"/>
        <w:rPr>
          <w:sz w:val="20"/>
          <w:szCs w:val="20"/>
          <w:color w:val="auto"/>
        </w:rPr>
      </w:pPr>
    </w:p>
    <w:p>
      <w:pPr>
        <w:ind w:left="360" w:hanging="352"/>
        <w:spacing w:after="0"/>
        <w:tabs>
          <w:tab w:leader="none" w:pos="3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Xilio Therapeutics, Inc.;</w:t>
      </w:r>
    </w:p>
    <w:p>
      <w:pPr>
        <w:spacing w:after="0" w:line="184" w:lineRule="exact"/>
        <w:rPr>
          <w:rFonts w:ascii="Times New Roman" w:cs="Times New Roman" w:eastAsia="Times New Roman" w:hAnsi="Times New Roman"/>
          <w:sz w:val="18"/>
          <w:szCs w:val="18"/>
          <w:color w:val="auto"/>
        </w:rPr>
      </w:pPr>
    </w:p>
    <w:p>
      <w:pPr>
        <w:ind w:left="520" w:hanging="512"/>
        <w:spacing w:after="0" w:line="266" w:lineRule="auto"/>
        <w:tabs>
          <w:tab w:leader="none" w:pos="37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37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520" w:hanging="512"/>
        <w:spacing w:after="0" w:line="266" w:lineRule="auto"/>
        <w:tabs>
          <w:tab w:leader="none" w:pos="37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3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37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René Russo</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14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René Russo</w:t>
            </w:r>
          </w:p>
        </w:tc>
        <w:tc>
          <w:tcPr>
            <w:tcW w:w="5520" w:type="dxa"/>
            <w:vAlign w:val="bottom"/>
          </w:tcPr>
          <w:p>
            <w:pPr>
              <w:spacing w:after="0"/>
              <w:rPr>
                <w:sz w:val="16"/>
                <w:szCs w:val="16"/>
                <w:color w:val="auto"/>
              </w:rPr>
            </w:pPr>
          </w:p>
        </w:tc>
      </w:tr>
      <w:tr>
        <w:trPr>
          <w:trHeight w:val="2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580" w:type="dxa"/>
            <w:vAlign w:val="bottom"/>
          </w:tcPr>
          <w:p>
            <w:pPr>
              <w:spacing w:after="0"/>
              <w:rPr>
                <w:sz w:val="20"/>
                <w:szCs w:val="20"/>
                <w:color w:val="auto"/>
              </w:rPr>
            </w:pPr>
          </w:p>
        </w:tc>
        <w:tc>
          <w:tcPr>
            <w:tcW w:w="10660" w:type="dxa"/>
            <w:vAlign w:val="bottom"/>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979"/>
        </w:trPr>
        <w:tc>
          <w:tcPr>
            <w:tcW w:w="58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5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Frankenfield, certify that:</w:t>
      </w:r>
    </w:p>
    <w:p>
      <w:pPr>
        <w:spacing w:after="0" w:line="185" w:lineRule="exact"/>
        <w:rPr>
          <w:sz w:val="20"/>
          <w:szCs w:val="20"/>
          <w:color w:val="auto"/>
        </w:rPr>
      </w:pPr>
    </w:p>
    <w:p>
      <w:pPr>
        <w:ind w:left="360" w:hanging="352"/>
        <w:spacing w:after="0"/>
        <w:tabs>
          <w:tab w:leader="none" w:pos="3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Xilio Therapeutics, Inc.;</w:t>
      </w:r>
    </w:p>
    <w:p>
      <w:pPr>
        <w:spacing w:after="0" w:line="184" w:lineRule="exact"/>
        <w:rPr>
          <w:rFonts w:ascii="Times New Roman" w:cs="Times New Roman" w:eastAsia="Times New Roman" w:hAnsi="Times New Roman"/>
          <w:sz w:val="18"/>
          <w:szCs w:val="18"/>
          <w:color w:val="auto"/>
        </w:rPr>
      </w:pPr>
    </w:p>
    <w:p>
      <w:pPr>
        <w:ind w:left="520" w:hanging="512"/>
        <w:spacing w:after="0" w:line="266" w:lineRule="auto"/>
        <w:tabs>
          <w:tab w:leader="none" w:pos="37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37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520" w:hanging="512"/>
        <w:spacing w:after="0" w:line="266" w:lineRule="auto"/>
        <w:tabs>
          <w:tab w:leader="none" w:pos="37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3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37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Christopher Frankenfield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Christopher Frankenfield</w:t>
            </w:r>
          </w:p>
        </w:tc>
        <w:tc>
          <w:tcPr>
            <w:tcW w:w="5620" w:type="dxa"/>
            <w:vAlign w:val="bottom"/>
          </w:tcPr>
          <w:p>
            <w:pPr>
              <w:spacing w:after="0"/>
              <w:rPr>
                <w:sz w:val="16"/>
                <w:szCs w:val="16"/>
                <w:color w:val="auto"/>
              </w:rPr>
            </w:pPr>
          </w:p>
        </w:tc>
      </w:tr>
      <w:tr>
        <w:trPr>
          <w:trHeight w:val="2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tc>
      </w:tr>
      <w:tr>
        <w:trPr>
          <w:trHeight w:val="236"/>
        </w:trPr>
        <w:tc>
          <w:tcPr>
            <w:tcW w:w="580" w:type="dxa"/>
            <w:vAlign w:val="bottom"/>
          </w:tcPr>
          <w:p>
            <w:pPr>
              <w:spacing w:after="0"/>
              <w:rPr>
                <w:sz w:val="20"/>
                <w:szCs w:val="20"/>
                <w:color w:val="auto"/>
              </w:rPr>
            </w:pPr>
          </w:p>
        </w:tc>
        <w:tc>
          <w:tcPr>
            <w:tcW w:w="10660" w:type="dxa"/>
            <w:vAlign w:val="bottom"/>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979"/>
        </w:trPr>
        <w:tc>
          <w:tcPr>
            <w:tcW w:w="58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this Quarterly Report on Form 10-Q of Xilio Therapeutics, Inc. (the “Company”) for the three months ended March 31, 2026, as filed with the Securities and Exchange Commission on the date hereof (the “Report”), we, René Russo, President and Chief Executive Officer of the Company, and Christopher Frankenfield, Chief Financial Officer and Chief Operating Officer of the Company, certify, pursuant to 18 U.S.C. § 1350, as adopted pursuant to § 906 of the Sarbanes-Oxley Act of 2002, to our knowledge that:</w:t>
      </w:r>
    </w:p>
    <w:p>
      <w:pPr>
        <w:spacing w:after="0" w:line="139" w:lineRule="exact"/>
        <w:rPr>
          <w:sz w:val="20"/>
          <w:szCs w:val="20"/>
          <w:color w:val="auto"/>
        </w:rPr>
      </w:pPr>
    </w:p>
    <w:p>
      <w:pPr>
        <w:ind w:left="1140" w:hanging="383"/>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 René Russo</w:t>
            </w:r>
          </w:p>
        </w:tc>
        <w:tc>
          <w:tcPr>
            <w:tcW w:w="60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/s/ Christopher Frankenfield</w:t>
            </w:r>
          </w:p>
        </w:tc>
      </w:tr>
      <w:tr>
        <w:trPr>
          <w:trHeight w:val="191"/>
        </w:trPr>
        <w:tc>
          <w:tcPr>
            <w:tcW w:w="12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René Russo</w:t>
            </w:r>
          </w:p>
        </w:tc>
        <w:tc>
          <w:tcPr>
            <w:tcW w:w="82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Christopher Frankenfield</w:t>
            </w:r>
          </w:p>
        </w:tc>
        <w:tc>
          <w:tcPr>
            <w:tcW w:w="100" w:type="dxa"/>
            <w:vAlign w:val="bottom"/>
          </w:tcPr>
          <w:p>
            <w:pPr>
              <w:spacing w:after="0"/>
              <w:rPr>
                <w:sz w:val="16"/>
                <w:szCs w:val="16"/>
                <w:color w:val="auto"/>
              </w:rPr>
            </w:pPr>
          </w:p>
        </w:tc>
      </w:tr>
      <w:tr>
        <w:trPr>
          <w:trHeight w:val="214"/>
        </w:trPr>
        <w:tc>
          <w:tcPr>
            <w:tcW w:w="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c>
          <w:tcPr>
            <w:tcW w:w="60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Title: Chief Financial Officer and Chief Operating Officer</w:t>
            </w:r>
          </w:p>
        </w:tc>
      </w:tr>
      <w:tr>
        <w:trPr>
          <w:trHeight w:val="236"/>
        </w:trPr>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6080" w:type="dxa"/>
            <w:vAlign w:val="bottom"/>
            <w:gridSpan w:val="3"/>
          </w:tcPr>
          <w:p>
            <w:pPr>
              <w:ind w:left="8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432"/>
        </w:trPr>
        <w:tc>
          <w:tcPr>
            <w:tcW w:w="12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60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Date: May 12, 2026</w:t>
            </w:r>
          </w:p>
        </w:tc>
      </w:tr>
      <w:tr>
        <w:trPr>
          <w:trHeight w:val="979"/>
        </w:trPr>
        <w:tc>
          <w:tcPr>
            <w:tcW w:w="12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6" w:name="page107"/>
    <w:bookmarkEnd w:id="10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1)"/>
      <w:numFmt w:val="lowerRoman"/>
      <w:start w:val="3"/>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1)"/>
      <w:numFmt w:val="decimal"/>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1)"/>
      <w:numFmt w:val="lowerRoman"/>
      <w:start w:val="2"/>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
      <w:numFmt w:val="bullet"/>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lvl w:ilvl="1">
      <w:lvlJc w:val="left"/>
      <w:lvlText w:val="(%2)"/>
      <w:numFmt w:val="lowerLetter"/>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202" Type="http://schemas.openxmlformats.org/officeDocument/2006/relationships/image" Target="media/image189.png"/><Relationship Id="rId203" Type="http://schemas.openxmlformats.org/officeDocument/2006/relationships/image" Target="media/image190.png"/><Relationship Id="rId204" Type="http://schemas.openxmlformats.org/officeDocument/2006/relationships/image" Target="media/image191.png"/><Relationship Id="rId205" Type="http://schemas.openxmlformats.org/officeDocument/2006/relationships/image" Target="media/image192.png"/><Relationship Id="rId206" Type="http://schemas.openxmlformats.org/officeDocument/2006/relationships/image" Target="media/image193.png"/><Relationship Id="rId207" Type="http://schemas.openxmlformats.org/officeDocument/2006/relationships/image" Target="media/image194.png"/><Relationship Id="rId208" Type="http://schemas.openxmlformats.org/officeDocument/2006/relationships/image" Target="media/image195.png"/><Relationship Id="rId209" Type="http://schemas.openxmlformats.org/officeDocument/2006/relationships/image" Target="media/image196.png"/><Relationship Id="rId210" Type="http://schemas.openxmlformats.org/officeDocument/2006/relationships/image" Target="media/image197.png"/><Relationship Id="rId211" Type="http://schemas.openxmlformats.org/officeDocument/2006/relationships/image" Target="media/image198.png"/><Relationship Id="rId196" Type="http://schemas.openxmlformats.org/officeDocument/2006/relationships/hyperlink" Target="https://www.sec.gov/Archives/edgar/data/1840233/000119312526118550/xlo-ex3_1.htm" TargetMode="External"/><Relationship Id="rId197" Type="http://schemas.openxmlformats.org/officeDocument/2006/relationships/hyperlink" Target="https://www.sec.gov/Archives/edgar/data/1840233/000155837023005393/xlo-20230328xex3d1.htm" TargetMode="External"/><Relationship Id="rId198" Type="http://schemas.openxmlformats.org/officeDocument/2006/relationships/hyperlink" Target="https://www.sec.gov/Archives/edgar/data/1840233/000119312526048942/d85184dex41.htm" TargetMode="External"/><Relationship Id="rId199" Type="http://schemas.openxmlformats.org/officeDocument/2006/relationships/hyperlink" Target="https://www.sec.gov/Archives/edgar/data/1840233/000119312526048942/d85184dex11.htm" TargetMode="External"/><Relationship Id="rId200" Type="http://schemas.openxmlformats.org/officeDocument/2006/relationships/hyperlink" Target="https://www.sec.gov/Archives/edgar/data/1840233/000119312526118550/xlo-ex10_9.htm" TargetMode="External"/><Relationship Id="rId201" Type="http://schemas.openxmlformats.org/officeDocument/2006/relationships/hyperlink" Target="https://www.sec.gov/Archives/edgar/data/1840233/000119312526118550/xlo-ex10_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2026-05-12T06:44:34Z</dcterms:created>
  <dcterms:modified xsi:type="dcterms:W3CDTF">2026-05-12T06:44:34Z</dcterms:modified>
</cp:coreProperties>
</file>