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4" w:space="1" w:color="000000"/>
        </w:pBdr>
        <w:bidi w:val="0"/>
        <w:jc w:val="left"/>
        <w:rPr/>
      </w:pPr>
      <w:bookmarkStart w:id="0" w:name="xlo-20260610.htm"/>
      <w:bookmarkStart w:id="1" w:name="ksxlo20260610"/>
      <w:bookmarkEnd w:id="0"/>
      <w:bookmarkEnd w:id="1"/>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3"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3" w:space="1" w:color="000000"/>
        </w:pBdr>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June 10, 2026</w:t>
      </w:r>
    </w:p>
    <w:p>
      <w:pPr>
        <w:pStyle w:val="TextBody"/>
        <w:pBdr>
          <w:bottom w:val="single" w:sz="3"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Xilio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Charter)</w:t>
      </w:r>
    </w:p>
    <w:p>
      <w:pPr>
        <w:pStyle w:val="TextBody"/>
        <w:pBdr>
          <w:bottom w:val="single" w:sz="3" w:space="1" w:color="000000"/>
        </w:pBdr>
        <w:bidi w:val="0"/>
        <w:jc w:val="left"/>
        <w:rPr/>
      </w:pPr>
      <w:r>
        <w:rPr/>
        <w:t> </w:t>
      </w:r>
    </w:p>
    <w:p>
      <w:pPr>
        <w:pStyle w:val="TextBody"/>
        <w:bidi w:val="0"/>
        <w:jc w:val="left"/>
        <w:rPr/>
      </w:pPr>
      <w:r>
        <w:rPr/>
        <w:t> </w:t>
      </w:r>
    </w:p>
    <w:p>
      <w:pPr>
        <w:pStyle w:val="TextBody"/>
        <w:bidi w:val="0"/>
        <w:jc w:val="left"/>
        <w:rPr/>
      </w:pPr>
      <w:r>
        <w:rPr/>
        <w:t> </w:t>
      </w:r>
    </w:p>
    <w:tbl>
      <w:tblPr>
        <w:tblW w:w="5425" w:type="dxa"/>
        <w:jc w:val="left"/>
        <w:tblInd w:w="0" w:type="dxa"/>
        <w:tblLayout w:type="fixed"/>
        <w:tblCellMar>
          <w:top w:w="28" w:type="dxa"/>
          <w:left w:w="28" w:type="dxa"/>
          <w:bottom w:w="28" w:type="dxa"/>
          <w:right w:w="28" w:type="dxa"/>
        </w:tblCellMar>
      </w:tblPr>
      <w:tblGrid>
        <w:gridCol w:w="2296"/>
        <w:gridCol w:w="146"/>
        <w:gridCol w:w="1186"/>
        <w:gridCol w:w="146"/>
        <w:gridCol w:w="165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186"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651" w:type="dxa"/>
            <w:tcBorders/>
            <w:tcMar>
              <w:top w:w="0" w:type="dxa"/>
              <w:left w:w="0" w:type="dxa"/>
              <w:bottom w:w="0" w:type="dxa"/>
              <w:right w:w="0" w:type="dxa"/>
            </w:tcMar>
            <w:vAlign w:val="center"/>
          </w:tcPr>
          <w:p>
            <w:pPr>
              <w:pStyle w:val="TableContents"/>
              <w:bidi w:val="0"/>
              <w:spacing w:before="0" w:after="160"/>
              <w:jc w:val="left"/>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001-40925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85-1623397</w:t>
            </w:r>
          </w:p>
        </w:tc>
      </w:tr>
      <w:tr>
        <w:trPr/>
        <w:tc>
          <w:tcPr>
            <w:tcW w:w="229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(Commission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bl>
    <w:p>
      <w:pPr>
        <w:pStyle w:val="TextBody"/>
        <w:bidi w:val="0"/>
        <w:jc w:val="left"/>
        <w:rPr/>
      </w:pPr>
      <w:r>
        <w:rPr/>
        <w:t> </w:t>
      </w:r>
    </w:p>
    <w:tbl>
      <w:tblPr>
        <w:tblW w:w="4543" w:type="dxa"/>
        <w:jc w:val="left"/>
        <w:tblInd w:w="0" w:type="dxa"/>
        <w:tblLayout w:type="fixed"/>
        <w:tblCellMar>
          <w:top w:w="28" w:type="dxa"/>
          <w:left w:w="28" w:type="dxa"/>
          <w:bottom w:w="28" w:type="dxa"/>
          <w:right w:w="28" w:type="dxa"/>
        </w:tblCellMar>
      </w:tblPr>
      <w:tblGrid>
        <w:gridCol w:w="3361"/>
        <w:gridCol w:w="146"/>
        <w:gridCol w:w="103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036" w:type="dxa"/>
            <w:tcBorders/>
            <w:tcMar>
              <w:top w:w="0" w:type="dxa"/>
              <w:left w:w="0" w:type="dxa"/>
              <w:bottom w:w="0" w:type="dxa"/>
              <w:right w:w="0" w:type="dxa"/>
            </w:tcMar>
            <w:vAlign w:val="center"/>
          </w:tcPr>
          <w:p>
            <w:pPr>
              <w:pStyle w:val="TableContents"/>
              <w:bidi w:val="0"/>
              <w:spacing w:before="0" w:after="160"/>
              <w:jc w:val="left"/>
              <w:rPr/>
            </w:pPr>
            <w:r>
              <w:rPr/>
              <w:t> </w:t>
            </w:r>
          </w:p>
        </w:tc>
      </w:tr>
      <w:tr>
        <w:trPr/>
        <w:tc>
          <w:tcPr>
            <w:tcW w:w="33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828 Winter Street, Suite 300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Waltham, Massachusetts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02451</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(857)</w:t>
      </w:r>
      <w:r>
        <w:rPr>
          <w:rFonts w:ascii="Times New Roman" w:hAnsi="Times New Roman"/>
          <w:color w:val="000000"/>
          <w:sz w:val="20"/>
        </w:rPr>
        <w:t xml:space="preserve"> </w:t>
      </w:r>
      <w:r>
        <w:rPr>
          <w:rFonts w:ascii="Times New Roman" w:hAnsi="Times New Roman"/>
          <w:b/>
          <w:color w:val="000000"/>
          <w:sz w:val="20"/>
        </w:rPr>
        <w:t>524-2466</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pBdr>
          <w:bottom w:val="single" w:sz="3" w:space="1" w:color="000000"/>
        </w:pBdr>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see</w:t>
      </w:r>
      <w:r>
        <w:rPr>
          <w:rFonts w:ascii="Times New Roman" w:hAnsi="Times New Roman"/>
          <w:color w:val="000000"/>
          <w:sz w:val="20"/>
        </w:rPr>
        <w:t xml:space="preserve"> General Instruction A.2. below):</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855" w:type="dxa"/>
        <w:jc w:val="left"/>
        <w:tblInd w:w="0" w:type="dxa"/>
        <w:tblLayout w:type="fixed"/>
        <w:tblCellMar>
          <w:top w:w="28" w:type="dxa"/>
          <w:left w:w="28" w:type="dxa"/>
          <w:bottom w:w="28" w:type="dxa"/>
          <w:right w:w="28" w:type="dxa"/>
        </w:tblCellMar>
      </w:tblPr>
      <w:tblGrid>
        <w:gridCol w:w="3841"/>
        <w:gridCol w:w="146"/>
        <w:gridCol w:w="1591"/>
        <w:gridCol w:w="146"/>
        <w:gridCol w:w="213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3841"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59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213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160"/>
              <w:jc w:val="left"/>
              <w:rPr/>
            </w:pPr>
            <w:r>
              <w:rPr/>
              <w:t> </w:t>
            </w:r>
          </w:p>
        </w:tc>
      </w:tr>
      <w:tr>
        <w:trPr/>
        <w:tc>
          <w:tcPr>
            <w:tcW w:w="38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Name of each exchange</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on which registered</w:t>
            </w:r>
          </w:p>
        </w:tc>
      </w:tr>
      <w:tr>
        <w:trPr/>
        <w:tc>
          <w:tcPr>
            <w:tcW w:w="3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XLO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Nasdaq</w:t>
            </w:r>
            <w:r>
              <w:rPr>
                <w:rFonts w:ascii="Times New Roman" w:hAnsi="Times New Roman"/>
                <w:color w:val="000000"/>
                <w:sz w:val="20"/>
              </w:rPr>
              <w:t> </w:t>
            </w:r>
            <w:r>
              <w:rPr>
                <w:rFonts w:ascii="Times New Roman" w:hAnsi="Times New Roman"/>
                <w:b/>
                <w:color w:val="000000"/>
                <w:sz w:val="20"/>
              </w:rPr>
              <w:t>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top w:val="single" w:sz="4" w:space="1" w:color="000000"/>
          <w:bottom w:val="single" w:sz="2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2"/>
        <w:bidi w:val="0"/>
        <w:jc w:val="left"/>
        <w:rPr/>
      </w:pPr>
      <w:r>
        <w:rPr/>
        <w:t> </w:t>
      </w:r>
    </w:p>
    <w:p>
      <w:pPr>
        <w:pStyle w:val="Heading2"/>
        <w:bidi w:val="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order to achieve a more equal balance of director membership among the three classes of the board of directors (the “Board”) of Xilio Therapeutics, Inc. (the “Company”) in accordance with the Company’s Restated Certificate of Incorporation, as amended, following his re-election as a Class II director at the Company’s 2026 annual meeting of stockholders on June 10, 2026 (the “2026 Annual Meeting”), Daniel Curran, M.D., tendered his resignation from his position as a Class II director to the Board, contingent upon his re-appointment as a Class III director. The Board accepted such resignation and immediately re-appointed him as a Class III director. Following the rebalancing, the Board consists of three directors in each of Classes I, II and III. There were no changes to any of Dr. Curran’s compensation arrangements with the Company and there is no compensation due to Dr. Curran as a result of his resignation from the Board and his appointment to the Board as a Class III Director.</w:t>
      </w:r>
    </w:p>
    <w:p>
      <w:pPr>
        <w:pStyle w:val="TextBody"/>
        <w:bidi w:val="0"/>
        <w:jc w:val="left"/>
        <w:rPr/>
      </w:pPr>
      <w:r>
        <w:rPr/>
        <w:t> </w:t>
      </w:r>
    </w:p>
    <w:p>
      <w:pPr>
        <w:pStyle w:val="TextBody"/>
        <w:bidi w:val="0"/>
        <w:jc w:val="left"/>
        <w:rPr/>
      </w:pPr>
      <w:r>
        <w:rPr>
          <w:rFonts w:ascii="Times New Roman" w:hAnsi="Times New Roman"/>
          <w:color w:val="000000"/>
          <w:sz w:val="20"/>
        </w:rPr>
        <w:t xml:space="preserve">Additionally, at the 2026 Annual Meeting, the Company’s stockholders approved the amendment and restatement of the Xilio Therapeutics, Inc. 2021 Stock Incentive Plan (the “Amended and Restated 2021 Plan”), which had previously been adopted by the Board subject to stockholder approval. The description of the Amended and Restated 2021 Plan contained on pages 10 to 20 of the Company’s </w:t>
      </w:r>
      <w:hyperlink r:id="rId2">
        <w:r>
          <w:rPr>
            <w:rStyle w:val="InternetLink"/>
            <w:rFonts w:ascii="Times New Roman" w:hAnsi="Times New Roman"/>
            <w:color w:val="0000FF"/>
            <w:sz w:val="20"/>
            <w:u w:val="single"/>
          </w:rPr>
          <w:t>Proxy Statement for the 2026 Annual Meeting, filed with the Securities and Exchange Commission on April 28, 2026</w:t>
        </w:r>
      </w:hyperlink>
      <w:r>
        <w:rPr>
          <w:rFonts w:ascii="Times New Roman" w:hAnsi="Times New Roman"/>
          <w:color w:val="000000"/>
          <w:sz w:val="20"/>
        </w:rPr>
        <w:t>, is incorporated herein by reference. A complete copy of the Amended and Restated 2021 Plan is attached hereto as Exhibit 99.1 and is incorporated herein by reference.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10, 2026, the Company held the 2026 Annual Meeting. The following is a summary of the matters voted on at that meeting and the results of the votes on such matters.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Company’s stockholders elected Akintunde Bello, Ph.D., Daniel Curran, M.D., Robert Ross, M.D. and Yuan Xu, Ph.D., as Class II directors, each to serve for a three-year term expiring at the 2029 annual meeting of stockholders and until his or her successor has been duly elected and qualified. The results of the stockholders’ vote with respect to the election of such Class II directors were as follows:</w:t>
      </w:r>
    </w:p>
    <w:tbl>
      <w:tblPr>
        <w:tblW w:w="6446" w:type="dxa"/>
        <w:jc w:val="left"/>
        <w:tblInd w:w="0" w:type="dxa"/>
        <w:tblLayout w:type="fixed"/>
        <w:tblCellMar>
          <w:top w:w="28" w:type="dxa"/>
          <w:left w:w="28" w:type="dxa"/>
          <w:bottom w:w="28" w:type="dxa"/>
          <w:right w:w="28" w:type="dxa"/>
        </w:tblCellMar>
      </w:tblPr>
      <w:tblGrid>
        <w:gridCol w:w="2011"/>
        <w:gridCol w:w="1066"/>
        <w:gridCol w:w="146"/>
        <w:gridCol w:w="1396"/>
        <w:gridCol w:w="146"/>
        <w:gridCol w:w="1681"/>
      </w:tblGrid>
      <w:tr>
        <w:trPr/>
        <w:tc>
          <w:tcPr>
            <w:tcW w:w="20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160"/>
              <w:jc w:val="left"/>
              <w:rPr/>
            </w:pPr>
            <w:r>
              <w:rPr/>
              <w:t> </w:t>
            </w:r>
          </w:p>
        </w:tc>
        <w:tc>
          <w:tcPr>
            <w:tcW w:w="1066"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396"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681" w:type="dxa"/>
            <w:tcBorders/>
            <w:tcMar>
              <w:top w:w="0" w:type="dxa"/>
              <w:left w:w="0" w:type="dxa"/>
              <w:bottom w:w="0" w:type="dxa"/>
              <w:right w:w="0" w:type="dxa"/>
            </w:tcMar>
            <w:vAlign w:val="center"/>
          </w:tcPr>
          <w:p>
            <w:pPr>
              <w:pStyle w:val="TableContents"/>
              <w:bidi w:val="0"/>
              <w:spacing w:before="0" w:after="160"/>
              <w:jc w:val="left"/>
              <w:rPr/>
            </w:pPr>
            <w:r>
              <w:rPr/>
              <w:t> </w:t>
            </w:r>
          </w:p>
        </w:tc>
      </w:tr>
      <w:tr>
        <w:trPr/>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Withheld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20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Akintunde Bello, Ph.D.</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3,652,015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130,437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1,279,671</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Curran, M.D.</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3,709,598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72,854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1,279,671</w:t>
            </w:r>
          </w:p>
        </w:tc>
      </w:tr>
      <w:tr>
        <w:trPr/>
        <w:tc>
          <w:tcPr>
            <w:tcW w:w="20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Ross, M.D.</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3,719,795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62,657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1,279,671</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Yuan Xu, Ph.D.</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3,716,549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65,903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1,279,671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of the Board rebalancing discussed under Item 5.02 above, Dr. Curran was subsequently appointed as a Class III director, to serve for a term expiring at the 2027 annual meeting of stockholders and until his successor has been duly elected and qualified.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Company's stockholders ratified the selection of Ernst &amp; Young LLP as the Company's independent registered public accounting firm for the fiscal year ending December 31, 2026. The results of the stockholders' vote with respect to such ratification were as follows:</w:t>
      </w:r>
    </w:p>
    <w:tbl>
      <w:tblPr>
        <w:tblW w:w="4210" w:type="dxa"/>
        <w:jc w:val="left"/>
        <w:tblInd w:w="0" w:type="dxa"/>
        <w:tblLayout w:type="fixed"/>
        <w:tblCellMar>
          <w:top w:w="28" w:type="dxa"/>
          <w:left w:w="28" w:type="dxa"/>
          <w:bottom w:w="28" w:type="dxa"/>
          <w:right w:w="28" w:type="dxa"/>
        </w:tblCellMar>
      </w:tblPr>
      <w:tblGrid>
        <w:gridCol w:w="1081"/>
        <w:gridCol w:w="146"/>
        <w:gridCol w:w="1261"/>
        <w:gridCol w:w="146"/>
        <w:gridCol w:w="157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261"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576" w:type="dxa"/>
            <w:tcBorders/>
            <w:tcMar>
              <w:top w:w="0" w:type="dxa"/>
              <w:left w:w="0" w:type="dxa"/>
              <w:bottom w:w="0" w:type="dxa"/>
              <w:right w:w="0" w:type="dxa"/>
            </w:tcMar>
            <w:vAlign w:val="center"/>
          </w:tcPr>
          <w:p>
            <w:pPr>
              <w:pStyle w:val="TableContents"/>
              <w:bidi w:val="0"/>
              <w:spacing w:before="0" w:after="160"/>
              <w:jc w:val="left"/>
              <w:rPr/>
            </w:pPr>
            <w:r>
              <w:rPr/>
              <w:t> </w:t>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Abstaining</w:t>
            </w:r>
          </w:p>
        </w:tc>
      </w:tr>
      <w:tr>
        <w:trPr/>
        <w:tc>
          <w:tcPr>
            <w:tcW w:w="10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5,047,290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11,876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2,957</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Company's stockholders approved the Amended and Restated 2021 Plan to provide that the number of shares of common stock underlying the Company's outstanding prefunded warrants shall be added to the number of shares of outstanding common stock for purposes of calculating the annual evergreen increase. The results of the stockholders' vote with respect to such approval were as follows:</w:t>
      </w:r>
    </w:p>
    <w:tbl>
      <w:tblPr>
        <w:tblW w:w="5992" w:type="dxa"/>
        <w:jc w:val="left"/>
        <w:tblInd w:w="0" w:type="dxa"/>
        <w:tblLayout w:type="fixed"/>
        <w:tblCellMar>
          <w:top w:w="28" w:type="dxa"/>
          <w:left w:w="28" w:type="dxa"/>
          <w:bottom w:w="28" w:type="dxa"/>
          <w:right w:w="28" w:type="dxa"/>
        </w:tblCellMar>
      </w:tblPr>
      <w:tblGrid>
        <w:gridCol w:w="1081"/>
        <w:gridCol w:w="146"/>
        <w:gridCol w:w="1261"/>
        <w:gridCol w:w="146"/>
        <w:gridCol w:w="1531"/>
        <w:gridCol w:w="146"/>
        <w:gridCol w:w="168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261"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531"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681" w:type="dxa"/>
            <w:tcBorders/>
            <w:tcMar>
              <w:top w:w="0" w:type="dxa"/>
              <w:left w:w="0" w:type="dxa"/>
              <w:bottom w:w="0" w:type="dxa"/>
              <w:right w:w="0" w:type="dxa"/>
            </w:tcMar>
            <w:vAlign w:val="center"/>
          </w:tcPr>
          <w:p>
            <w:pPr>
              <w:pStyle w:val="TableContents"/>
              <w:bidi w:val="0"/>
              <w:spacing w:before="0" w:after="160"/>
              <w:jc w:val="left"/>
              <w:rPr/>
            </w:pPr>
            <w:r>
              <w:rPr/>
              <w:t> </w:t>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Abstaining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0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3,424,710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355,015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2,727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1,279,671</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924"/>
        <w:gridCol w:w="146"/>
        <w:gridCol w:w="9135"/>
      </w:tblGrid>
      <w:tr>
        <w:trPr/>
        <w:tc>
          <w:tcPr>
            <w:tcW w:w="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5" w:type="dxa"/>
            <w:tcBorders/>
            <w:vAlign w:val="center"/>
          </w:tcPr>
          <w:p>
            <w:pPr>
              <w:pStyle w:val="TableContents"/>
              <w:bidi w:val="0"/>
              <w:spacing w:before="0" w:after="283"/>
              <w:jc w:val="left"/>
              <w:rPr>
                <w:sz w:val="4"/>
                <w:szCs w:val="4"/>
              </w:rPr>
            </w:pPr>
            <w:r>
              <w:rPr>
                <w:sz w:val="4"/>
                <w:szCs w:val="4"/>
              </w:rPr>
            </w:r>
          </w:p>
        </w:tc>
      </w:tr>
      <w:tr>
        <w:trPr/>
        <w:tc>
          <w:tcPr>
            <w:tcW w:w="9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3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5"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"https://www.sec.gov/ix?doc=/Archives/edgar/data/0001840233/000119312526187642/xlo-20260428.htm" \l "appendix_a"</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Amended and Restated 2021 Stock Incentive Plan (incorporated by reference to Appendix A to the Company's Definitive Proxy Statement on Schedule DEF 14A filed with the SEC on April 28, 2026)</w:t>
            </w:r>
            <w:r>
              <w:rPr>
                <w:rStyle w:val="InternetLink"/>
                <w:sz w:val="20"/>
                <w:u w:val="single"/>
                <w:rFonts w:ascii="Times New Roman" w:hAnsi="Times New Roman"/>
                <w:color w:val="0000FF"/>
              </w:rPr>
              <w:fldChar w:fldCharType="end"/>
            </w:r>
          </w:p>
        </w:tc>
      </w:tr>
    </w:tbl>
    <w:p>
      <w:pPr>
        <w:pStyle w:val="HorizontalLine"/>
        <w:pBdr>
          <w:bottom w:val="double" w:sz="2" w:space="0" w:color="808080"/>
        </w:pBdr>
        <w:bidi w:val="0"/>
        <w:spacing w:before="0" w:after="283"/>
        <w:jc w:val="left"/>
        <w:rPr/>
      </w:pPr>
      <w:r>
        <w:rPr/>
      </w:r>
    </w:p>
    <w:tbl>
      <w:tblPr>
        <w:tblW w:w="9801" w:type="dxa"/>
        <w:jc w:val="left"/>
        <w:tblInd w:w="0" w:type="dxa"/>
        <w:tblLayout w:type="fixed"/>
        <w:tblCellMar>
          <w:top w:w="28" w:type="dxa"/>
          <w:left w:w="28" w:type="dxa"/>
          <w:bottom w:w="28" w:type="dxa"/>
          <w:right w:w="28" w:type="dxa"/>
        </w:tblCellMar>
      </w:tblPr>
      <w:tblGrid>
        <w:gridCol w:w="436"/>
        <w:gridCol w:w="109"/>
        <w:gridCol w:w="9256"/>
      </w:tblGrid>
      <w:tr>
        <w:trPr/>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6"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incorporated as Exhibit 101)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5358" w:type="dxa"/>
        <w:jc w:val="left"/>
        <w:tblInd w:w="0" w:type="dxa"/>
        <w:tblLayout w:type="fixed"/>
        <w:tblCellMar>
          <w:top w:w="28" w:type="dxa"/>
          <w:left w:w="28" w:type="dxa"/>
          <w:bottom w:w="28" w:type="dxa"/>
          <w:right w:w="28" w:type="dxa"/>
        </w:tblCellMar>
      </w:tblPr>
      <w:tblGrid>
        <w:gridCol w:w="1741"/>
        <w:gridCol w:w="406"/>
        <w:gridCol w:w="321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160"/>
              <w:jc w:val="left"/>
              <w:rPr/>
            </w:pPr>
            <w:r>
              <w:rPr/>
              <w:t> </w:t>
            </w:r>
          </w:p>
        </w:tc>
        <w:tc>
          <w:tcPr>
            <w:tcW w:w="406" w:type="dxa"/>
            <w:tcBorders/>
            <w:tcMar>
              <w:top w:w="0" w:type="dxa"/>
              <w:left w:w="0" w:type="dxa"/>
              <w:bottom w:w="0" w:type="dxa"/>
              <w:right w:w="0" w:type="dxa"/>
            </w:tcMar>
            <w:vAlign w:val="center"/>
          </w:tcPr>
          <w:p>
            <w:pPr>
              <w:pStyle w:val="TableContents"/>
              <w:bidi w:val="0"/>
              <w:spacing w:before="0" w:after="160"/>
              <w:jc w:val="left"/>
              <w:rPr/>
            </w:pPr>
            <w:r>
              <w:rPr/>
              <w:t> </w:t>
            </w:r>
          </w:p>
        </w:tc>
        <w:tc>
          <w:tcPr>
            <w:tcW w:w="3211" w:type="dxa"/>
            <w:tcBorders/>
            <w:tcMar>
              <w:top w:w="0" w:type="dxa"/>
              <w:left w:w="0" w:type="dxa"/>
              <w:bottom w:w="0" w:type="dxa"/>
              <w:right w:w="0" w:type="dxa"/>
            </w:tcMar>
            <w:vAlign w:val="center"/>
          </w:tcPr>
          <w:p>
            <w:pPr>
              <w:pStyle w:val="TableContents"/>
              <w:bidi w:val="0"/>
              <w:spacing w:before="0" w:after="160"/>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aps/>
                <w:color w:val="000000"/>
                <w:sz w:val="20"/>
              </w:rPr>
              <w:t>XILIO</w:t>
            </w:r>
            <w:r>
              <w:rPr>
                <w:rFonts w:ascii="Times New Roman" w:hAnsi="Times New Roman"/>
                <w:color w:val="000000"/>
                <w:sz w:val="20"/>
              </w:rPr>
              <w:t> </w:t>
            </w:r>
            <w:r>
              <w:rPr>
                <w:rFonts w:ascii="Times New Roman" w:hAnsi="Times New Roman"/>
                <w:b/>
                <w:color w:val="000000"/>
                <w:sz w:val="20"/>
              </w:rPr>
              <w:t>THERAPEUTICS,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Christopher Frankenfield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Frankenfield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and Operating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40233/000119312526187642/xlo-20260428.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1015</Words>
  <Characters>5526</Characters>
  <CharactersWithSpaces>6546</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