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24" w:space="1" w:color="000000"/>
          <w:bottom w:val="single" w:sz="4" w:space="1" w:color="000000"/>
        </w:pBdr>
        <w:bidi w:val="0"/>
        <w:jc w:val="left"/>
        <w:rPr/>
      </w:pPr>
      <w:bookmarkStart w:id="0" w:name="xlo-20260812.htm"/>
      <w:bookmarkStart w:id="1" w:name="ksxlo20260812"/>
      <w:bookmarkEnd w:id="0"/>
      <w:bookmarkEnd w:id="1"/>
      <w:r>
        <w:rPr/>
        <w:t> </w:t>
      </w:r>
    </w:p>
    <w:p>
      <w:pPr>
        <w:pStyle w:val="TextBody"/>
        <w:bidi w:val="0"/>
        <w:spacing w:before="40" w:after="283"/>
        <w:jc w:val="center"/>
        <w:rPr>
          <w:rFonts w:ascii="Times New Roman" w:hAnsi="Times New Roman"/>
          <w:sz w:val="20"/>
        </w:rPr>
      </w:pPr>
      <w:r>
        <w:rPr>
          <w:rFonts w:ascii="Times New Roman" w:hAnsi="Times New Roman"/>
          <w:b/>
          <w:color w:val="000000"/>
          <w:sz w:val="36"/>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6"/>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pBdr>
          <w:bottom w:val="single" w:sz="3" w:space="1" w:color="000000"/>
        </w:pBdr>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8-K</w:t>
      </w:r>
    </w:p>
    <w:p>
      <w:pPr>
        <w:pStyle w:val="TextBody"/>
        <w:pBdr>
          <w:bottom w:val="single" w:sz="3" w:space="1" w:color="000000"/>
        </w:pBdr>
        <w:bidi w:val="0"/>
        <w:jc w:val="left"/>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CURRENT REPORT</w:t>
      </w:r>
    </w:p>
    <w:p>
      <w:pPr>
        <w:pStyle w:val="TextBody"/>
        <w:bidi w:val="0"/>
        <w:jc w:val="center"/>
        <w:rPr>
          <w:rFonts w:ascii="Times New Roman" w:hAnsi="Times New Roman"/>
          <w:b/>
          <w:color w:val="000000"/>
          <w:sz w:val="20"/>
        </w:rPr>
      </w:pPr>
      <w:r>
        <w:rPr>
          <w:rFonts w:ascii="Times New Roman" w:hAnsi="Times New Roman"/>
          <w:b/>
          <w:color w:val="000000"/>
          <w:sz w:val="20"/>
        </w:rPr>
        <w:t>Pursuant to Section 13 or 15(d)</w:t>
      </w:r>
    </w:p>
    <w:p>
      <w:pPr>
        <w:pStyle w:val="TextBody"/>
        <w:bidi w:val="0"/>
        <w:jc w:val="center"/>
        <w:rPr>
          <w:rFonts w:ascii="Times New Roman" w:hAnsi="Times New Roman"/>
          <w:b/>
          <w:color w:val="000000"/>
          <w:sz w:val="20"/>
        </w:rPr>
      </w:pPr>
      <w:r>
        <w:rPr>
          <w:rFonts w:ascii="Times New Roman" w:hAnsi="Times New Roman"/>
          <w:b/>
          <w:color w:val="000000"/>
          <w:sz w:val="20"/>
        </w:rPr>
        <w:t>of the Securities Exchange Act of 1934</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color w:val="000000"/>
          <w:sz w:val="20"/>
        </w:rPr>
        <w:t xml:space="preserve">Date of report (Date of earliest event reported): </w:t>
      </w:r>
      <w:r>
        <w:rPr>
          <w:rFonts w:ascii="Times New Roman" w:hAnsi="Times New Roman"/>
          <w:b/>
          <w:color w:val="000000"/>
          <w:sz w:val="20"/>
        </w:rPr>
        <w:t>August 12, 2026</w:t>
      </w:r>
    </w:p>
    <w:p>
      <w:pPr>
        <w:pStyle w:val="TextBody"/>
        <w:pBdr>
          <w:bottom w:val="single" w:sz="3" w:space="1" w:color="000000"/>
        </w:pBdr>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Xilio Therapeutics,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Charter)</w:t>
      </w:r>
    </w:p>
    <w:p>
      <w:pPr>
        <w:pStyle w:val="TextBody"/>
        <w:pBdr>
          <w:bottom w:val="single" w:sz="3" w:space="1" w:color="000000"/>
        </w:pBdr>
        <w:bidi w:val="0"/>
        <w:jc w:val="left"/>
        <w:rPr/>
      </w:pPr>
      <w:r>
        <w:rPr/>
        <w:t> </w:t>
      </w:r>
    </w:p>
    <w:p>
      <w:pPr>
        <w:pStyle w:val="TextBody"/>
        <w:bidi w:val="0"/>
        <w:jc w:val="left"/>
        <w:rPr/>
      </w:pPr>
      <w:r>
        <w:rPr/>
        <w:t> </w:t>
      </w:r>
    </w:p>
    <w:p>
      <w:pPr>
        <w:pStyle w:val="TextBody"/>
        <w:bidi w:val="0"/>
        <w:jc w:val="left"/>
        <w:rPr/>
      </w:pPr>
      <w:r>
        <w:rPr/>
        <w:t> </w:t>
      </w:r>
    </w:p>
    <w:tbl>
      <w:tblPr>
        <w:tblW w:w="5425" w:type="dxa"/>
        <w:jc w:val="left"/>
        <w:tblInd w:w="0" w:type="dxa"/>
        <w:tblLayout w:type="fixed"/>
        <w:tblCellMar>
          <w:top w:w="28" w:type="dxa"/>
          <w:left w:w="28" w:type="dxa"/>
          <w:bottom w:w="28" w:type="dxa"/>
          <w:right w:w="28" w:type="dxa"/>
        </w:tblCellMar>
      </w:tblPr>
      <w:tblGrid>
        <w:gridCol w:w="2296"/>
        <w:gridCol w:w="146"/>
        <w:gridCol w:w="1186"/>
        <w:gridCol w:w="146"/>
        <w:gridCol w:w="1651"/>
      </w:tblGrid>
      <w:tr>
        <w:trPr/>
        <w:tc>
          <w:tcPr>
            <w:tcW w:w="22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296" w:type="dxa"/>
            <w:tcBorders/>
            <w:tcMar>
              <w:top w:w="0" w:type="dxa"/>
              <w:left w:w="0" w:type="dxa"/>
              <w:bottom w:w="0" w:type="dxa"/>
              <w:right w:w="0" w:type="dxa"/>
            </w:tcMar>
            <w:vAlign w:val="center"/>
          </w:tcPr>
          <w:p>
            <w:pPr>
              <w:pStyle w:val="TableContents"/>
              <w:bidi w:val="0"/>
              <w:spacing w:before="0" w:after="160"/>
              <w:jc w:val="left"/>
              <w:rPr/>
            </w:pPr>
            <w:r>
              <w:rPr/>
              <w:t> </w:t>
            </w:r>
          </w:p>
        </w:tc>
        <w:tc>
          <w:tcPr>
            <w:tcW w:w="146" w:type="dxa"/>
            <w:tcBorders/>
            <w:tcMar>
              <w:top w:w="0" w:type="dxa"/>
              <w:left w:w="0" w:type="dxa"/>
              <w:bottom w:w="0" w:type="dxa"/>
              <w:right w:w="0" w:type="dxa"/>
            </w:tcMar>
            <w:vAlign w:val="center"/>
          </w:tcPr>
          <w:p>
            <w:pPr>
              <w:pStyle w:val="TableContents"/>
              <w:bidi w:val="0"/>
              <w:spacing w:before="0" w:after="160"/>
              <w:jc w:val="left"/>
              <w:rPr/>
            </w:pPr>
            <w:r>
              <w:rPr/>
              <w:t> </w:t>
            </w:r>
          </w:p>
        </w:tc>
        <w:tc>
          <w:tcPr>
            <w:tcW w:w="1186" w:type="dxa"/>
            <w:tcBorders/>
            <w:tcMar>
              <w:top w:w="0" w:type="dxa"/>
              <w:left w:w="0" w:type="dxa"/>
              <w:bottom w:w="0" w:type="dxa"/>
              <w:right w:w="0" w:type="dxa"/>
            </w:tcMar>
            <w:vAlign w:val="center"/>
          </w:tcPr>
          <w:p>
            <w:pPr>
              <w:pStyle w:val="TableContents"/>
              <w:bidi w:val="0"/>
              <w:spacing w:before="0" w:after="160"/>
              <w:jc w:val="left"/>
              <w:rPr/>
            </w:pPr>
            <w:r>
              <w:rPr/>
              <w:t> </w:t>
            </w:r>
          </w:p>
        </w:tc>
        <w:tc>
          <w:tcPr>
            <w:tcW w:w="146" w:type="dxa"/>
            <w:tcBorders/>
            <w:tcMar>
              <w:top w:w="0" w:type="dxa"/>
              <w:left w:w="0" w:type="dxa"/>
              <w:bottom w:w="0" w:type="dxa"/>
              <w:right w:w="0" w:type="dxa"/>
            </w:tcMar>
            <w:vAlign w:val="center"/>
          </w:tcPr>
          <w:p>
            <w:pPr>
              <w:pStyle w:val="TableContents"/>
              <w:bidi w:val="0"/>
              <w:spacing w:before="0" w:after="160"/>
              <w:jc w:val="left"/>
              <w:rPr/>
            </w:pPr>
            <w:r>
              <w:rPr/>
              <w:t> </w:t>
            </w:r>
          </w:p>
        </w:tc>
        <w:tc>
          <w:tcPr>
            <w:tcW w:w="1651" w:type="dxa"/>
            <w:tcBorders/>
            <w:tcMar>
              <w:top w:w="0" w:type="dxa"/>
              <w:left w:w="0" w:type="dxa"/>
              <w:bottom w:w="0" w:type="dxa"/>
              <w:right w:w="0" w:type="dxa"/>
            </w:tcMar>
            <w:vAlign w:val="center"/>
          </w:tcPr>
          <w:p>
            <w:pPr>
              <w:pStyle w:val="TableContents"/>
              <w:bidi w:val="0"/>
              <w:spacing w:before="0" w:after="160"/>
              <w:jc w:val="left"/>
              <w:rPr/>
            </w:pPr>
            <w:r>
              <w:rPr/>
              <w:t> </w:t>
            </w:r>
          </w:p>
        </w:tc>
      </w:tr>
      <w:tr>
        <w:trPr/>
        <w:tc>
          <w:tcPr>
            <w:tcW w:w="22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001-40925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85-1623397</w:t>
            </w:r>
          </w:p>
        </w:tc>
      </w:tr>
      <w:tr>
        <w:trPr/>
        <w:tc>
          <w:tcPr>
            <w:tcW w:w="229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(State or Other Jurisdiction</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of Incorporation)</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(Commission</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File Number)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(IRS Employer</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Identification No.)</w:t>
            </w:r>
          </w:p>
        </w:tc>
      </w:tr>
    </w:tbl>
    <w:p>
      <w:pPr>
        <w:pStyle w:val="TextBody"/>
        <w:bidi w:val="0"/>
        <w:jc w:val="left"/>
        <w:rPr/>
      </w:pPr>
      <w:r>
        <w:rPr/>
        <w:t> </w:t>
      </w:r>
    </w:p>
    <w:tbl>
      <w:tblPr>
        <w:tblW w:w="4543" w:type="dxa"/>
        <w:jc w:val="left"/>
        <w:tblInd w:w="0" w:type="dxa"/>
        <w:tblLayout w:type="fixed"/>
        <w:tblCellMar>
          <w:top w:w="28" w:type="dxa"/>
          <w:left w:w="28" w:type="dxa"/>
          <w:bottom w:w="28" w:type="dxa"/>
          <w:right w:w="28" w:type="dxa"/>
        </w:tblCellMar>
      </w:tblPr>
      <w:tblGrid>
        <w:gridCol w:w="3361"/>
        <w:gridCol w:w="146"/>
        <w:gridCol w:w="1036"/>
      </w:tblGrid>
      <w:tr>
        <w:trPr/>
        <w:tc>
          <w:tcPr>
            <w:tcW w:w="3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r>
      <w:tr>
        <w:trPr/>
        <w:tc>
          <w:tcPr>
            <w:tcW w:w="3361"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160"/>
              <w:jc w:val="left"/>
              <w:rPr/>
            </w:pPr>
            <w:r>
              <w:rPr/>
              <w:t> </w:t>
            </w:r>
          </w:p>
        </w:tc>
        <w:tc>
          <w:tcPr>
            <w:tcW w:w="146" w:type="dxa"/>
            <w:tcBorders/>
            <w:tcMar>
              <w:top w:w="0" w:type="dxa"/>
              <w:left w:w="0" w:type="dxa"/>
              <w:bottom w:w="0" w:type="dxa"/>
              <w:right w:w="0" w:type="dxa"/>
            </w:tcMar>
            <w:vAlign w:val="center"/>
          </w:tcPr>
          <w:p>
            <w:pPr>
              <w:pStyle w:val="TableContents"/>
              <w:bidi w:val="0"/>
              <w:spacing w:before="0" w:after="160"/>
              <w:jc w:val="left"/>
              <w:rPr/>
            </w:pPr>
            <w:r>
              <w:rPr/>
              <w:t> </w:t>
            </w:r>
          </w:p>
        </w:tc>
        <w:tc>
          <w:tcPr>
            <w:tcW w:w="1036" w:type="dxa"/>
            <w:tcBorders/>
            <w:tcMar>
              <w:top w:w="0" w:type="dxa"/>
              <w:left w:w="0" w:type="dxa"/>
              <w:bottom w:w="0" w:type="dxa"/>
              <w:right w:w="0" w:type="dxa"/>
            </w:tcMar>
            <w:vAlign w:val="center"/>
          </w:tcPr>
          <w:p>
            <w:pPr>
              <w:pStyle w:val="TableContents"/>
              <w:bidi w:val="0"/>
              <w:spacing w:before="0" w:after="160"/>
              <w:jc w:val="left"/>
              <w:rPr/>
            </w:pPr>
            <w:r>
              <w:rPr/>
              <w:t> </w:t>
            </w:r>
          </w:p>
        </w:tc>
      </w:tr>
      <w:tr>
        <w:trPr/>
        <w:tc>
          <w:tcPr>
            <w:tcW w:w="336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828 Winter Street, Suite 300</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Waltham, Massachusetts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02451</w:t>
            </w:r>
          </w:p>
        </w:tc>
      </w:tr>
      <w:tr>
        <w:trPr/>
        <w:tc>
          <w:tcPr>
            <w:tcW w:w="33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(Address of Principal Executive Offices)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(Zip Code)</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color w:val="000000"/>
          <w:sz w:val="20"/>
        </w:rPr>
        <w:t xml:space="preserve">Registrant’s telephone number, including area code: </w:t>
      </w:r>
      <w:r>
        <w:rPr>
          <w:rFonts w:ascii="Times New Roman" w:hAnsi="Times New Roman"/>
          <w:b/>
          <w:color w:val="000000"/>
          <w:sz w:val="20"/>
        </w:rPr>
        <w:t>(857) 524-2466</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Not applicable</w:t>
      </w:r>
    </w:p>
    <w:p>
      <w:pPr>
        <w:pStyle w:val="TextBody"/>
        <w:bidi w:val="0"/>
        <w:jc w:val="center"/>
        <w:rPr>
          <w:rFonts w:ascii="Times New Roman" w:hAnsi="Times New Roman"/>
          <w:color w:val="000000"/>
          <w:sz w:val="20"/>
        </w:rPr>
      </w:pPr>
      <w:r>
        <w:rPr>
          <w:rFonts w:ascii="Times New Roman" w:hAnsi="Times New Roman"/>
          <w:color w:val="000000"/>
          <w:sz w:val="20"/>
        </w:rPr>
        <w:t>(Former Name or Former Address, if Changed Since Last Report)</w:t>
      </w:r>
    </w:p>
    <w:p>
      <w:pPr>
        <w:pStyle w:val="TextBody"/>
        <w:pBdr>
          <w:bottom w:val="single" w:sz="3" w:space="1" w:color="000000"/>
        </w:pBdr>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0"/>
        </w:rPr>
        <w:t>Check the appropriate box below if the Form 8-K filing is intended to simultaneously satisfy the filing obligation of the registrant under any of the following provisions (</w:t>
      </w:r>
      <w:r>
        <w:rPr>
          <w:rFonts w:ascii="Times New Roman" w:hAnsi="Times New Roman"/>
          <w:i/>
          <w:color w:val="000000"/>
          <w:sz w:val="20"/>
        </w:rPr>
        <w:t>see</w:t>
      </w:r>
      <w:r>
        <w:rPr>
          <w:rFonts w:ascii="Times New Roman" w:hAnsi="Times New Roman"/>
          <w:color w:val="000000"/>
          <w:sz w:val="20"/>
        </w:rPr>
        <w:t xml:space="preserve"> General Instruction A.2. below):</w:t>
      </w:r>
    </w:p>
    <w:p>
      <w:pPr>
        <w:pStyle w:val="TextBody"/>
        <w:bidi w:val="0"/>
        <w:jc w:val="left"/>
        <w:rPr/>
      </w:pPr>
      <w:r>
        <w:rPr/>
        <w:t> </w:t>
      </w:r>
    </w:p>
    <w:p>
      <w:pPr>
        <w:pStyle w:val="TextBody"/>
        <w:bidi w:val="0"/>
        <w:jc w:val="left"/>
        <w:rPr/>
      </w:pPr>
      <w:r>
        <w:rPr>
          <w:color w:val="000000"/>
        </w:rPr>
        <w:t xml:space="preserve">☐ </w:t>
      </w:r>
      <w:r>
        <w:rPr>
          <w:rFonts w:ascii="Times New Roman" w:hAnsi="Times New Roman"/>
          <w:color w:val="000000"/>
          <w:sz w:val="20"/>
        </w:rPr>
        <w:t>Written communications pursuant to Rule 425 under the Securities Act (17 CFR 230.425)</w:t>
      </w:r>
    </w:p>
    <w:p>
      <w:pPr>
        <w:pStyle w:val="TextBody"/>
        <w:bidi w:val="0"/>
        <w:jc w:val="left"/>
        <w:rPr/>
      </w:pPr>
      <w:r>
        <w:rPr/>
        <w:t> </w:t>
      </w:r>
    </w:p>
    <w:p>
      <w:pPr>
        <w:pStyle w:val="TextBody"/>
        <w:bidi w:val="0"/>
        <w:jc w:val="left"/>
        <w:rPr/>
      </w:pPr>
      <w:r>
        <w:rPr>
          <w:color w:val="000000"/>
        </w:rPr>
        <w:t xml:space="preserve">☐ </w:t>
      </w:r>
      <w:r>
        <w:rPr>
          <w:rFonts w:ascii="Times New Roman" w:hAnsi="Times New Roman"/>
          <w:color w:val="000000"/>
          <w:sz w:val="20"/>
        </w:rPr>
        <w:t>Soliciting material pursuant to Rule 14a-12 under the Exchange Act (17 CFR 240.14a-12)</w:t>
      </w:r>
    </w:p>
    <w:p>
      <w:pPr>
        <w:pStyle w:val="TextBody"/>
        <w:bidi w:val="0"/>
        <w:jc w:val="left"/>
        <w:rPr/>
      </w:pPr>
      <w:r>
        <w:rPr/>
        <w:t> </w:t>
      </w:r>
    </w:p>
    <w:p>
      <w:pPr>
        <w:pStyle w:val="TextBody"/>
        <w:bidi w:val="0"/>
        <w:jc w:val="left"/>
        <w:rPr/>
      </w:pPr>
      <w:r>
        <w:rPr>
          <w:color w:val="000000"/>
        </w:rPr>
        <w:t xml:space="preserve">☐ </w:t>
      </w:r>
      <w:r>
        <w:rPr>
          <w:rFonts w:ascii="Times New Roman" w:hAnsi="Times New Roman"/>
          <w:color w:val="000000"/>
          <w:sz w:val="20"/>
        </w:rPr>
        <w:t>Pre-commencement communications pursuant to Rule 14d-2(b) under the Exchange Act (17 CFR 240.14d-2(b))</w:t>
      </w:r>
    </w:p>
    <w:p>
      <w:pPr>
        <w:pStyle w:val="TextBody"/>
        <w:bidi w:val="0"/>
        <w:jc w:val="left"/>
        <w:rPr/>
      </w:pPr>
      <w:r>
        <w:rPr/>
        <w:t> </w:t>
      </w:r>
    </w:p>
    <w:p>
      <w:pPr>
        <w:pStyle w:val="TextBody"/>
        <w:bidi w:val="0"/>
        <w:jc w:val="left"/>
        <w:rPr/>
      </w:pPr>
      <w:r>
        <w:rPr>
          <w:color w:val="000000"/>
        </w:rPr>
        <w:t xml:space="preserve">☐ </w:t>
      </w:r>
      <w:r>
        <w:rPr>
          <w:rFonts w:ascii="Times New Roman" w:hAnsi="Times New Roman"/>
          <w:color w:val="000000"/>
          <w:sz w:val="20"/>
        </w:rPr>
        <w:t>Pre-commencement communications pursuant to Rule 13e-4(c) under the Exchange Act (17 CFR 240.13e-4(c))</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Securities registered pursuant to Section 12(b) of the Act:</w:t>
      </w:r>
    </w:p>
    <w:p>
      <w:pPr>
        <w:pStyle w:val="TextBody"/>
        <w:bidi w:val="0"/>
        <w:jc w:val="left"/>
        <w:rPr/>
      </w:pPr>
      <w:r>
        <w:rPr/>
        <w:t> </w:t>
      </w:r>
    </w:p>
    <w:tbl>
      <w:tblPr>
        <w:tblW w:w="7855" w:type="dxa"/>
        <w:jc w:val="left"/>
        <w:tblInd w:w="0" w:type="dxa"/>
        <w:tblLayout w:type="fixed"/>
        <w:tblCellMar>
          <w:top w:w="28" w:type="dxa"/>
          <w:left w:w="28" w:type="dxa"/>
          <w:bottom w:w="28" w:type="dxa"/>
          <w:right w:w="28" w:type="dxa"/>
        </w:tblCellMar>
      </w:tblPr>
      <w:tblGrid>
        <w:gridCol w:w="3841"/>
        <w:gridCol w:w="146"/>
        <w:gridCol w:w="1591"/>
        <w:gridCol w:w="146"/>
        <w:gridCol w:w="2131"/>
      </w:tblGrid>
      <w:tr>
        <w:trPr/>
        <w:tc>
          <w:tcPr>
            <w:tcW w:w="3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r>
      <w:tr>
        <w:trPr/>
        <w:tc>
          <w:tcPr>
            <w:tcW w:w="3841" w:type="dxa"/>
            <w:tcBorders/>
            <w:tcMar>
              <w:top w:w="0" w:type="dxa"/>
              <w:left w:w="0" w:type="dxa"/>
              <w:bottom w:w="0" w:type="dxa"/>
              <w:right w:w="0" w:type="dxa"/>
            </w:tcMar>
            <w:vAlign w:val="center"/>
          </w:tcPr>
          <w:p>
            <w:pPr>
              <w:pStyle w:val="TableContents"/>
              <w:bidi w:val="0"/>
              <w:spacing w:before="0" w:after="160"/>
              <w:jc w:val="left"/>
              <w:rPr/>
            </w:pPr>
            <w:r>
              <w:rPr/>
              <w:t> </w:t>
            </w:r>
          </w:p>
        </w:tc>
        <w:tc>
          <w:tcPr>
            <w:tcW w:w="146" w:type="dxa"/>
            <w:tcBorders/>
            <w:tcMar>
              <w:top w:w="0" w:type="dxa"/>
              <w:left w:w="0" w:type="dxa"/>
              <w:bottom w:w="0" w:type="dxa"/>
              <w:right w:w="0" w:type="dxa"/>
            </w:tcMar>
            <w:vAlign w:val="center"/>
          </w:tcPr>
          <w:p>
            <w:pPr>
              <w:pStyle w:val="TableContents"/>
              <w:bidi w:val="0"/>
              <w:spacing w:before="0" w:after="160"/>
              <w:jc w:val="left"/>
              <w:rPr/>
            </w:pPr>
            <w:r>
              <w:rPr/>
              <w:t> </w:t>
            </w:r>
          </w:p>
        </w:tc>
        <w:tc>
          <w:tcPr>
            <w:tcW w:w="1591"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160"/>
              <w:jc w:val="left"/>
              <w:rPr/>
            </w:pPr>
            <w:r>
              <w:rPr/>
              <w:t> </w:t>
            </w:r>
          </w:p>
        </w:tc>
        <w:tc>
          <w:tcPr>
            <w:tcW w:w="146" w:type="dxa"/>
            <w:tcBorders/>
            <w:tcMar>
              <w:top w:w="0" w:type="dxa"/>
              <w:left w:w="0" w:type="dxa"/>
              <w:bottom w:w="0" w:type="dxa"/>
              <w:right w:w="0" w:type="dxa"/>
            </w:tcMar>
            <w:vAlign w:val="center"/>
          </w:tcPr>
          <w:p>
            <w:pPr>
              <w:pStyle w:val="TableContents"/>
              <w:bidi w:val="0"/>
              <w:spacing w:before="0" w:after="160"/>
              <w:jc w:val="left"/>
              <w:rPr/>
            </w:pPr>
            <w:r>
              <w:rPr/>
              <w:t> </w:t>
            </w:r>
          </w:p>
        </w:tc>
        <w:tc>
          <w:tcPr>
            <w:tcW w:w="2131"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160"/>
              <w:jc w:val="left"/>
              <w:rPr/>
            </w:pPr>
            <w:r>
              <w:rPr/>
              <w:t> </w:t>
            </w:r>
          </w:p>
        </w:tc>
      </w:tr>
      <w:tr>
        <w:trPr/>
        <w:tc>
          <w:tcPr>
            <w:tcW w:w="384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Title of each class</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9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Trading 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31"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Name of each exchange</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on which registered</w:t>
            </w:r>
          </w:p>
        </w:tc>
      </w:tr>
      <w:tr>
        <w:trPr/>
        <w:tc>
          <w:tcPr>
            <w:tcW w:w="38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Common stock, par value $0.0001 per share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XLO</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Nasdaq Capital Market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jc w:val="left"/>
        <w:rPr/>
      </w:pPr>
      <w:r>
        <w:rPr/>
        <w:t> </w:t>
      </w:r>
    </w:p>
    <w:p>
      <w:pPr>
        <w:pStyle w:val="TextBody"/>
        <w:bidi w:val="0"/>
        <w:jc w:val="right"/>
        <w:rPr>
          <w:rFonts w:ascii="Times New Roman" w:hAnsi="Times New Roman"/>
          <w:color w:val="000000"/>
          <w:sz w:val="20"/>
        </w:rPr>
      </w:pPr>
      <w:r>
        <w:rPr>
          <w:rFonts w:ascii="Times New Roman" w:hAnsi="Times New Roman"/>
          <w:color w:val="000000"/>
          <w:sz w:val="20"/>
        </w:rPr>
        <w:t>Emerging growth company ☒</w:t>
      </w:r>
    </w:p>
    <w:p>
      <w:pPr>
        <w:pStyle w:val="TextBody"/>
        <w:bidi w:val="0"/>
        <w:jc w:val="left"/>
        <w:rPr/>
      </w:pPr>
      <w:r>
        <w:rPr/>
        <w:t> </w:t>
      </w:r>
    </w:p>
    <w:p>
      <w:pPr>
        <w:pStyle w:val="TextBody"/>
        <w:bidi w:val="0"/>
        <w:spacing w:before="0" w:after="40"/>
        <w:jc w:val="left"/>
        <w:rPr>
          <w:rFonts w:ascii="Times New Roman" w:hAnsi="Times New Roman"/>
          <w:color w:val="000000"/>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pBdr>
          <w:top w:val="single" w:sz="4" w:space="1" w:color="000000"/>
          <w:bottom w:val="single" w:sz="24" w:space="1" w:color="000000"/>
        </w:pBdr>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Item 2.02 Results of Operations and Financial Condition.</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August 12, 2026, Xilio Therapeutics, Inc. (the “Company”) announced its financial results for the quarter ended June 30, 2026 and other business highlights. The full text of the press release issued in connection with the announcement is furnished as Exhibit 99.1 to this Current Report on Form 8-K and is incorporated by reference herein.</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information in this Current Report on Form 8-K, including Exhibit 99.1,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 </w:t>
      </w:r>
    </w:p>
    <w:p>
      <w:pPr>
        <w:pStyle w:val="TextBody"/>
        <w:bidi w:val="0"/>
        <w:jc w:val="both"/>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jc w:val="left"/>
        <w:rPr>
          <w:rFonts w:ascii="Times New Roman" w:hAnsi="Times New Roman"/>
          <w:color w:val="000000"/>
          <w:sz w:val="20"/>
        </w:rPr>
      </w:pPr>
      <w:r>
        <w:rPr>
          <w:rFonts w:ascii="Times New Roman" w:hAnsi="Times New Roman"/>
          <w:color w:val="000000"/>
          <w:sz w:val="20"/>
        </w:rPr>
        <w:t>(d) Exhibits.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exhibit relating to Item 2.02 of this Current Report on Form 8-K shall be deemed to be furnished and not filed.</w:t>
      </w:r>
    </w:p>
    <w:tbl>
      <w:tblPr>
        <w:tblW w:w="10205" w:type="dxa"/>
        <w:jc w:val="left"/>
        <w:tblInd w:w="0" w:type="dxa"/>
        <w:tblLayout w:type="fixed"/>
        <w:tblCellMar>
          <w:top w:w="28" w:type="dxa"/>
          <w:left w:w="28" w:type="dxa"/>
          <w:bottom w:w="28" w:type="dxa"/>
          <w:right w:w="28" w:type="dxa"/>
        </w:tblCellMar>
      </w:tblPr>
      <w:tblGrid>
        <w:gridCol w:w="1070"/>
        <w:gridCol w:w="146"/>
        <w:gridCol w:w="8989"/>
      </w:tblGrid>
      <w:tr>
        <w:trPr/>
        <w:tc>
          <w:tcPr>
            <w:tcW w:w="10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989" w:type="dxa"/>
            <w:tcBorders/>
            <w:vAlign w:val="center"/>
          </w:tcPr>
          <w:p>
            <w:pPr>
              <w:pStyle w:val="TableContents"/>
              <w:bidi w:val="0"/>
              <w:spacing w:before="0" w:after="283"/>
              <w:jc w:val="left"/>
              <w:rPr>
                <w:sz w:val="4"/>
                <w:szCs w:val="4"/>
              </w:rPr>
            </w:pPr>
            <w:r>
              <w:rPr>
                <w:sz w:val="4"/>
                <w:szCs w:val="4"/>
              </w:rPr>
            </w:r>
          </w:p>
        </w:tc>
      </w:tr>
      <w:tr>
        <w:trPr/>
        <w:tc>
          <w:tcPr>
            <w:tcW w:w="107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8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70"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Exhibit No.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989"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r>
      <w:tr>
        <w:trPr/>
        <w:tc>
          <w:tcPr>
            <w:tcW w:w="107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9" w:type="dxa"/>
            <w:tcBorders/>
            <w:tcMar>
              <w:top w:w="0" w:type="dxa"/>
              <w:left w:w="0" w:type="dxa"/>
              <w:bottom w:w="0" w:type="dxa"/>
              <w:right w:w="0" w:type="dxa"/>
            </w:tcMar>
            <w:vAlign w:val="center"/>
          </w:tcPr>
          <w:p>
            <w:pPr>
              <w:pStyle w:val="TableContents"/>
              <w:bidi w:val="0"/>
              <w:spacing w:before="0" w:after="283"/>
              <w:jc w:val="left"/>
              <w:rPr/>
            </w:pPr>
            <w:hyperlink w:anchor="xlo-ex99_1.htm">
              <w:r>
                <w:rPr>
                  <w:rStyle w:val="InternetLink"/>
                  <w:rFonts w:ascii="Times New Roman" w:hAnsi="Times New Roman"/>
                  <w:color w:val="0000FF"/>
                  <w:sz w:val="20"/>
                  <w:u w:val="single"/>
                </w:rPr>
                <w:t>Press release issued by Xilio Therapeutics, Inc. on August 12, 2026</w:t>
              </w:r>
            </w:hyperlink>
          </w:p>
        </w:tc>
      </w:tr>
      <w:tr>
        <w:trPr/>
        <w:tc>
          <w:tcPr>
            <w:tcW w:w="107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 and incorporated as Exhibit 101)</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Pursuant to the requirements of the Securities Exchange Act of 1934, as amended, the registrant has duly caused this report to be signed on its behalf by the undersigned hereunto duly authorized.</w:t>
      </w:r>
    </w:p>
    <w:p>
      <w:pPr>
        <w:pStyle w:val="TextBody"/>
        <w:bidi w:val="0"/>
        <w:jc w:val="left"/>
        <w:rPr/>
      </w:pPr>
      <w:r>
        <w:rPr/>
        <w:t> </w:t>
      </w:r>
    </w:p>
    <w:tbl>
      <w:tblPr>
        <w:tblW w:w="4726" w:type="dxa"/>
        <w:jc w:val="left"/>
        <w:tblInd w:w="0" w:type="dxa"/>
        <w:tblLayout w:type="fixed"/>
        <w:tblCellMar>
          <w:top w:w="28" w:type="dxa"/>
          <w:left w:w="28" w:type="dxa"/>
          <w:bottom w:w="28" w:type="dxa"/>
          <w:right w:w="28" w:type="dxa"/>
        </w:tblCellMar>
      </w:tblPr>
      <w:tblGrid>
        <w:gridCol w:w="1951"/>
        <w:gridCol w:w="524"/>
        <w:gridCol w:w="2251"/>
      </w:tblGrid>
      <w:tr>
        <w:trPr/>
        <w:tc>
          <w:tcPr>
            <w:tcW w:w="1951"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2251"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524" w:type="dxa"/>
            <w:tcBorders/>
            <w:tcMar>
              <w:top w:w="0" w:type="dxa"/>
              <w:left w:w="0" w:type="dxa"/>
              <w:bottom w:w="0" w:type="dxa"/>
              <w:right w:w="0" w:type="dxa"/>
            </w:tcMar>
            <w:vAlign w:val="center"/>
          </w:tcPr>
          <w:p>
            <w:pPr>
              <w:pStyle w:val="TableContents"/>
              <w:bidi w:val="0"/>
              <w:spacing w:before="0" w:after="283"/>
              <w:jc w:val="left"/>
              <w:rPr/>
            </w:pPr>
            <w:r>
              <w:rPr/>
              <w:t> </w:t>
            </w:r>
          </w:p>
        </w:tc>
        <w:tc>
          <w:tcPr>
            <w:tcW w:w="225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277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XILIO THERAPEUTICS, INC.</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524" w:type="dxa"/>
            <w:tcBorders/>
            <w:tcMar>
              <w:top w:w="0" w:type="dxa"/>
              <w:left w:w="0" w:type="dxa"/>
              <w:bottom w:w="0" w:type="dxa"/>
              <w:right w:w="0" w:type="dxa"/>
            </w:tcMar>
            <w:vAlign w:val="center"/>
          </w:tcPr>
          <w:p>
            <w:pPr>
              <w:pStyle w:val="TableContents"/>
              <w:bidi w:val="0"/>
              <w:spacing w:before="0" w:after="283"/>
              <w:jc w:val="left"/>
              <w:rPr/>
            </w:pPr>
            <w:r>
              <w:rPr/>
              <w:t> </w:t>
            </w:r>
          </w:p>
        </w:tc>
        <w:tc>
          <w:tcPr>
            <w:tcW w:w="225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12, 2026</w:t>
            </w:r>
          </w:p>
        </w:tc>
        <w:tc>
          <w:tcPr>
            <w:tcW w:w="52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25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Ben Harshbarger</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524" w:type="dxa"/>
            <w:tcBorders/>
            <w:tcMar>
              <w:top w:w="0" w:type="dxa"/>
              <w:left w:w="0" w:type="dxa"/>
              <w:bottom w:w="0" w:type="dxa"/>
              <w:right w:w="0" w:type="dxa"/>
            </w:tcMar>
            <w:vAlign w:val="center"/>
          </w:tcPr>
          <w:p>
            <w:pPr>
              <w:pStyle w:val="TableContents"/>
              <w:bidi w:val="0"/>
              <w:spacing w:before="0" w:after="283"/>
              <w:jc w:val="left"/>
              <w:rPr/>
            </w:pPr>
            <w:r>
              <w:rPr/>
              <w:t> </w:t>
            </w:r>
          </w:p>
        </w:tc>
        <w:tc>
          <w:tcPr>
            <w:tcW w:w="22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Ben Harshbarger</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524" w:type="dxa"/>
            <w:tcBorders/>
            <w:tcMar>
              <w:top w:w="0" w:type="dxa"/>
              <w:left w:w="0" w:type="dxa"/>
              <w:bottom w:w="0" w:type="dxa"/>
              <w:right w:w="0" w:type="dxa"/>
            </w:tcMar>
            <w:vAlign w:val="center"/>
          </w:tcPr>
          <w:p>
            <w:pPr>
              <w:pStyle w:val="TableContents"/>
              <w:bidi w:val="0"/>
              <w:spacing w:before="0" w:after="283"/>
              <w:jc w:val="left"/>
              <w:rPr/>
            </w:pPr>
            <w:r>
              <w:rPr/>
              <w:t> </w:t>
            </w:r>
          </w:p>
        </w:tc>
        <w:tc>
          <w:tcPr>
            <w:tcW w:w="22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Legal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3"/>
        </w:rPr>
      </w:pPr>
      <w:bookmarkStart w:id="2" w:name="xlo-ex99_1.htm"/>
      <w:bookmarkStart w:id="3" w:name="ksxloex99_1"/>
      <w:bookmarkEnd w:id="2"/>
      <w:bookmarkEnd w:id="3"/>
      <w:r>
        <w:rPr>
          <w:rFonts w:ascii="Times New Roman" w:hAnsi="Times New Roman"/>
          <w:b/>
          <w:color w:val="000000"/>
          <w:sz w:val="23"/>
        </w:rPr>
        <w:t>Exhibit 99.1</w:t>
      </w:r>
      <w:r>
        <w:br w:type="page"/>
      </w:r>
    </w:p>
    <w:p>
      <w:pPr>
        <w:pStyle w:val="TextBody"/>
        <w:bidi w:val="0"/>
        <w:jc w:val="center"/>
        <w:rPr>
          <w:rFonts w:ascii="Times New Roman" w:hAnsi="Times New Roman"/>
          <w:b/>
          <w:color w:val="000000"/>
          <w:sz w:val="22"/>
        </w:rPr>
      </w:pPr>
      <w:r>
        <w:rPr>
          <w:rFonts w:ascii="Times New Roman" w:hAnsi="Times New Roman"/>
          <w:b/>
          <w:color w:val="000000"/>
          <w:sz w:val="22"/>
        </w:rPr>
        <w:t>Xilio Therapeutics Reports Second Quarter 2026 Financial Results and Provides Pipeline and Business Updates</w:t>
      </w:r>
    </w:p>
    <w:p>
      <w:pPr>
        <w:pStyle w:val="TextBody"/>
        <w:bidi w:val="0"/>
        <w:jc w:val="center"/>
        <w:rPr/>
      </w:pPr>
      <w:r>
        <w:rPr/>
        <w:t> </w:t>
      </w:r>
    </w:p>
    <w:p>
      <w:pPr>
        <w:pStyle w:val="TextBody"/>
        <w:bidi w:val="0"/>
        <w:jc w:val="center"/>
        <w:rPr>
          <w:rFonts w:ascii="Times New Roman" w:hAnsi="Times New Roman"/>
          <w:i/>
          <w:color w:val="000000"/>
          <w:sz w:val="22"/>
        </w:rPr>
      </w:pPr>
      <w:r>
        <w:rPr>
          <w:rFonts w:ascii="Times New Roman" w:hAnsi="Times New Roman"/>
          <w:i/>
          <w:color w:val="000000"/>
          <w:sz w:val="22"/>
        </w:rPr>
        <w:t>Received FDA clearance of IND application for XTX501, a potential best-in-class bispecific PD-1 / masked IL-2</w:t>
      </w:r>
    </w:p>
    <w:p>
      <w:pPr>
        <w:pStyle w:val="TextBody"/>
        <w:bidi w:val="0"/>
        <w:jc w:val="center"/>
        <w:rPr/>
      </w:pPr>
      <w:r>
        <w:rPr/>
        <w:t> </w:t>
      </w:r>
    </w:p>
    <w:p>
      <w:pPr>
        <w:pStyle w:val="TextBody"/>
        <w:bidi w:val="0"/>
        <w:jc w:val="center"/>
        <w:rPr>
          <w:rFonts w:ascii="Times New Roman" w:hAnsi="Times New Roman"/>
          <w:i/>
          <w:color w:val="000000"/>
          <w:sz w:val="22"/>
        </w:rPr>
      </w:pPr>
      <w:r>
        <w:rPr>
          <w:rFonts w:ascii="Times New Roman" w:hAnsi="Times New Roman"/>
          <w:i/>
          <w:color w:val="000000"/>
          <w:sz w:val="22"/>
        </w:rPr>
        <w:t>Advancing IND-enabling studies for potential first-in-class multi-specific, masked T cell engager programs targeting CLDN18.2 and PSMA+STEAP1; IND applications anticipated in the second half of 2027</w:t>
      </w:r>
    </w:p>
    <w:p>
      <w:pPr>
        <w:pStyle w:val="TextBody"/>
        <w:bidi w:val="0"/>
        <w:jc w:val="center"/>
        <w:rPr/>
      </w:pPr>
      <w:r>
        <w:rPr/>
        <w:t> </w:t>
      </w:r>
    </w:p>
    <w:p>
      <w:pPr>
        <w:pStyle w:val="TextBody"/>
        <w:bidi w:val="0"/>
        <w:jc w:val="center"/>
        <w:rPr>
          <w:rFonts w:ascii="Times New Roman" w:hAnsi="Times New Roman"/>
          <w:i/>
          <w:color w:val="000000"/>
          <w:sz w:val="22"/>
        </w:rPr>
      </w:pPr>
      <w:r>
        <w:rPr>
          <w:rFonts w:ascii="Times New Roman" w:hAnsi="Times New Roman"/>
          <w:i/>
          <w:color w:val="000000"/>
          <w:sz w:val="22"/>
        </w:rPr>
        <w:t>Cash runway into the first quarter of 2028 expected to support key milestones across pipeline of next generation multi-specific I-O therapies</w:t>
      </w:r>
    </w:p>
    <w:p>
      <w:pPr>
        <w:pStyle w:val="TextBody"/>
        <w:bidi w:val="0"/>
        <w:jc w:val="center"/>
        <w:rPr/>
      </w:pPr>
      <w:r>
        <w:rPr/>
        <w:t> </w:t>
      </w:r>
    </w:p>
    <w:p>
      <w:pPr>
        <w:pStyle w:val="TextBody"/>
        <w:bidi w:val="0"/>
        <w:jc w:val="both"/>
        <w:rPr>
          <w:rFonts w:ascii="Times New Roman" w:hAnsi="Times New Roman"/>
          <w:color w:val="000000"/>
          <w:sz w:val="22"/>
        </w:rPr>
      </w:pPr>
      <w:r>
        <w:rPr>
          <w:rFonts w:ascii="Times New Roman" w:hAnsi="Times New Roman"/>
          <w:color w:val="000000"/>
          <w:sz w:val="22"/>
        </w:rPr>
        <w:t>WALTHAM, Mass., August 12, 2026 (GLOBE NEWSWIRE) -- Xilio Therapeutics, Inc. (Nasdaq: XLO), a clinical-stage biotechnology company discovering and developing masked immuno-oncology therapies for people living with cancer, today announced pipeline progress and business updates and reported financial results for the second quarter ended June 30, 2026.</w:t>
      </w:r>
    </w:p>
    <w:p>
      <w:pPr>
        <w:pStyle w:val="TextBody"/>
        <w:bidi w:val="0"/>
        <w:jc w:val="both"/>
        <w:rPr/>
      </w:pPr>
      <w:r>
        <w:rPr/>
        <w:t> </w:t>
      </w:r>
    </w:p>
    <w:p>
      <w:pPr>
        <w:pStyle w:val="TextBody"/>
        <w:bidi w:val="0"/>
        <w:jc w:val="both"/>
        <w:rPr>
          <w:color w:val="000000"/>
        </w:rPr>
      </w:pPr>
      <w:r>
        <w:rPr>
          <w:color w:val="000000"/>
        </w:rPr>
        <w:t>“</w:t>
      </w:r>
      <w:r>
        <w:rPr>
          <w:rFonts w:ascii="Times New Roman" w:hAnsi="Times New Roman"/>
          <w:color w:val="000000"/>
          <w:sz w:val="22"/>
        </w:rPr>
        <w:t>In the second quarter, we remained focused on disciplined execution across our pipeline as we continued to advance our next generation of masked immuno-oncology therapies toward the clinic. Today, we are excited to announce FDA clearance of our IND for XTX501, a bispecific PD-1 / masked IL-2 that we believe has the potential to become a foundational backbone therapy for solid tumors,” said René Russo, Pharm.D., president and chief executive officer of Xilio. “At the same time, we are advancing IND-enabling studies for our multi-specific, masked T cell engagers targeting CLDN18.2 and PSMA+STEAP1. Together, these programs highlight the potential to leverage our masking technology to unlock the next generation of sophisticated, multi-specific I-O therapies for people living with cancer.”</w:t>
      </w:r>
    </w:p>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Pipeline Progress and Business Updates</w:t>
      </w:r>
    </w:p>
    <w:p>
      <w:pPr>
        <w:pStyle w:val="TextBody"/>
        <w:bidi w:val="0"/>
        <w:jc w:val="both"/>
        <w:rPr/>
      </w:pPr>
      <w:r>
        <w:rPr/>
        <w:t> </w:t>
      </w:r>
    </w:p>
    <w:p>
      <w:pPr>
        <w:pStyle w:val="TextBody"/>
        <w:bidi w:val="0"/>
        <w:jc w:val="both"/>
        <w:rPr>
          <w:rFonts w:ascii="Times New Roman" w:hAnsi="Times New Roman"/>
          <w:b/>
          <w:i/>
          <w:color w:val="000000"/>
          <w:sz w:val="22"/>
        </w:rPr>
      </w:pPr>
      <w:r>
        <w:rPr>
          <w:rFonts w:ascii="Times New Roman" w:hAnsi="Times New Roman"/>
          <w:b/>
          <w:i/>
          <w:color w:val="000000"/>
          <w:sz w:val="22"/>
        </w:rPr>
        <w:t>XTX501: bispecific PD-1 / masked IL-2</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XTX501 is a novel bispecific PD-1 / masked IL-2 that has the potential to be a foundational backbone therapy for solid tumors, including in combination with other agents. XTX501 is designed to selectively stimulate PD-1 positive, antigen-experienced T cells and enhance their function while overcoming IL-2 receptor-mediated clearance, peripheral activity and tolerability issues associated with non-masked IL-2 agents.</w:t>
      </w:r>
      <w:r>
        <w:rPr>
          <w:rFonts w:ascii="Times New Roman" w:hAnsi="Times New Roman"/>
          <w:color w:val="000000"/>
          <w:sz w:val="20"/>
        </w:rPr>
        <w:t xml:space="preserve"> </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 xml:space="preserve">Xilio received clearance from the U.S. Food and Drug Administration (FDA) for the company’s investigational new drug application (IND) to proceed to a Phase 1/2 clinical trial for XTX501. </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2"/>
        </w:rPr>
      </w:pPr>
      <w:r>
        <w:rPr>
          <w:rFonts w:ascii="Times New Roman" w:hAnsi="Times New Roman"/>
          <w:color w:val="000000"/>
          <w:sz w:val="22"/>
        </w:rPr>
        <w:t>Xilio expects to initiate dosing in the Phase 1 portion of the trial in patients with metastatic non-small cell lung cancer (NSCLC) and select advanced solid tumors in the second half of 2026. Xilio plans to report initial Phase 1 data in patients with metastatic NSCLC in the second half of 2027.</w:t>
      </w:r>
    </w:p>
    <w:p>
      <w:pPr>
        <w:pStyle w:val="TextBody"/>
        <w:bidi w:val="0"/>
        <w:jc w:val="both"/>
        <w:rPr/>
      </w:pPr>
      <w:r>
        <w:rPr/>
        <w:t> </w:t>
      </w:r>
    </w:p>
    <w:p>
      <w:pPr>
        <w:pStyle w:val="TextBody"/>
        <w:bidi w:val="0"/>
        <w:jc w:val="both"/>
        <w:rPr>
          <w:rFonts w:ascii="Times New Roman" w:hAnsi="Times New Roman"/>
          <w:b/>
          <w:i/>
          <w:color w:val="000000"/>
          <w:sz w:val="22"/>
        </w:rPr>
      </w:pPr>
      <w:r>
        <w:rPr>
          <w:rFonts w:ascii="Times New Roman" w:hAnsi="Times New Roman"/>
          <w:b/>
          <w:i/>
          <w:color w:val="000000"/>
          <w:sz w:val="22"/>
        </w:rPr>
        <w:t>Masked T Cell Engager Programs</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Xilio is leveraging its proprietary, clinically-validated masking technology and modular T cell engager (TCE) architectures to advance two wholly-owned masked TCE programs, as well as an additional masked TCE program in collaboration with AbbVie Group Holdings Limited (AbbVie).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The company’s masked TCEs are designed with a masked CD3 targeting domain and one or more tumor-associated antigen (TAA) binding domains as part of the core molecule design. In addition, the company’s</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Times New Roman" w:hAnsi="Times New Roman"/>
          <w:sz w:val="20"/>
        </w:rPr>
      </w:pPr>
      <w:r>
        <w:rPr>
          <w:rFonts w:ascii="Times New Roman" w:hAnsi="Times New Roman"/>
          <w:color w:val="000000"/>
          <w:sz w:val="22"/>
        </w:rPr>
        <w:t>modular architecture enables the incorporation of a co-stimulatory domain designed to further enhance potency and durability of T cell response, as well as the potential to mask the TAA binding domain(s) and/or mask the co-stimulatory signaling domain. Upon tumor-selective activation, Xilio’s TCE molecules are designed to release a potent, short half-life TCE in the tumor microenvironment.</w:t>
      </w:r>
      <w:r>
        <w:rPr>
          <w:rFonts w:ascii="Times New Roman" w:hAnsi="Times New Roman"/>
          <w:color w:val="000000"/>
          <w:sz w:val="20"/>
        </w:rPr>
        <w:t xml:space="preserve"> </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Xilio is advancing IND-enabling studies for a potential first-in-class masked TCE program targeting CLDN18.2 and a potential first-in-class multi-specific, masked TCE program targeting PSMA and STEAP1 with built-in co-stimulatory signaling. CLDN18.2 is a TAA expressed in gastrointestinal cancers (gastric, pancreatic and esophageal), and PSMA and STEAP1 are TAAs expressed in prostate cancer.</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2"/>
        </w:rPr>
      </w:pPr>
      <w:r>
        <w:rPr>
          <w:rFonts w:ascii="Times New Roman" w:hAnsi="Times New Roman"/>
          <w:color w:val="000000"/>
          <w:sz w:val="22"/>
        </w:rPr>
        <w:t>Xilio plans to submit INDs for its CLDN18.2 and PSMA+STEAP1 programs in the second half of 2027.</w:t>
      </w:r>
    </w:p>
    <w:p>
      <w:pPr>
        <w:pStyle w:val="TextBody"/>
        <w:bidi w:val="0"/>
        <w:jc w:val="both"/>
        <w:rPr/>
      </w:pPr>
      <w:r>
        <w:rPr/>
        <w:t> </w:t>
      </w:r>
    </w:p>
    <w:p>
      <w:pPr>
        <w:pStyle w:val="TextBody"/>
        <w:bidi w:val="0"/>
        <w:jc w:val="both"/>
        <w:rPr>
          <w:rFonts w:ascii="Times New Roman" w:hAnsi="Times New Roman"/>
          <w:b/>
          <w:i/>
          <w:color w:val="000000"/>
          <w:sz w:val="22"/>
        </w:rPr>
      </w:pPr>
      <w:r>
        <w:rPr>
          <w:rFonts w:ascii="Times New Roman" w:hAnsi="Times New Roman"/>
          <w:b/>
          <w:i/>
          <w:color w:val="000000"/>
          <w:sz w:val="22"/>
        </w:rPr>
        <w:t>Efarindodekin alfa: masked IL-12</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2"/>
        </w:rPr>
      </w:pPr>
      <w:r>
        <w:rPr>
          <w:rFonts w:ascii="Times New Roman" w:hAnsi="Times New Roman"/>
          <w:color w:val="000000"/>
          <w:sz w:val="22"/>
        </w:rPr>
        <w:t>Xilio is evaluating efarindodekin alfa as a monotherapy in an ongoing Phase 2 clinical trial in patients with advanced solid tumors and expects to deliver an option data package to Gilead Sciences, Inc. (Gilead) in the first half of 2027.</w:t>
      </w:r>
    </w:p>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Recent Corporate Updates</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pPr>
      <w:r>
        <w:rPr>
          <w:rFonts w:ascii="Times New Roman" w:hAnsi="Times New Roman"/>
          <w:color w:val="000000"/>
          <w:sz w:val="22"/>
        </w:rPr>
        <w:t xml:space="preserve">Xilio appointed Ben Harshbarger as its chief legal officer in June 2026. Ben has over 20 years of executive leadership and legal expertise within the biopharmaceutical industry. Read more </w:t>
      </w:r>
      <w:r>
        <w:rPr>
          <w:rFonts w:ascii="Times New Roman" w:hAnsi="Times New Roman"/>
          <w:sz w:val="22"/>
        </w:rPr>
        <w:t>here</w:t>
      </w:r>
      <w:r>
        <w:rPr>
          <w:rFonts w:ascii="Times New Roman" w:hAnsi="Times New Roman"/>
          <w:color w:val="000000"/>
          <w:sz w:val="22"/>
        </w:rPr>
        <w:t>.</w:t>
      </w:r>
    </w:p>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Second Quarter 2026 Financial Results</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spacing w:before="0" w:after="0"/>
        <w:jc w:val="both"/>
        <w:rPr/>
      </w:pPr>
      <w:r>
        <w:rPr>
          <w:rFonts w:ascii="Times New Roman" w:hAnsi="Times New Roman"/>
          <w:b/>
          <w:color w:val="000000"/>
          <w:sz w:val="22"/>
        </w:rPr>
        <w:t>Cash Position:</w:t>
      </w:r>
      <w:r>
        <w:rPr>
          <w:color w:val="000000"/>
        </w:rPr>
        <w:t xml:space="preserve"> </w:t>
      </w:r>
      <w:r>
        <w:rPr>
          <w:rFonts w:ascii="Times New Roman" w:hAnsi="Times New Roman"/>
          <w:color w:val="000000"/>
          <w:sz w:val="22"/>
        </w:rPr>
        <w:t>Cash and cash equivalents were $136.0 million as of June 30, 2026, compared to $137.5 million as of December 31, 2025.</w:t>
      </w:r>
    </w:p>
    <w:p>
      <w:pPr>
        <w:pStyle w:val="TextBody"/>
        <w:bidi w:val="0"/>
        <w:spacing w:before="0" w:after="0"/>
        <w:jc w:val="both"/>
        <w:rPr>
          <w:color w:val="000000"/>
        </w:rPr>
      </w:pPr>
      <w:r>
        <w:rPr>
          <w:color w:val="000000"/>
        </w:rPr>
        <w:t>•</w:t>
      </w:r>
    </w:p>
    <w:p>
      <w:pPr>
        <w:pStyle w:val="TextBody"/>
        <w:bidi w:val="0"/>
        <w:spacing w:before="0" w:after="0"/>
        <w:jc w:val="both"/>
        <w:rPr/>
      </w:pPr>
      <w:r>
        <w:rPr>
          <w:rFonts w:ascii="Times New Roman" w:hAnsi="Times New Roman"/>
          <w:b/>
          <w:color w:val="000000"/>
          <w:sz w:val="22"/>
        </w:rPr>
        <w:t>Collaboration and License Revenue:</w:t>
      </w:r>
      <w:r>
        <w:rPr>
          <w:color w:val="000000"/>
        </w:rPr>
        <w:t xml:space="preserve"> </w:t>
      </w:r>
      <w:r>
        <w:rPr>
          <w:rFonts w:ascii="Times New Roman" w:hAnsi="Times New Roman"/>
          <w:color w:val="000000"/>
          <w:sz w:val="22"/>
        </w:rPr>
        <w:t>Collaboration and license revenue was $18.7 million for the quarter ended June 30, 2026, compared to $8.1 million for the quarter ended June 30, 2025. The increase was driven by an increase in collaboration and license revenue recognized under the collaboration and license agreements with AbbVie and Gilead.</w:t>
      </w:r>
    </w:p>
    <w:p>
      <w:pPr>
        <w:pStyle w:val="TextBody"/>
        <w:bidi w:val="0"/>
        <w:spacing w:before="0" w:after="0"/>
        <w:jc w:val="both"/>
        <w:rPr>
          <w:color w:val="000000"/>
        </w:rPr>
      </w:pPr>
      <w:r>
        <w:rPr>
          <w:color w:val="000000"/>
        </w:rPr>
        <w:t>•</w:t>
      </w:r>
    </w:p>
    <w:p>
      <w:pPr>
        <w:pStyle w:val="TextBody"/>
        <w:bidi w:val="0"/>
        <w:spacing w:before="0" w:after="0"/>
        <w:jc w:val="both"/>
        <w:rPr/>
      </w:pPr>
      <w:r>
        <w:rPr>
          <w:rFonts w:ascii="Times New Roman" w:hAnsi="Times New Roman"/>
          <w:b/>
          <w:color w:val="000000"/>
          <w:sz w:val="22"/>
        </w:rPr>
        <w:t>Research &amp; Development (R&amp;D) Expenses:</w:t>
      </w:r>
      <w:r>
        <w:rPr>
          <w:color w:val="000000"/>
        </w:rPr>
        <w:t xml:space="preserve"> </w:t>
      </w:r>
      <w:r>
        <w:rPr>
          <w:rFonts w:ascii="Times New Roman" w:hAnsi="Times New Roman"/>
          <w:color w:val="000000"/>
          <w:sz w:val="22"/>
        </w:rPr>
        <w:t>R&amp;D expenses were $14.6 million for the quarter ended June 30, 2026, compared to $15.3 million for the quarter ended June 30, 2025. The decrease was primarily driven by decreased clinical development activities related to vilastobart and decreased manufacturing activities for XTX501, partially offset by increased costs related to masked TCE programs and indirect research and development and increased personnel-related costs.</w:t>
      </w:r>
    </w:p>
    <w:p>
      <w:pPr>
        <w:pStyle w:val="TextBody"/>
        <w:bidi w:val="0"/>
        <w:spacing w:before="0" w:after="0"/>
        <w:jc w:val="both"/>
        <w:rPr>
          <w:color w:val="000000"/>
        </w:rPr>
      </w:pPr>
      <w:r>
        <w:rPr>
          <w:color w:val="000000"/>
        </w:rPr>
        <w:t>•</w:t>
      </w:r>
    </w:p>
    <w:p>
      <w:pPr>
        <w:pStyle w:val="TextBody"/>
        <w:bidi w:val="0"/>
        <w:spacing w:before="0" w:after="0"/>
        <w:jc w:val="both"/>
        <w:rPr/>
      </w:pPr>
      <w:r>
        <w:rPr>
          <w:rFonts w:ascii="Times New Roman" w:hAnsi="Times New Roman"/>
          <w:b/>
          <w:color w:val="000000"/>
          <w:sz w:val="22"/>
        </w:rPr>
        <w:t>General &amp; Administrative (G&amp;A) Expenses:</w:t>
      </w:r>
      <w:r>
        <w:rPr>
          <w:color w:val="000000"/>
        </w:rPr>
        <w:t xml:space="preserve"> </w:t>
      </w:r>
      <w:r>
        <w:rPr>
          <w:rFonts w:ascii="Times New Roman" w:hAnsi="Times New Roman"/>
          <w:color w:val="000000"/>
          <w:sz w:val="22"/>
        </w:rPr>
        <w:t>G&amp;A expenses were $7.6 million for the quarter ended June 30, 2026, compared to $7.1 million for the quarter ended June 30, 2025. The increase was primarily driven by an increase in personnel-related costs.</w:t>
      </w:r>
    </w:p>
    <w:p>
      <w:pPr>
        <w:pStyle w:val="TextBody"/>
        <w:bidi w:val="0"/>
        <w:spacing w:before="0" w:after="0"/>
        <w:jc w:val="left"/>
        <w:rPr>
          <w:color w:val="000000"/>
        </w:rPr>
      </w:pPr>
      <w:r>
        <w:rPr>
          <w:color w:val="000000"/>
        </w:rPr>
        <w:t>•</w:t>
      </w:r>
    </w:p>
    <w:p>
      <w:pPr>
        <w:pStyle w:val="TextBody"/>
        <w:bidi w:val="0"/>
        <w:jc w:val="left"/>
        <w:rPr/>
      </w:pPr>
      <w:r>
        <w:rPr>
          <w:rFonts w:ascii="Times New Roman" w:hAnsi="Times New Roman"/>
          <w:b/>
          <w:color w:val="000000"/>
          <w:sz w:val="22"/>
        </w:rPr>
        <w:t>Net Loss:</w:t>
      </w:r>
      <w:r>
        <w:rPr>
          <w:color w:val="000000"/>
        </w:rPr>
        <w:t xml:space="preserve"> </w:t>
      </w:r>
      <w:r>
        <w:rPr>
          <w:rFonts w:ascii="Times New Roman" w:hAnsi="Times New Roman"/>
          <w:color w:val="000000"/>
          <w:sz w:val="22"/>
        </w:rPr>
        <w:t>Net loss was $6.4 million for the quarter ended June 30, 2026, compared to a net loss of $15.8 million for the quarter ended June 30, 2025.</w:t>
        <w:br/>
      </w:r>
      <w:r>
        <w:rPr>
          <w:color w:val="000000"/>
        </w:rPr>
        <w:t> </w:t>
      </w:r>
    </w:p>
    <w:p>
      <w:pPr>
        <w:pStyle w:val="TextBody"/>
        <w:bidi w:val="0"/>
        <w:jc w:val="both"/>
        <w:rPr>
          <w:rFonts w:ascii="Times New Roman" w:hAnsi="Times New Roman"/>
          <w:b/>
          <w:color w:val="000000"/>
          <w:sz w:val="22"/>
        </w:rPr>
      </w:pPr>
      <w:r>
        <w:rPr>
          <w:rFonts w:ascii="Times New Roman" w:hAnsi="Times New Roman"/>
          <w:b/>
          <w:color w:val="000000"/>
          <w:sz w:val="22"/>
        </w:rPr>
        <w:t>Cash Runway</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Based on its current operating plans, Xilio anticipates that its existing cash and cash equivalents will be sufficient to enable it to fund its operating expenses and capital expenditure requirements into the first quarter of 2028.</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Times New Roman" w:hAnsi="Times New Roman"/>
          <w:color w:val="000000"/>
          <w:sz w:val="22"/>
        </w:rPr>
      </w:pPr>
      <w:r>
        <w:rPr>
          <w:rFonts w:ascii="Times New Roman" w:hAnsi="Times New Roman"/>
          <w:color w:val="000000"/>
          <w:sz w:val="22"/>
        </w:rPr>
        <w:t>This estimate excludes up to $36.2 million in additional gross proceeds in the second half of 2026 if all outstanding Series C warrants are exercised at their current exercise price and any potential additional milestone payments, option-related fees or other contingent payments under Xilio’s collaboration and license agreements with AbbVie and Gilead, including up to $31.0 million in near-term milestones and option extension fees that could be achieved under the AbbVie collaboration through the first half of 2027.</w:t>
      </w:r>
    </w:p>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About XTX501 and the Phase 1/2 Clinical Trial</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 xml:space="preserve">XTX501 is an investigational bispecific PD-1 / masked IL-2 designed to selectively stimulate PD-1 positive, antigen-experienced T cells and enhance their function while overcoming IL-2 receptor-mediated clearance, peripheral activity and tolerability issues associated with non-masked IL-2 agents. Xilio is evaluating the safety and tolerability of XTX501 as a monotherapy in patients with metastatic non-small cell lung cancer (NSCLC) and select advanced solid tumors in the Phase 1 portion of a first-in-human, multi-center, open-label Phase 1/2 clinical trial at multiple sites in the United States. Please refer to NCT07688577 on </w:t>
      </w:r>
      <w:r>
        <w:rPr>
          <w:rFonts w:ascii="Times New Roman" w:hAnsi="Times New Roman"/>
          <w:sz w:val="22"/>
        </w:rPr>
        <w:t>www.clinicaltrials.gov</w:t>
      </w:r>
      <w:r>
        <w:rPr>
          <w:rFonts w:ascii="Times New Roman" w:hAnsi="Times New Roman"/>
          <w:color w:val="000000"/>
          <w:sz w:val="20"/>
        </w:rPr>
        <w:t xml:space="preserve"> </w:t>
      </w:r>
      <w:r>
        <w:rPr>
          <w:rFonts w:ascii="Times New Roman" w:hAnsi="Times New Roman"/>
          <w:color w:val="000000"/>
          <w:sz w:val="22"/>
        </w:rPr>
        <w:t>for additional details.</w:t>
      </w:r>
    </w:p>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About Xilio Therapeutics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 xml:space="preserve">Xilio Therapeutics is a clinical-stage biotechnology company discovering and developing masked immuno-oncology (I-O) therapies with the goal of significantly improving outcomes for people living with cancer without the systemic side effects of current I-O treatments. Leveraging our clinically-validated masking technology and capabilities, Xilio is developing I-O therapies designed to selectively activate within the tumor microenvironment to achieve durable efficacy without the severe side effects associated with systemically active I-O agents. Learn more by visiting </w:t>
      </w:r>
      <w:r>
        <w:rPr>
          <w:rFonts w:ascii="Times New Roman" w:hAnsi="Times New Roman"/>
          <w:sz w:val="22"/>
        </w:rPr>
        <w:t>www.xiliotx.com</w:t>
      </w:r>
      <w:r>
        <w:rPr>
          <w:rFonts w:ascii="Times New Roman" w:hAnsi="Times New Roman"/>
          <w:color w:val="000000"/>
          <w:sz w:val="20"/>
        </w:rPr>
        <w:t xml:space="preserve"> </w:t>
      </w:r>
      <w:r>
        <w:rPr>
          <w:rFonts w:ascii="Times New Roman" w:hAnsi="Times New Roman"/>
          <w:color w:val="000000"/>
          <w:sz w:val="22"/>
        </w:rPr>
        <w:t>and follow us on LinkedIn (</w:t>
      </w:r>
      <w:r>
        <w:rPr>
          <w:rFonts w:ascii="Times New Roman" w:hAnsi="Times New Roman"/>
          <w:sz w:val="22"/>
        </w:rPr>
        <w:t>Xilio Therapeutics, Inc.</w:t>
      </w:r>
      <w:r>
        <w:rPr>
          <w:rFonts w:ascii="Times New Roman" w:hAnsi="Times New Roman"/>
          <w:color w:val="000000"/>
          <w:sz w:val="22"/>
        </w:rPr>
        <w:t>).</w:t>
      </w:r>
    </w:p>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Cautionary Note Regarding Forward-Looking Statements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This press release contains forward-looking statements within the meaning of the Private Securities Litigation Reform Act of 1995, as amended, including, without limitation, statements regarding plans, expectations, development timelines and anticipated milestones for Xilio’s programs; the timing of clinical development, data releases, regulatory submissions, delivery of option data packages or other program updates; the promise or potential success of Xilio’s programs, including the best-in-class potential of XTX501 and the potential for XTX501 to be a foundational backbone therapy for solid tumors and the first-in-class potential of Xilio’s masked TCE programs targeting CLDN18.2 and PSMA+STEAP1; the timing and receipt of future contingent payments under Xilio’s collaboration and license agreements with AbbVie and Gilead; the potential receipt of up to $36.2 million in additional gross proceeds in the second half of 2026 if all of the Series C warrants are exercised at their current exercise price; the sufficiency of, and the period in which Xilio expects to have, cash to fund its operations and capital expenditure requirements; and Xilio’s strategy, goals and anticipated financial performance (including anticipated cash runway), milestones, business plans and focus. The words “aim,” “may,” “will,” “could,” “would,” “should,” “expect,” “plan,” “anticipate,” “intend,” “believe,” “estimate,” “predict,” “project,” “potential,” “continue,” “seek,” “target” and similar expressions are intended to identify forward-looking statements, although not all forward-looking statements contain these identifying words. Any forward-looking statements in this press release are based on management’s current expectations and beliefs and are subject to a number of important risks, uncertainties and other factors that may cause actual events or results to differ materially from those expressed or implied by any forward-looking statements contained in this press release, including, without limitation, risks related to general market conditions and geopolitical uncertainties; risks and uncertainties related to ongoing and planned research and development activities, including initiating, conducting or completing preclinical studies and clinical trials and the timing and results of such preclinical studies or clinical trials; the delay of any current or planned preclinical studies or clinical trials or the</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Times New Roman" w:hAnsi="Times New Roman"/>
          <w:color w:val="000000"/>
          <w:sz w:val="22"/>
        </w:rPr>
      </w:pPr>
      <w:r>
        <w:rPr>
          <w:rFonts w:ascii="Times New Roman" w:hAnsi="Times New Roman"/>
          <w:color w:val="000000"/>
          <w:sz w:val="22"/>
        </w:rPr>
        <w:t>development of Xilio’s current or future product candidates; Xilio’s ability to obtain and maintain sufficient preclinical and clinical supply of current or future product candidates; initial, preliminary, interim or retrospective preclinical or clinical data or results may not be replicated in or predictive of future preclinical or clinical data or results; Xilio’s ability to successfully demonstrate the safety and efficacy of its product candidates and gain approval of its product candidates on a timely basis, if at all; results from preclinical studies or clinical trials for Xilio’s product candidates may not support further development of such product candidates; actions of regulatory agencies may affect the initiation, timing and progress of current or future clinical trials; Xilio’s ability to obtain, maintain and enforce patent and other intellectual property protection for current or future product candidates; Xilio’s need to obtain additional cash resources to advance its pipeline of masked I-O molecules; the impact of international trade policies on Xilio’s business, including U.S. and China trade policies; and Xilio’s ability to maintain its collaboration and license agreements with AbbVie and Gilead. These and other risks and uncertainties are described in greater detail in the sections entitled “Risk Factor Summary” and “Risk Factors” in Xilio’s filings with the U.S. Securities and Exchange Commission (SEC), including Xilio’s most recent Quarterly Report on Form 10-Q and any other filings that Xilio has made or may make with the SEC in the future. Any forward-looking statements contained in this press release represent Xilio’s views only as of the date hereof and should not be relied upon as representing its views as of any subsequent date. Except as required by law, Xilio explicitly disclaims any obligation to update any forward-looking statements.</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This press release contains hyperlinks to information that is not deemed to be incorporated by reference in this press release.</w:t>
      </w:r>
    </w:p>
    <w:p>
      <w:pPr>
        <w:pStyle w:val="TextBody"/>
        <w:bidi w:val="0"/>
        <w:jc w:val="both"/>
        <w:rPr/>
      </w:pPr>
      <w:r>
        <w:rPr/>
        <w:t> </w:t>
      </w:r>
    </w:p>
    <w:p>
      <w:pPr>
        <w:pStyle w:val="TextBody"/>
        <w:bidi w:val="0"/>
        <w:jc w:val="left"/>
        <w:rPr>
          <w:rFonts w:ascii="Times New Roman" w:hAnsi="Times New Roman"/>
          <w:sz w:val="20"/>
        </w:rPr>
      </w:pPr>
      <w:r>
        <w:rPr>
          <w:rFonts w:ascii="Times New Roman" w:hAnsi="Times New Roman"/>
          <w:b/>
          <w:color w:val="000000"/>
          <w:sz w:val="22"/>
        </w:rPr>
        <w:t xml:space="preserve">Investor Contact  </w:t>
      </w:r>
      <w:r>
        <w:rPr>
          <w:rFonts w:ascii="Times New Roman" w:hAnsi="Times New Roman"/>
          <w:color w:val="000000"/>
          <w:sz w:val="22"/>
        </w:rPr>
        <w:br/>
        <w:t>Alex Lobo, Precision AQ</w:t>
        <w:br/>
      </w:r>
      <w:r>
        <w:rPr>
          <w:rFonts w:ascii="Times New Roman" w:hAnsi="Times New Roman"/>
          <w:sz w:val="22"/>
        </w:rPr>
        <w:t>alex.lobo@precisionaq.com</w:t>
      </w:r>
      <w:r>
        <w:rPr>
          <w:rFonts w:ascii="Times New Roman" w:hAnsi="Times New Roman"/>
          <w:color w:val="000000"/>
          <w:sz w:val="20"/>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2"/>
        </w:rPr>
        <w:t xml:space="preserve">Media Contact  </w:t>
      </w:r>
      <w:r>
        <w:rPr>
          <w:rFonts w:ascii="Times New Roman" w:hAnsi="Times New Roman"/>
          <w:color w:val="000000"/>
          <w:sz w:val="22"/>
        </w:rPr>
        <w:br/>
        <w:t>Josie Butler, 1AB</w:t>
        <w:br/>
      </w:r>
      <w:r>
        <w:rPr>
          <w:rFonts w:ascii="Times New Roman" w:hAnsi="Times New Roman"/>
          <w:sz w:val="22"/>
        </w:rPr>
        <w:t>josie@1abmedia.com</w:t>
      </w:r>
      <w:r>
        <w:rPr>
          <w:rFonts w:ascii="Times New Roman" w:hAnsi="Times New Roman"/>
          <w:color w:val="000000"/>
          <w:sz w:val="20"/>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XILIO THERAPEUTICS, INC.</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6552" w:type="dxa"/>
        <w:jc w:val="left"/>
        <w:tblInd w:w="0" w:type="dxa"/>
        <w:tblLayout w:type="fixed"/>
        <w:tblCellMar>
          <w:top w:w="28" w:type="dxa"/>
          <w:left w:w="28" w:type="dxa"/>
          <w:bottom w:w="28" w:type="dxa"/>
          <w:right w:w="28" w:type="dxa"/>
        </w:tblCellMar>
      </w:tblPr>
      <w:tblGrid>
        <w:gridCol w:w="3796"/>
        <w:gridCol w:w="146"/>
        <w:gridCol w:w="211"/>
        <w:gridCol w:w="781"/>
        <w:gridCol w:w="146"/>
        <w:gridCol w:w="211"/>
        <w:gridCol w:w="1261"/>
      </w:tblGrid>
      <w:tr>
        <w:trPr/>
        <w:tc>
          <w:tcPr>
            <w:tcW w:w="3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3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June 30,</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72" w:type="dxa"/>
            <w:gridSpan w:val="2"/>
            <w:tcBorders/>
            <w:tcMar>
              <w:top w:w="0" w:type="dxa"/>
              <w:left w:w="0" w:type="dxa"/>
              <w:bottom w:w="0" w:type="dxa"/>
              <w:right w:w="0" w:type="dxa"/>
            </w:tcMar>
            <w:vAlign w:val="center"/>
          </w:tcPr>
          <w:p>
            <w:pPr>
              <w:pStyle w:val="TableContents"/>
              <w:bidi w:val="0"/>
              <w:jc w:val="center"/>
              <w:rPr>
                <w:rFonts w:ascii="Times New Roman" w:hAnsi="Times New Roman"/>
                <w:sz w:val="16"/>
              </w:rPr>
            </w:pPr>
            <w:r>
              <w:rPr>
                <w:rFonts w:ascii="Times New Roman" w:hAnsi="Times New Roman"/>
                <w:b/>
                <w:color w:val="000000"/>
                <w:sz w:val="16"/>
              </w:rPr>
              <w:t>December 31,</w:t>
            </w:r>
            <w:r>
              <w:rPr>
                <w:rFonts w:ascii="Times New Roman" w:hAnsi="Times New Roman"/>
                <w:color w:val="000000"/>
                <w:sz w:val="16"/>
              </w:rPr>
              <w:t xml:space="preserve">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r>
      <w:tr>
        <w:trPr/>
        <w:tc>
          <w:tcPr>
            <w:tcW w:w="37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pPr>
            <w:r>
              <w:rPr/>
              <w:t> </w:t>
            </w:r>
          </w:p>
        </w:tc>
        <w:tc>
          <w:tcPr>
            <w:tcW w:w="781" w:type="dxa"/>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pPr>
            <w:r>
              <w:rPr/>
              <w:t> </w:t>
            </w:r>
          </w:p>
        </w:tc>
        <w:tc>
          <w:tcPr>
            <w:tcW w:w="1261" w:type="dxa"/>
            <w:tcBorders>
              <w:top w:val="single" w:sz="4" w:space="0" w:color="000000"/>
            </w:tcBorders>
            <w:shd w:fill="CCEEFF" w:val="clear"/>
            <w:tcMar>
              <w:left w:w="0" w:type="dxa"/>
              <w:bottom w:w="0" w:type="dxa"/>
              <w:right w:w="0" w:type="dxa"/>
            </w:tcMar>
            <w:vAlign w:val="center"/>
          </w:tcPr>
          <w:p>
            <w:pPr>
              <w:pStyle w:val="TableContents"/>
              <w:bidi w:val="0"/>
              <w:spacing w:before="0" w:after="283"/>
              <w:ind w:left="0" w:right="0" w:firstLine="180"/>
              <w:jc w:val="left"/>
              <w:rPr/>
            </w:pPr>
            <w:r>
              <w:rPr/>
              <w:t> </w:t>
            </w:r>
          </w:p>
        </w:tc>
      </w:tr>
      <w:tr>
        <w:trPr/>
        <w:tc>
          <w:tcPr>
            <w:tcW w:w="3796" w:type="dxa"/>
            <w:tcBorders/>
            <w:tcMar>
              <w:top w:w="0" w:type="dxa"/>
              <w:left w:w="0" w:type="dxa"/>
              <w:bottom w:w="0" w:type="dxa"/>
              <w:right w:w="0" w:type="dxa"/>
            </w:tcMar>
            <w:vAlign w:val="center"/>
          </w:tcPr>
          <w:p>
            <w:pPr>
              <w:pStyle w:val="TableContents"/>
              <w:bidi w:val="0"/>
              <w:spacing w:before="0" w:after="283"/>
              <w:ind w:left="0" w:right="0" w:firstLine="18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136,040</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261" w:type="dxa"/>
            <w:tcBorders/>
            <w:tcMar>
              <w:top w:w="0" w:type="dxa"/>
              <w:left w:w="0" w:type="dxa"/>
              <w:bottom w:w="0" w:type="dxa"/>
              <w:right w:w="0" w:type="dxa"/>
            </w:tcMar>
            <w:vAlign w:val="center"/>
          </w:tcPr>
          <w:p>
            <w:pPr>
              <w:pStyle w:val="TableContents"/>
              <w:bidi w:val="0"/>
              <w:spacing w:before="0" w:after="283"/>
              <w:ind w:left="0" w:right="0" w:firstLine="180"/>
              <w:jc w:val="right"/>
              <w:rPr>
                <w:rFonts w:ascii="Times New Roman" w:hAnsi="Times New Roman"/>
                <w:color w:val="000000"/>
                <w:sz w:val="20"/>
              </w:rPr>
            </w:pPr>
            <w:r>
              <w:rPr>
                <w:rFonts w:ascii="Times New Roman" w:hAnsi="Times New Roman"/>
                <w:color w:val="000000"/>
                <w:sz w:val="20"/>
              </w:rPr>
              <w:t>137,531</w:t>
            </w:r>
          </w:p>
        </w:tc>
      </w:tr>
      <w:tr>
        <w:trPr/>
        <w:tc>
          <w:tcPr>
            <w:tcW w:w="3796"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18,214</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c>
          <w:tcPr>
            <w:tcW w:w="1261" w:type="dxa"/>
            <w:tcBorders>
              <w:bottom w:val="single" w:sz="4" w:space="0" w:color="000000"/>
            </w:tcBorders>
            <w:shd w:fill="CCEEFF" w:val="clear"/>
            <w:tcMar>
              <w:top w:w="0" w:type="dxa"/>
              <w:left w:w="0" w:type="dxa"/>
              <w:right w:w="0" w:type="dxa"/>
            </w:tcMar>
            <w:vAlign w:val="center"/>
          </w:tcPr>
          <w:p>
            <w:pPr>
              <w:pStyle w:val="TableContents"/>
              <w:bidi w:val="0"/>
              <w:spacing w:before="0" w:after="283"/>
              <w:ind w:left="0" w:right="0" w:firstLine="360"/>
              <w:jc w:val="right"/>
              <w:rPr>
                <w:rFonts w:ascii="Times New Roman" w:hAnsi="Times New Roman"/>
                <w:color w:val="000000"/>
                <w:sz w:val="20"/>
              </w:rPr>
            </w:pPr>
            <w:r>
              <w:rPr>
                <w:rFonts w:ascii="Times New Roman" w:hAnsi="Times New Roman"/>
                <w:color w:val="000000"/>
                <w:sz w:val="20"/>
              </w:rPr>
              <w:t>17,154</w:t>
            </w:r>
          </w:p>
        </w:tc>
      </w:tr>
      <w:tr>
        <w:trPr/>
        <w:tc>
          <w:tcPr>
            <w:tcW w:w="3796" w:type="dxa"/>
            <w:tcBorders/>
            <w:tcMar>
              <w:top w:w="0" w:type="dxa"/>
              <w:left w:w="0" w:type="dxa"/>
              <w:bottom w:w="0" w:type="dxa"/>
              <w:right w:w="0" w:type="dxa"/>
            </w:tcMar>
            <w:vAlign w:val="center"/>
          </w:tcPr>
          <w:p>
            <w:pPr>
              <w:pStyle w:val="TableContents"/>
              <w:bidi w:val="0"/>
              <w:spacing w:before="0" w:after="283"/>
              <w:ind w:left="0" w:right="0" w:firstLine="360"/>
              <w:jc w:val="left"/>
              <w:rPr>
                <w:rFonts w:ascii="Times New Roman" w:hAnsi="Times New Roman"/>
                <w:color w:val="000000"/>
                <w:sz w:val="20"/>
              </w:rPr>
            </w:pPr>
            <w:r>
              <w:rPr>
                <w:rFonts w:ascii="Times New Roman" w:hAnsi="Times New Roman"/>
                <w:color w:val="000000"/>
                <w:sz w:val="20"/>
              </w:rPr>
              <w:t>Total assets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154,254</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261" w:type="dxa"/>
            <w:tcBorders>
              <w:bottom w:val="double" w:sz="4" w:space="0" w:color="000000"/>
            </w:tcBorders>
            <w:tcMar>
              <w:top w:w="0" w:type="dxa"/>
              <w:left w:w="0" w:type="dxa"/>
              <w:right w:w="0" w:type="dxa"/>
            </w:tcMar>
            <w:vAlign w:val="center"/>
          </w:tcPr>
          <w:p>
            <w:pPr>
              <w:pStyle w:val="TableContents"/>
              <w:bidi w:val="0"/>
              <w:spacing w:before="0" w:after="283"/>
              <w:ind w:left="0" w:right="0" w:firstLine="144"/>
              <w:jc w:val="right"/>
              <w:rPr>
                <w:rFonts w:ascii="Times New Roman" w:hAnsi="Times New Roman"/>
                <w:color w:val="000000"/>
                <w:sz w:val="20"/>
              </w:rPr>
            </w:pPr>
            <w:r>
              <w:rPr>
                <w:rFonts w:ascii="Times New Roman" w:hAnsi="Times New Roman"/>
                <w:color w:val="000000"/>
                <w:sz w:val="20"/>
              </w:rPr>
              <w:t>154,685</w:t>
            </w:r>
          </w:p>
        </w:tc>
      </w:tr>
      <w:tr>
        <w:trPr/>
        <w:tc>
          <w:tcPr>
            <w:tcW w:w="3796" w:type="dxa"/>
            <w:tcBorders/>
            <w:shd w:fill="CCEEFF" w:val="clear"/>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right"/>
              <w:rPr/>
            </w:pPr>
            <w:r>
              <w:rPr/>
              <w:t> </w:t>
            </w:r>
          </w:p>
        </w:tc>
      </w:tr>
      <w:tr>
        <w:trPr/>
        <w:tc>
          <w:tcPr>
            <w:tcW w:w="3796" w:type="dxa"/>
            <w:tcBorders/>
            <w:tcMar>
              <w:top w:w="0" w:type="dxa"/>
              <w:left w:w="0" w:type="dxa"/>
              <w:bottom w:w="0" w:type="dxa"/>
              <w:right w:w="0" w:type="dxa"/>
            </w:tcMar>
            <w:vAlign w:val="center"/>
          </w:tcPr>
          <w:p>
            <w:pPr>
              <w:pStyle w:val="TableContents"/>
              <w:bidi w:val="0"/>
              <w:spacing w:before="0" w:after="283"/>
              <w:ind w:left="0" w:right="0" w:firstLine="180"/>
              <w:jc w:val="left"/>
              <w:rPr>
                <w:rFonts w:ascii="Times New Roman" w:hAnsi="Times New Roman"/>
                <w:color w:val="000000"/>
                <w:sz w:val="20"/>
              </w:rPr>
            </w:pPr>
            <w:r>
              <w:rPr>
                <w:rFonts w:ascii="Times New Roman" w:hAnsi="Times New Roman"/>
                <w:color w:val="000000"/>
                <w:sz w:val="20"/>
              </w:rPr>
              <w:t>Liabilities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tcMar>
              <w:top w:w="0" w:type="dxa"/>
              <w:left w:w="0" w:type="dxa"/>
              <w:bottom w:w="0" w:type="dxa"/>
              <w:right w:w="0" w:type="dxa"/>
            </w:tcMar>
            <w:vAlign w:val="center"/>
          </w:tcPr>
          <w:p>
            <w:pPr>
              <w:pStyle w:val="TableContents"/>
              <w:bidi w:val="0"/>
              <w:spacing w:before="0" w:after="283"/>
              <w:ind w:left="0" w:right="0" w:firstLine="360"/>
              <w:jc w:val="right"/>
              <w:rPr/>
            </w:pPr>
            <w:r>
              <w:rPr/>
              <w:t> </w:t>
            </w:r>
          </w:p>
        </w:tc>
      </w:tr>
      <w:tr>
        <w:trPr/>
        <w:tc>
          <w:tcPr>
            <w:tcW w:w="3796"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35,318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261"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right"/>
              <w:rPr>
                <w:rFonts w:ascii="Times New Roman" w:hAnsi="Times New Roman"/>
                <w:color w:val="000000"/>
                <w:sz w:val="20"/>
              </w:rPr>
            </w:pPr>
            <w:r>
              <w:rPr>
                <w:rFonts w:ascii="Times New Roman" w:hAnsi="Times New Roman"/>
                <w:color w:val="000000"/>
                <w:sz w:val="20"/>
              </w:rPr>
              <w:t>60,658</w:t>
            </w:r>
          </w:p>
        </w:tc>
      </w:tr>
      <w:tr>
        <w:trPr/>
        <w:tc>
          <w:tcPr>
            <w:tcW w:w="3796" w:type="dxa"/>
            <w:tcBorders/>
            <w:tcMar>
              <w:top w:w="0" w:type="dxa"/>
              <w:left w:w="0" w:type="dxa"/>
              <w:bottom w:w="0" w:type="dxa"/>
              <w:right w:w="0" w:type="dxa"/>
            </w:tcMar>
            <w:vAlign w:val="center"/>
          </w:tcPr>
          <w:p>
            <w:pPr>
              <w:pStyle w:val="TableContents"/>
              <w:bidi w:val="0"/>
              <w:spacing w:before="0" w:after="283"/>
              <w:ind w:left="0" w:right="0" w:firstLine="360"/>
              <w:jc w:val="left"/>
              <w:rPr>
                <w:rFonts w:ascii="Times New Roman" w:hAnsi="Times New Roman"/>
                <w:color w:val="000000"/>
                <w:sz w:val="20"/>
              </w:rPr>
            </w:pPr>
            <w:r>
              <w:rPr>
                <w:rFonts w:ascii="Times New Roman" w:hAnsi="Times New Roman"/>
                <w:color w:val="000000"/>
                <w:sz w:val="20"/>
              </w:rPr>
              <w:t>Common stock warrant liabilities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30,200</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tcMar>
              <w:top w:w="0" w:type="dxa"/>
              <w:left w:w="0" w:type="dxa"/>
              <w:bottom w:w="0" w:type="dxa"/>
              <w:right w:w="0" w:type="dxa"/>
            </w:tcMar>
            <w:vAlign w:val="center"/>
          </w:tcPr>
          <w:p>
            <w:pPr>
              <w:pStyle w:val="TableContents"/>
              <w:bidi w:val="0"/>
              <w:spacing w:before="0" w:after="283"/>
              <w:ind w:left="0" w:right="0" w:firstLine="360"/>
              <w:jc w:val="right"/>
              <w:rPr>
                <w:rFonts w:ascii="Times New Roman" w:hAnsi="Times New Roman"/>
                <w:color w:val="000000"/>
                <w:sz w:val="20"/>
              </w:rPr>
            </w:pPr>
            <w:r>
              <w:rPr>
                <w:rFonts w:ascii="Times New Roman" w:hAnsi="Times New Roman"/>
                <w:color w:val="000000"/>
                <w:sz w:val="20"/>
              </w:rPr>
              <w:t>29,560</w:t>
            </w:r>
          </w:p>
        </w:tc>
      </w:tr>
      <w:tr>
        <w:trPr/>
        <w:tc>
          <w:tcPr>
            <w:tcW w:w="3796"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rFonts w:ascii="Times New Roman" w:hAnsi="Times New Roman"/>
                <w:color w:val="000000"/>
                <w:sz w:val="20"/>
              </w:rPr>
            </w:pPr>
            <w:r>
              <w:rPr>
                <w:rFonts w:ascii="Times New Roman" w:hAnsi="Times New Roman"/>
                <w:color w:val="000000"/>
                <w:sz w:val="20"/>
              </w:rPr>
              <w:t>Other liabilities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16,472</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c>
          <w:tcPr>
            <w:tcW w:w="1261" w:type="dxa"/>
            <w:tcBorders>
              <w:bottom w:val="single" w:sz="4" w:space="0" w:color="000000"/>
            </w:tcBorders>
            <w:shd w:fill="CCEEFF" w:val="clear"/>
            <w:tcMar>
              <w:top w:w="0" w:type="dxa"/>
              <w:left w:w="0" w:type="dxa"/>
              <w:right w:w="0" w:type="dxa"/>
            </w:tcMar>
            <w:vAlign w:val="center"/>
          </w:tcPr>
          <w:p>
            <w:pPr>
              <w:pStyle w:val="TableContents"/>
              <w:bidi w:val="0"/>
              <w:spacing w:before="0" w:after="283"/>
              <w:ind w:left="0" w:right="0" w:firstLine="540"/>
              <w:jc w:val="right"/>
              <w:rPr>
                <w:rFonts w:ascii="Times New Roman" w:hAnsi="Times New Roman"/>
                <w:color w:val="000000"/>
                <w:sz w:val="20"/>
              </w:rPr>
            </w:pPr>
            <w:r>
              <w:rPr>
                <w:rFonts w:ascii="Times New Roman" w:hAnsi="Times New Roman"/>
                <w:color w:val="000000"/>
                <w:sz w:val="20"/>
              </w:rPr>
              <w:t>29,194</w:t>
            </w:r>
          </w:p>
        </w:tc>
      </w:tr>
      <w:tr>
        <w:trPr/>
        <w:tc>
          <w:tcPr>
            <w:tcW w:w="3796" w:type="dxa"/>
            <w:tcBorders/>
            <w:tcMar>
              <w:top w:w="0" w:type="dxa"/>
              <w:left w:w="0" w:type="dxa"/>
              <w:bottom w:w="0" w:type="dxa"/>
              <w:right w:w="0" w:type="dxa"/>
            </w:tcMar>
            <w:vAlign w:val="center"/>
          </w:tcPr>
          <w:p>
            <w:pPr>
              <w:pStyle w:val="TableContents"/>
              <w:bidi w:val="0"/>
              <w:spacing w:before="0" w:after="283"/>
              <w:ind w:left="0" w:right="0" w:firstLine="540"/>
              <w:jc w:val="left"/>
              <w:rPr>
                <w:rFonts w:ascii="Times New Roman" w:hAnsi="Times New Roman"/>
                <w:color w:val="000000"/>
                <w:sz w:val="20"/>
              </w:rPr>
            </w:pPr>
            <w:r>
              <w:rPr>
                <w:rFonts w:ascii="Times New Roman" w:hAnsi="Times New Roman"/>
                <w:color w:val="000000"/>
                <w:sz w:val="20"/>
              </w:rPr>
              <w:t>Total liabilities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81,990</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261" w:type="dxa"/>
            <w:tcBorders>
              <w:bottom w:val="double" w:sz="4" w:space="0" w:color="000000"/>
            </w:tcBorders>
            <w:tcMar>
              <w:top w:w="0" w:type="dxa"/>
              <w:left w:w="0" w:type="dxa"/>
              <w:right w:w="0" w:type="dxa"/>
            </w:tcMar>
            <w:vAlign w:val="center"/>
          </w:tcPr>
          <w:p>
            <w:pPr>
              <w:pStyle w:val="TableContents"/>
              <w:bidi w:val="0"/>
              <w:spacing w:before="0" w:after="283"/>
              <w:ind w:left="0" w:right="0" w:firstLine="180"/>
              <w:jc w:val="right"/>
              <w:rPr>
                <w:rFonts w:ascii="Times New Roman" w:hAnsi="Times New Roman"/>
                <w:color w:val="000000"/>
                <w:sz w:val="20"/>
              </w:rPr>
            </w:pPr>
            <w:r>
              <w:rPr>
                <w:rFonts w:ascii="Times New Roman" w:hAnsi="Times New Roman"/>
                <w:color w:val="000000"/>
                <w:sz w:val="20"/>
              </w:rPr>
              <w:t>119,412</w:t>
            </w:r>
          </w:p>
        </w:tc>
      </w:tr>
      <w:tr>
        <w:trPr/>
        <w:tc>
          <w:tcPr>
            <w:tcW w:w="3796"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72,264</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c>
          <w:tcPr>
            <w:tcW w:w="1261" w:type="dxa"/>
            <w:tcBorders>
              <w:bottom w:val="single" w:sz="4" w:space="0" w:color="000000"/>
            </w:tcBorders>
            <w:shd w:fill="CCEEFF" w:val="clear"/>
            <w:tcMar>
              <w:top w:w="0" w:type="dxa"/>
              <w:left w:w="0" w:type="dxa"/>
              <w:right w:w="0" w:type="dxa"/>
            </w:tcMar>
            <w:vAlign w:val="center"/>
          </w:tcPr>
          <w:p>
            <w:pPr>
              <w:pStyle w:val="TableContents"/>
              <w:bidi w:val="0"/>
              <w:spacing w:before="0" w:after="283"/>
              <w:ind w:left="0" w:right="0" w:firstLine="360"/>
              <w:jc w:val="right"/>
              <w:rPr>
                <w:rFonts w:ascii="Times New Roman" w:hAnsi="Times New Roman"/>
                <w:color w:val="000000"/>
                <w:sz w:val="20"/>
              </w:rPr>
            </w:pPr>
            <w:r>
              <w:rPr>
                <w:rFonts w:ascii="Times New Roman" w:hAnsi="Times New Roman"/>
                <w:color w:val="000000"/>
                <w:sz w:val="20"/>
              </w:rPr>
              <w:t>35,273</w:t>
            </w:r>
          </w:p>
        </w:tc>
      </w:tr>
      <w:tr>
        <w:trPr/>
        <w:tc>
          <w:tcPr>
            <w:tcW w:w="3796" w:type="dxa"/>
            <w:tcBorders/>
            <w:tcMar>
              <w:top w:w="0" w:type="dxa"/>
              <w:left w:w="0" w:type="dxa"/>
              <w:bottom w:w="0" w:type="dxa"/>
              <w:right w:w="0" w:type="dxa"/>
            </w:tcMar>
            <w:vAlign w:val="center"/>
          </w:tcPr>
          <w:p>
            <w:pPr>
              <w:pStyle w:val="TableContents"/>
              <w:bidi w:val="0"/>
              <w:spacing w:before="0" w:after="283"/>
              <w:ind w:left="0" w:right="0" w:firstLine="360"/>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154,254</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261"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154,685</w:t>
            </w:r>
          </w:p>
        </w:tc>
      </w:tr>
    </w:tbl>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XILIO THERAPEUTICS, INC.</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Operations and Comprehensive Loss</w:t>
      </w:r>
    </w:p>
    <w:p>
      <w:pPr>
        <w:pStyle w:val="TextBody"/>
        <w:bidi w:val="0"/>
        <w:jc w:val="center"/>
        <w:rPr>
          <w:rFonts w:ascii="Times New Roman" w:hAnsi="Times New Roman"/>
          <w:sz w:val="20"/>
        </w:rPr>
      </w:pPr>
      <w:r>
        <w:rPr>
          <w:rFonts w:ascii="Times New Roman" w:hAnsi="Times New Roman"/>
          <w:b/>
          <w:color w:val="000000"/>
          <w:sz w:val="20"/>
        </w:rPr>
        <w:t xml:space="preserve">(In thousands, except share and per share data) </w:t>
      </w:r>
      <w:r>
        <w:rPr>
          <w:rFonts w:ascii="Times New Roman" w:hAnsi="Times New Roman"/>
          <w:b/>
          <w:color w:val="000000"/>
          <w:sz w:val="13"/>
        </w:rPr>
        <w:t>(1)</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798"/>
        <w:gridCol w:w="146"/>
        <w:gridCol w:w="211"/>
        <w:gridCol w:w="1036"/>
        <w:gridCol w:w="146"/>
        <w:gridCol w:w="211"/>
        <w:gridCol w:w="931"/>
        <w:gridCol w:w="146"/>
        <w:gridCol w:w="211"/>
        <w:gridCol w:w="1036"/>
        <w:gridCol w:w="146"/>
        <w:gridCol w:w="211"/>
        <w:gridCol w:w="976"/>
      </w:tblGrid>
      <w:tr>
        <w:trPr/>
        <w:tc>
          <w:tcPr>
            <w:tcW w:w="47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4798" w:type="dxa"/>
            <w:tcBorders/>
            <w:tcMar>
              <w:top w:w="0" w:type="dxa"/>
              <w:left w:w="0" w:type="dxa"/>
              <w:bottom w:w="0" w:type="dxa"/>
              <w:right w:w="0" w:type="dxa"/>
            </w:tcMar>
            <w:vAlign w:val="center"/>
          </w:tcPr>
          <w:p>
            <w:pPr>
              <w:pStyle w:val="TableContents"/>
              <w:bidi w:val="0"/>
              <w:spacing w:before="0" w:after="1"/>
              <w:jc w:val="left"/>
              <w:rPr/>
            </w:pPr>
            <w:r>
              <w:rPr/>
              <w:t> </w:t>
            </w:r>
          </w:p>
        </w:tc>
        <w:tc>
          <w:tcPr>
            <w:tcW w:w="146" w:type="dxa"/>
            <w:tcBorders/>
            <w:tcMar>
              <w:top w:w="0" w:type="dxa"/>
              <w:left w:w="0" w:type="dxa"/>
              <w:bottom w:w="0" w:type="dxa"/>
              <w:right w:w="0" w:type="dxa"/>
            </w:tcMar>
            <w:vAlign w:val="center"/>
          </w:tcPr>
          <w:p>
            <w:pPr>
              <w:pStyle w:val="TableContents"/>
              <w:bidi w:val="0"/>
              <w:spacing w:before="0" w:after="1"/>
              <w:jc w:val="center"/>
              <w:rPr/>
            </w:pPr>
            <w:r>
              <w:rPr/>
              <w:t> </w:t>
            </w:r>
          </w:p>
        </w:tc>
        <w:tc>
          <w:tcPr>
            <w:tcW w:w="2535" w:type="dxa"/>
            <w:gridSpan w:val="5"/>
            <w:tcBorders>
              <w:bottom w:val="single" w:sz="4" w:space="0" w:color="000000"/>
            </w:tcBorders>
            <w:tcMar>
              <w:top w:w="0" w:type="dxa"/>
              <w:left w:w="0" w:type="dxa"/>
              <w:right w:w="0" w:type="dxa"/>
            </w:tcMar>
            <w:vAlign w:val="center"/>
          </w:tcPr>
          <w:p>
            <w:pPr>
              <w:pStyle w:val="TableContents"/>
              <w:bidi w:val="0"/>
              <w:spacing w:before="0" w:after="1"/>
              <w:jc w:val="center"/>
              <w:rPr>
                <w:rFonts w:ascii="Times New Roman" w:hAnsi="Times New Roman"/>
                <w:sz w:val="16"/>
              </w:rPr>
            </w:pPr>
            <w:r>
              <w:rPr>
                <w:rFonts w:ascii="Times New Roman" w:hAnsi="Times New Roman"/>
                <w:b/>
                <w:color w:val="000000"/>
                <w:sz w:val="16"/>
              </w:rPr>
              <w:t>Three Months Ended</w:t>
            </w:r>
            <w:r>
              <w:rPr>
                <w:rFonts w:ascii="Times New Roman" w:hAnsi="Times New Roman"/>
                <w:color w:val="000000"/>
                <w:sz w:val="16"/>
              </w:rPr>
              <w:t xml:space="preserve"> </w:t>
            </w:r>
          </w:p>
          <w:p>
            <w:pPr>
              <w:pStyle w:val="TableContents"/>
              <w:bidi w:val="0"/>
              <w:spacing w:before="0" w:after="1"/>
              <w:jc w:val="center"/>
              <w:rPr>
                <w:rFonts w:ascii="Times New Roman" w:hAnsi="Times New Roman"/>
                <w:sz w:val="16"/>
              </w:rPr>
            </w:pPr>
            <w:r>
              <w:rPr>
                <w:rFonts w:ascii="Times New Roman" w:hAnsi="Times New Roman"/>
                <w:b/>
                <w:color w:val="000000"/>
                <w:sz w:val="16"/>
              </w:rPr>
              <w:t>June 30,</w:t>
            </w:r>
            <w:r>
              <w:rPr>
                <w:rFonts w:ascii="Times New Roman" w:hAnsi="Times New Roman"/>
                <w:color w:val="000000"/>
                <w:sz w:val="16"/>
              </w:rPr>
              <w:t xml:space="preserve"> </w:t>
            </w:r>
          </w:p>
        </w:tc>
        <w:tc>
          <w:tcPr>
            <w:tcW w:w="146" w:type="dxa"/>
            <w:tcBorders>
              <w:bottom w:val="single" w:sz="4" w:space="0" w:color="000000"/>
            </w:tcBorders>
            <w:tcMar>
              <w:top w:w="0" w:type="dxa"/>
              <w:left w:w="0" w:type="dxa"/>
              <w:right w:w="0" w:type="dxa"/>
            </w:tcMar>
            <w:vAlign w:val="center"/>
          </w:tcPr>
          <w:p>
            <w:pPr>
              <w:pStyle w:val="TableContents"/>
              <w:bidi w:val="0"/>
              <w:spacing w:before="0" w:after="1"/>
              <w:jc w:val="center"/>
              <w:rPr/>
            </w:pPr>
            <w:r>
              <w:rPr/>
              <w:t> </w:t>
            </w:r>
          </w:p>
        </w:tc>
        <w:tc>
          <w:tcPr>
            <w:tcW w:w="2580" w:type="dxa"/>
            <w:gridSpan w:val="5"/>
            <w:tcBorders>
              <w:bottom w:val="single" w:sz="4" w:space="0" w:color="000000"/>
            </w:tcBorders>
            <w:tcMar>
              <w:top w:w="0" w:type="dxa"/>
              <w:left w:w="0" w:type="dxa"/>
              <w:right w:w="0" w:type="dxa"/>
            </w:tcMar>
            <w:vAlign w:val="center"/>
          </w:tcPr>
          <w:p>
            <w:pPr>
              <w:pStyle w:val="TableContents"/>
              <w:bidi w:val="0"/>
              <w:spacing w:before="0" w:after="1"/>
              <w:jc w:val="center"/>
              <w:rPr>
                <w:rFonts w:ascii="Times New Roman" w:hAnsi="Times New Roman"/>
                <w:sz w:val="16"/>
              </w:rPr>
            </w:pPr>
            <w:r>
              <w:rPr>
                <w:rFonts w:ascii="Times New Roman" w:hAnsi="Times New Roman"/>
                <w:b/>
                <w:color w:val="000000"/>
                <w:sz w:val="16"/>
              </w:rPr>
              <w:t>Six Months Ended</w:t>
            </w:r>
            <w:r>
              <w:rPr>
                <w:rFonts w:ascii="Times New Roman" w:hAnsi="Times New Roman"/>
                <w:color w:val="000000"/>
                <w:sz w:val="16"/>
              </w:rPr>
              <w:t xml:space="preserve"> </w:t>
            </w:r>
          </w:p>
          <w:p>
            <w:pPr>
              <w:pStyle w:val="TableContents"/>
              <w:bidi w:val="0"/>
              <w:spacing w:before="0" w:after="1"/>
              <w:jc w:val="center"/>
              <w:rPr>
                <w:rFonts w:ascii="Times New Roman" w:hAnsi="Times New Roman"/>
                <w:sz w:val="16"/>
              </w:rPr>
            </w:pPr>
            <w:r>
              <w:rPr>
                <w:rFonts w:ascii="Times New Roman" w:hAnsi="Times New Roman"/>
                <w:b/>
                <w:color w:val="000000"/>
                <w:sz w:val="16"/>
              </w:rPr>
              <w:t>June 30,</w:t>
            </w:r>
            <w:r>
              <w:rPr>
                <w:rFonts w:ascii="Times New Roman" w:hAnsi="Times New Roman"/>
                <w:color w:val="000000"/>
                <w:sz w:val="16"/>
              </w:rPr>
              <w:t xml:space="preserve"> </w:t>
            </w:r>
          </w:p>
        </w:tc>
      </w:tr>
      <w:tr>
        <w:trPr/>
        <w:tc>
          <w:tcPr>
            <w:tcW w:w="4798" w:type="dxa"/>
            <w:tcBorders/>
            <w:tcMar>
              <w:top w:w="0" w:type="dxa"/>
              <w:left w:w="0" w:type="dxa"/>
              <w:bottom w:w="0" w:type="dxa"/>
              <w:right w:w="0" w:type="dxa"/>
            </w:tcMar>
            <w:vAlign w:val="center"/>
          </w:tcPr>
          <w:p>
            <w:pPr>
              <w:pStyle w:val="TableContents"/>
              <w:bidi w:val="0"/>
              <w:spacing w:before="0" w:after="1"/>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bottom w:val="single" w:sz="4" w:space="0" w:color="000000"/>
            </w:tcBorders>
            <w:tcMar>
              <w:top w:w="0" w:type="dxa"/>
              <w:left w:w="0" w:type="dxa"/>
              <w:right w:w="0" w:type="dxa"/>
            </w:tcMar>
            <w:vAlign w:val="center"/>
          </w:tcPr>
          <w:p>
            <w:pPr>
              <w:pStyle w:val="TableContents"/>
              <w:bidi w:val="0"/>
              <w:spacing w:before="0" w:after="1"/>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1"/>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bottom w:val="single" w:sz="4" w:space="0" w:color="000000"/>
            </w:tcBorders>
            <w:tcMar>
              <w:top w:w="0" w:type="dxa"/>
              <w:left w:w="0" w:type="dxa"/>
              <w:right w:w="0" w:type="dxa"/>
            </w:tcMar>
            <w:vAlign w:val="center"/>
          </w:tcPr>
          <w:p>
            <w:pPr>
              <w:pStyle w:val="TableContents"/>
              <w:bidi w:val="0"/>
              <w:spacing w:before="0" w:after="1"/>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bottom w:val="single" w:sz="4" w:space="0" w:color="000000"/>
            </w:tcBorders>
            <w:tcMar>
              <w:top w:w="0" w:type="dxa"/>
              <w:left w:w="0" w:type="dxa"/>
              <w:right w:w="0" w:type="dxa"/>
            </w:tcMar>
            <w:vAlign w:val="center"/>
          </w:tcPr>
          <w:p>
            <w:pPr>
              <w:pStyle w:val="TableContents"/>
              <w:bidi w:val="0"/>
              <w:spacing w:before="0" w:after="1"/>
              <w:jc w:val="center"/>
              <w:rPr>
                <w:rFonts w:ascii="Times New Roman" w:hAnsi="Times New Roman"/>
                <w:b/>
                <w:color w:val="000000"/>
                <w:sz w:val="16"/>
              </w:rPr>
            </w:pPr>
            <w:r>
              <w:rPr>
                <w:rFonts w:ascii="Times New Roman" w:hAnsi="Times New Roman"/>
                <w:b/>
                <w:color w:val="000000"/>
                <w:sz w:val="16"/>
              </w:rPr>
              <w:t>2025</w:t>
            </w:r>
          </w:p>
        </w:tc>
      </w:tr>
      <w:tr>
        <w:trPr/>
        <w:tc>
          <w:tcPr>
            <w:tcW w:w="4798" w:type="dxa"/>
            <w:tcBorders/>
            <w:shd w:fill="CCEEFF" w:val="clear"/>
            <w:tcMar>
              <w:top w:w="0" w:type="dxa"/>
              <w:left w:w="0" w:type="dxa"/>
              <w:bottom w:w="0" w:type="dxa"/>
              <w:right w:w="0" w:type="dxa"/>
            </w:tcMar>
            <w:vAlign w:val="center"/>
          </w:tcPr>
          <w:p>
            <w:pPr>
              <w:pStyle w:val="TableContents"/>
              <w:bidi w:val="0"/>
              <w:spacing w:before="0" w:after="1"/>
              <w:jc w:val="left"/>
              <w:rPr>
                <w:rFonts w:ascii="Times New Roman" w:hAnsi="Times New Roman"/>
                <w:color w:val="000000"/>
                <w:sz w:val="20"/>
              </w:rPr>
            </w:pPr>
            <w:r>
              <w:rPr>
                <w:rFonts w:ascii="Times New Roman" w:hAnsi="Times New Roman"/>
                <w:color w:val="000000"/>
                <w:sz w:val="20"/>
              </w:rPr>
              <w:t>Collaboration and license revenue</w:t>
            </w:r>
          </w:p>
        </w:tc>
        <w:tc>
          <w:tcPr>
            <w:tcW w:w="146" w:type="dxa"/>
            <w:tcBorders/>
            <w:shd w:fill="CCEEFF" w:val="clear"/>
            <w:tcMar>
              <w:top w:w="0" w:type="dxa"/>
              <w:left w:w="0" w:type="dxa"/>
              <w:bottom w:w="0" w:type="dxa"/>
              <w:right w:w="0" w:type="dxa"/>
            </w:tcMar>
            <w:vAlign w:val="center"/>
          </w:tcPr>
          <w:p>
            <w:pPr>
              <w:pStyle w:val="TableContents"/>
              <w:bidi w:val="0"/>
              <w:spacing w:before="0" w:after="1"/>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1"/>
              <w:jc w:val="righ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CCEEFF" w:val="clear"/>
            <w:tcMar>
              <w:top w:w="0" w:type="dxa"/>
              <w:left w:w="0" w:type="dxa"/>
              <w:right w:w="0" w:type="dxa"/>
            </w:tcMar>
            <w:vAlign w:val="center"/>
          </w:tcPr>
          <w:p>
            <w:pPr>
              <w:pStyle w:val="TableContents"/>
              <w:bidi w:val="0"/>
              <w:spacing w:before="0" w:after="1"/>
              <w:jc w:val="right"/>
              <w:rPr>
                <w:rFonts w:ascii="Times New Roman" w:hAnsi="Times New Roman"/>
                <w:color w:val="000000"/>
                <w:sz w:val="20"/>
              </w:rPr>
            </w:pPr>
            <w:r>
              <w:rPr>
                <w:rFonts w:ascii="Times New Roman" w:hAnsi="Times New Roman"/>
                <w:color w:val="000000"/>
                <w:sz w:val="20"/>
              </w:rPr>
              <w:t>18,692</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1"/>
              <w:jc w:val="righ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1"/>
              <w:jc w:val="righ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CCEEFF" w:val="clear"/>
            <w:tcMar>
              <w:top w:w="0" w:type="dxa"/>
              <w:left w:w="0" w:type="dxa"/>
              <w:right w:w="0" w:type="dxa"/>
            </w:tcMar>
            <w:vAlign w:val="center"/>
          </w:tcPr>
          <w:p>
            <w:pPr>
              <w:pStyle w:val="TableContents"/>
              <w:bidi w:val="0"/>
              <w:spacing w:before="0" w:after="1"/>
              <w:jc w:val="right"/>
              <w:rPr>
                <w:rFonts w:ascii="Times New Roman" w:hAnsi="Times New Roman"/>
                <w:color w:val="000000"/>
                <w:sz w:val="20"/>
              </w:rPr>
            </w:pPr>
            <w:r>
              <w:rPr>
                <w:rFonts w:ascii="Times New Roman" w:hAnsi="Times New Roman"/>
                <w:color w:val="000000"/>
                <w:sz w:val="20"/>
              </w:rPr>
              <w:t>8,084</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1"/>
              <w:jc w:val="righ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1"/>
              <w:jc w:val="righ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CCEEFF" w:val="clear"/>
            <w:tcMar>
              <w:top w:w="0" w:type="dxa"/>
              <w:left w:w="0" w:type="dxa"/>
              <w:right w:w="0" w:type="dxa"/>
            </w:tcMar>
            <w:vAlign w:val="center"/>
          </w:tcPr>
          <w:p>
            <w:pPr>
              <w:pStyle w:val="TableContents"/>
              <w:bidi w:val="0"/>
              <w:spacing w:before="0" w:after="1"/>
              <w:jc w:val="right"/>
              <w:rPr>
                <w:rFonts w:ascii="Times New Roman" w:hAnsi="Times New Roman"/>
                <w:color w:val="000000"/>
                <w:sz w:val="20"/>
              </w:rPr>
            </w:pPr>
            <w:r>
              <w:rPr>
                <w:rFonts w:ascii="Times New Roman" w:hAnsi="Times New Roman"/>
                <w:color w:val="000000"/>
                <w:sz w:val="20"/>
              </w:rPr>
              <w:t>31,340</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1"/>
              <w:jc w:val="righ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1"/>
              <w:jc w:val="right"/>
              <w:rPr>
                <w:rFonts w:ascii="Times New Roman" w:hAnsi="Times New Roman"/>
                <w:color w:val="000000"/>
                <w:sz w:val="20"/>
              </w:rPr>
            </w:pPr>
            <w:r>
              <w:rPr>
                <w:rFonts w:ascii="Times New Roman" w:hAnsi="Times New Roman"/>
                <w:color w:val="000000"/>
                <w:sz w:val="20"/>
              </w:rPr>
              <w:t>$</w:t>
            </w:r>
          </w:p>
        </w:tc>
        <w:tc>
          <w:tcPr>
            <w:tcW w:w="976" w:type="dxa"/>
            <w:tcBorders>
              <w:bottom w:val="single" w:sz="4" w:space="0" w:color="000000"/>
            </w:tcBorders>
            <w:shd w:fill="CCEEFF" w:val="clear"/>
            <w:tcMar>
              <w:top w:w="0" w:type="dxa"/>
              <w:left w:w="0" w:type="dxa"/>
              <w:right w:w="0" w:type="dxa"/>
            </w:tcMar>
            <w:vAlign w:val="center"/>
          </w:tcPr>
          <w:p>
            <w:pPr>
              <w:pStyle w:val="TableContents"/>
              <w:bidi w:val="0"/>
              <w:spacing w:before="0" w:after="1"/>
              <w:jc w:val="right"/>
              <w:rPr>
                <w:rFonts w:ascii="Times New Roman" w:hAnsi="Times New Roman"/>
                <w:color w:val="000000"/>
                <w:sz w:val="20"/>
              </w:rPr>
            </w:pPr>
            <w:r>
              <w:rPr>
                <w:rFonts w:ascii="Times New Roman" w:hAnsi="Times New Roman"/>
                <w:color w:val="000000"/>
                <w:sz w:val="20"/>
              </w:rPr>
              <w:t>11,014</w:t>
            </w:r>
          </w:p>
        </w:tc>
      </w:tr>
      <w:tr>
        <w:trPr/>
        <w:tc>
          <w:tcPr>
            <w:tcW w:w="4798" w:type="dxa"/>
            <w:tcBorders/>
            <w:tcMar>
              <w:top w:w="0" w:type="dxa"/>
              <w:left w:w="0" w:type="dxa"/>
              <w:bottom w:w="0" w:type="dxa"/>
              <w:right w:w="0" w:type="dxa"/>
            </w:tcMar>
            <w:vAlign w:val="center"/>
          </w:tcPr>
          <w:p>
            <w:pPr>
              <w:pStyle w:val="TableContents"/>
              <w:bidi w:val="0"/>
              <w:spacing w:before="0" w:after="1"/>
              <w:jc w:val="left"/>
              <w:rPr>
                <w:rFonts w:ascii="Times New Roman" w:hAnsi="Times New Roman"/>
                <w:sz w:val="20"/>
              </w:rPr>
            </w:pPr>
            <w:r>
              <w:rPr>
                <w:rFonts w:ascii="Times New Roman" w:hAnsi="Times New Roman"/>
                <w:color w:val="000000"/>
                <w:sz w:val="20"/>
              </w:rPr>
              <w:t xml:space="preserve">Operating expenses </w:t>
            </w:r>
            <w:r>
              <w:rPr>
                <w:rFonts w:ascii="Times New Roman" w:hAnsi="Times New Roman"/>
                <w:color w:val="000000"/>
                <w:sz w:val="13"/>
              </w:rPr>
              <w:t>(2)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1"/>
              <w:jc w:val="right"/>
              <w:rPr/>
            </w:pPr>
            <w:r>
              <w:rPr/>
              <w:t> </w:t>
            </w:r>
          </w:p>
        </w:tc>
        <w:tc>
          <w:tcPr>
            <w:tcW w:w="1036" w:type="dxa"/>
            <w:tcBorders/>
            <w:tcMar>
              <w:top w:w="0" w:type="dxa"/>
              <w:left w:w="0" w:type="dxa"/>
              <w:bottom w:w="0" w:type="dxa"/>
              <w:right w:w="0" w:type="dxa"/>
            </w:tcMar>
            <w:vAlign w:val="center"/>
          </w:tcPr>
          <w:p>
            <w:pPr>
              <w:pStyle w:val="TableContents"/>
              <w:bidi w:val="0"/>
              <w:spacing w:before="0" w:after="1"/>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1"/>
              <w:jc w:val="right"/>
              <w:rPr/>
            </w:pPr>
            <w:r>
              <w:rPr/>
              <w:t> </w:t>
            </w:r>
          </w:p>
        </w:tc>
        <w:tc>
          <w:tcPr>
            <w:tcW w:w="931" w:type="dxa"/>
            <w:tcBorders/>
            <w:tcMar>
              <w:top w:w="0" w:type="dxa"/>
              <w:left w:w="0" w:type="dxa"/>
              <w:bottom w:w="0" w:type="dxa"/>
              <w:right w:w="0" w:type="dxa"/>
            </w:tcMar>
            <w:vAlign w:val="center"/>
          </w:tcPr>
          <w:p>
            <w:pPr>
              <w:pStyle w:val="TableContents"/>
              <w:bidi w:val="0"/>
              <w:spacing w:before="0" w:after="1"/>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1"/>
              <w:jc w:val="right"/>
              <w:rPr/>
            </w:pPr>
            <w:r>
              <w:rPr/>
              <w:t> </w:t>
            </w:r>
          </w:p>
        </w:tc>
        <w:tc>
          <w:tcPr>
            <w:tcW w:w="1036" w:type="dxa"/>
            <w:tcBorders/>
            <w:tcMar>
              <w:top w:w="0" w:type="dxa"/>
              <w:left w:w="0" w:type="dxa"/>
              <w:bottom w:w="0" w:type="dxa"/>
              <w:right w:w="0" w:type="dxa"/>
            </w:tcMar>
            <w:vAlign w:val="center"/>
          </w:tcPr>
          <w:p>
            <w:pPr>
              <w:pStyle w:val="TableContents"/>
              <w:bidi w:val="0"/>
              <w:spacing w:before="0" w:after="1"/>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1"/>
              <w:jc w:val="right"/>
              <w:rPr/>
            </w:pPr>
            <w:r>
              <w:rPr/>
              <w:t> </w:t>
            </w:r>
          </w:p>
        </w:tc>
        <w:tc>
          <w:tcPr>
            <w:tcW w:w="976" w:type="dxa"/>
            <w:tcBorders/>
            <w:tcMar>
              <w:top w:w="0" w:type="dxa"/>
              <w:left w:w="0" w:type="dxa"/>
              <w:bottom w:w="0" w:type="dxa"/>
              <w:right w:w="0" w:type="dxa"/>
            </w:tcMar>
            <w:vAlign w:val="center"/>
          </w:tcPr>
          <w:p>
            <w:pPr>
              <w:pStyle w:val="TableContents"/>
              <w:bidi w:val="0"/>
              <w:spacing w:before="0" w:after="1"/>
              <w:ind w:left="0" w:right="0" w:firstLine="180"/>
              <w:jc w:val="right"/>
              <w:rPr/>
            </w:pPr>
            <w:r>
              <w:rPr/>
              <w:t> </w:t>
            </w:r>
          </w:p>
        </w:tc>
      </w:tr>
      <w:tr>
        <w:trPr/>
        <w:tc>
          <w:tcPr>
            <w:tcW w:w="4798" w:type="dxa"/>
            <w:tcBorders/>
            <w:shd w:fill="CCEEFF" w:val="clear"/>
            <w:tcMar>
              <w:top w:w="0" w:type="dxa"/>
              <w:left w:w="0" w:type="dxa"/>
              <w:bottom w:w="0" w:type="dxa"/>
              <w:right w:w="0" w:type="dxa"/>
            </w:tcMar>
            <w:vAlign w:val="center"/>
          </w:tcPr>
          <w:p>
            <w:pPr>
              <w:pStyle w:val="TableContents"/>
              <w:bidi w:val="0"/>
              <w:spacing w:before="0" w:after="1"/>
              <w:ind w:left="0" w:right="0" w:firstLine="18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CEEFF" w:val="clear"/>
            <w:tcMar>
              <w:top w:w="0" w:type="dxa"/>
              <w:left w:w="0" w:type="dxa"/>
              <w:bottom w:w="0" w:type="dxa"/>
              <w:right w:w="0" w:type="dxa"/>
            </w:tcMar>
            <w:vAlign w:val="center"/>
          </w:tcPr>
          <w:p>
            <w:pPr>
              <w:pStyle w:val="TableContents"/>
              <w:bidi w:val="0"/>
              <w:spacing w:before="0" w:after="1"/>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1"/>
              <w:jc w:val="right"/>
              <w:rPr>
                <w:rFonts w:ascii="Times New Roman" w:hAnsi="Times New Roman"/>
                <w:color w:val="000000"/>
                <w:sz w:val="20"/>
              </w:rPr>
            </w:pPr>
            <w:r>
              <w:rPr>
                <w:rFonts w:ascii="Times New Roman" w:hAnsi="Times New Roman"/>
                <w:color w:val="000000"/>
                <w:sz w:val="20"/>
              </w:rPr>
              <w:t>$</w:t>
            </w:r>
          </w:p>
        </w:tc>
        <w:tc>
          <w:tcPr>
            <w:tcW w:w="1036" w:type="dxa"/>
            <w:tcBorders/>
            <w:shd w:fill="CCEEFF" w:val="clear"/>
            <w:tcMar>
              <w:top w:w="0" w:type="dxa"/>
              <w:left w:w="0" w:type="dxa"/>
              <w:bottom w:w="0" w:type="dxa"/>
              <w:right w:w="0" w:type="dxa"/>
            </w:tcMar>
            <w:vAlign w:val="center"/>
          </w:tcPr>
          <w:p>
            <w:pPr>
              <w:pStyle w:val="TableContents"/>
              <w:bidi w:val="0"/>
              <w:spacing w:before="0" w:after="1"/>
              <w:jc w:val="right"/>
              <w:rPr>
                <w:rFonts w:ascii="Times New Roman" w:hAnsi="Times New Roman"/>
                <w:color w:val="000000"/>
                <w:sz w:val="20"/>
              </w:rPr>
            </w:pPr>
            <w:r>
              <w:rPr>
                <w:rFonts w:ascii="Times New Roman" w:hAnsi="Times New Roman"/>
                <w:color w:val="000000"/>
                <w:sz w:val="20"/>
              </w:rPr>
              <w:t>14,559</w:t>
            </w:r>
          </w:p>
        </w:tc>
        <w:tc>
          <w:tcPr>
            <w:tcW w:w="146" w:type="dxa"/>
            <w:tcBorders/>
            <w:shd w:fill="CCEEFF" w:val="clear"/>
            <w:tcMar>
              <w:top w:w="0" w:type="dxa"/>
              <w:left w:w="0" w:type="dxa"/>
              <w:bottom w:w="0" w:type="dxa"/>
              <w:right w:w="0" w:type="dxa"/>
            </w:tcMar>
            <w:vAlign w:val="center"/>
          </w:tcPr>
          <w:p>
            <w:pPr>
              <w:pStyle w:val="TableContents"/>
              <w:bidi w:val="0"/>
              <w:spacing w:before="0" w:after="1"/>
              <w:jc w:val="righ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1"/>
              <w:jc w:val="right"/>
              <w:rPr>
                <w:rFonts w:ascii="Times New Roman" w:hAnsi="Times New Roman"/>
                <w:color w:val="000000"/>
                <w:sz w:val="20"/>
              </w:rPr>
            </w:pPr>
            <w:r>
              <w:rPr>
                <w:rFonts w:ascii="Times New Roman" w:hAnsi="Times New Roman"/>
                <w:color w:val="000000"/>
                <w:sz w:val="20"/>
              </w:rPr>
              <w:t>$</w:t>
            </w:r>
          </w:p>
        </w:tc>
        <w:tc>
          <w:tcPr>
            <w:tcW w:w="931" w:type="dxa"/>
            <w:tcBorders/>
            <w:shd w:fill="CCEEFF" w:val="clear"/>
            <w:tcMar>
              <w:top w:w="0" w:type="dxa"/>
              <w:left w:w="0" w:type="dxa"/>
              <w:bottom w:w="0" w:type="dxa"/>
              <w:right w:w="0" w:type="dxa"/>
            </w:tcMar>
            <w:vAlign w:val="center"/>
          </w:tcPr>
          <w:p>
            <w:pPr>
              <w:pStyle w:val="TableContents"/>
              <w:bidi w:val="0"/>
              <w:spacing w:before="0" w:after="1"/>
              <w:jc w:val="right"/>
              <w:rPr>
                <w:rFonts w:ascii="Times New Roman" w:hAnsi="Times New Roman"/>
                <w:color w:val="000000"/>
                <w:sz w:val="20"/>
              </w:rPr>
            </w:pPr>
            <w:r>
              <w:rPr>
                <w:rFonts w:ascii="Times New Roman" w:hAnsi="Times New Roman"/>
                <w:color w:val="000000"/>
                <w:sz w:val="20"/>
              </w:rPr>
              <w:t>15,330</w:t>
            </w:r>
          </w:p>
        </w:tc>
        <w:tc>
          <w:tcPr>
            <w:tcW w:w="146" w:type="dxa"/>
            <w:tcBorders/>
            <w:shd w:fill="CCEEFF" w:val="clear"/>
            <w:tcMar>
              <w:top w:w="0" w:type="dxa"/>
              <w:left w:w="0" w:type="dxa"/>
              <w:bottom w:w="0" w:type="dxa"/>
              <w:right w:w="0" w:type="dxa"/>
            </w:tcMar>
            <w:vAlign w:val="center"/>
          </w:tcPr>
          <w:p>
            <w:pPr>
              <w:pStyle w:val="TableContents"/>
              <w:bidi w:val="0"/>
              <w:spacing w:before="0" w:after="1"/>
              <w:jc w:val="righ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1"/>
              <w:jc w:val="right"/>
              <w:rPr>
                <w:rFonts w:ascii="Times New Roman" w:hAnsi="Times New Roman"/>
                <w:color w:val="000000"/>
                <w:sz w:val="20"/>
              </w:rPr>
            </w:pPr>
            <w:r>
              <w:rPr>
                <w:rFonts w:ascii="Times New Roman" w:hAnsi="Times New Roman"/>
                <w:color w:val="000000"/>
                <w:sz w:val="20"/>
              </w:rPr>
              <w:t>$</w:t>
            </w:r>
          </w:p>
        </w:tc>
        <w:tc>
          <w:tcPr>
            <w:tcW w:w="1036" w:type="dxa"/>
            <w:tcBorders/>
            <w:shd w:fill="CCEEFF" w:val="clear"/>
            <w:tcMar>
              <w:top w:w="0" w:type="dxa"/>
              <w:left w:w="0" w:type="dxa"/>
              <w:bottom w:w="0" w:type="dxa"/>
              <w:right w:w="0" w:type="dxa"/>
            </w:tcMar>
            <w:vAlign w:val="center"/>
          </w:tcPr>
          <w:p>
            <w:pPr>
              <w:pStyle w:val="TableContents"/>
              <w:bidi w:val="0"/>
              <w:spacing w:before="0" w:after="1"/>
              <w:jc w:val="right"/>
              <w:rPr>
                <w:rFonts w:ascii="Times New Roman" w:hAnsi="Times New Roman"/>
                <w:color w:val="000000"/>
                <w:sz w:val="20"/>
              </w:rPr>
            </w:pPr>
            <w:r>
              <w:rPr>
                <w:rFonts w:ascii="Times New Roman" w:hAnsi="Times New Roman"/>
                <w:color w:val="000000"/>
                <w:sz w:val="20"/>
              </w:rPr>
              <w:t>34,391</w:t>
            </w:r>
          </w:p>
        </w:tc>
        <w:tc>
          <w:tcPr>
            <w:tcW w:w="146" w:type="dxa"/>
            <w:tcBorders/>
            <w:shd w:fill="CCEEFF" w:val="clear"/>
            <w:tcMar>
              <w:top w:w="0" w:type="dxa"/>
              <w:left w:w="0" w:type="dxa"/>
              <w:bottom w:w="0" w:type="dxa"/>
              <w:right w:w="0" w:type="dxa"/>
            </w:tcMar>
            <w:vAlign w:val="center"/>
          </w:tcPr>
          <w:p>
            <w:pPr>
              <w:pStyle w:val="TableContents"/>
              <w:bidi w:val="0"/>
              <w:spacing w:before="0" w:after="1"/>
              <w:jc w:val="righ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1"/>
              <w:jc w:val="right"/>
              <w:rPr>
                <w:rFonts w:ascii="Times New Roman" w:hAnsi="Times New Roman"/>
                <w:color w:val="000000"/>
                <w:sz w:val="20"/>
              </w:rPr>
            </w:pPr>
            <w:r>
              <w:rPr>
                <w:rFonts w:ascii="Times New Roman" w:hAnsi="Times New Roman"/>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before="0" w:after="1"/>
              <w:ind w:left="0" w:right="0" w:firstLine="180"/>
              <w:jc w:val="right"/>
              <w:rPr>
                <w:rFonts w:ascii="Times New Roman" w:hAnsi="Times New Roman"/>
                <w:color w:val="000000"/>
                <w:sz w:val="20"/>
              </w:rPr>
            </w:pPr>
            <w:r>
              <w:rPr>
                <w:rFonts w:ascii="Times New Roman" w:hAnsi="Times New Roman"/>
                <w:color w:val="000000"/>
                <w:sz w:val="20"/>
              </w:rPr>
              <w:t>23,596</w:t>
            </w:r>
          </w:p>
        </w:tc>
      </w:tr>
      <w:tr>
        <w:trPr/>
        <w:tc>
          <w:tcPr>
            <w:tcW w:w="4798" w:type="dxa"/>
            <w:tcBorders/>
            <w:tcMar>
              <w:top w:w="0" w:type="dxa"/>
              <w:left w:w="0" w:type="dxa"/>
              <w:bottom w:w="0" w:type="dxa"/>
              <w:right w:w="0" w:type="dxa"/>
            </w:tcMar>
            <w:vAlign w:val="center"/>
          </w:tcPr>
          <w:p>
            <w:pPr>
              <w:pStyle w:val="TableContents"/>
              <w:bidi w:val="0"/>
              <w:spacing w:before="0" w:after="1"/>
              <w:ind w:left="0" w:right="0" w:firstLine="18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tcMar>
              <w:top w:w="0" w:type="dxa"/>
              <w:left w:w="0" w:type="dxa"/>
              <w:bottom w:w="0" w:type="dxa"/>
              <w:right w:w="0" w:type="dxa"/>
            </w:tcMar>
            <w:vAlign w:val="center"/>
          </w:tcPr>
          <w:p>
            <w:pPr>
              <w:pStyle w:val="TableContents"/>
              <w:bidi w:val="0"/>
              <w:spacing w:before="0" w:after="1"/>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6" w:type="dxa"/>
            <w:tcBorders>
              <w:bottom w:val="single" w:sz="4" w:space="0" w:color="000000"/>
            </w:tcBorders>
            <w:tcMar>
              <w:top w:w="0" w:type="dxa"/>
              <w:left w:w="0" w:type="dxa"/>
              <w:right w:w="0" w:type="dxa"/>
            </w:tcMar>
            <w:vAlign w:val="center"/>
          </w:tcPr>
          <w:p>
            <w:pPr>
              <w:pStyle w:val="TableContents"/>
              <w:bidi w:val="0"/>
              <w:spacing w:before="0" w:after="1"/>
              <w:jc w:val="right"/>
              <w:rPr>
                <w:rFonts w:ascii="Times New Roman" w:hAnsi="Times New Roman"/>
                <w:color w:val="000000"/>
                <w:sz w:val="20"/>
              </w:rPr>
            </w:pPr>
            <w:r>
              <w:rPr>
                <w:rFonts w:ascii="Times New Roman" w:hAnsi="Times New Roman"/>
                <w:color w:val="000000"/>
                <w:sz w:val="20"/>
              </w:rPr>
              <w:t>7,624</w:t>
            </w:r>
          </w:p>
        </w:tc>
        <w:tc>
          <w:tcPr>
            <w:tcW w:w="146" w:type="dxa"/>
            <w:tcBorders>
              <w:bottom w:val="single" w:sz="4" w:space="0" w:color="000000"/>
            </w:tcBorders>
            <w:tcMar>
              <w:top w:w="0" w:type="dxa"/>
              <w:left w:w="0" w:type="dxa"/>
              <w:right w:w="0" w:type="dxa"/>
            </w:tcMar>
            <w:vAlign w:val="center"/>
          </w:tcPr>
          <w:p>
            <w:pPr>
              <w:pStyle w:val="TableContents"/>
              <w:bidi w:val="0"/>
              <w:spacing w:before="0" w:after="1"/>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1" w:type="dxa"/>
            <w:tcBorders>
              <w:bottom w:val="single" w:sz="4" w:space="0" w:color="000000"/>
            </w:tcBorders>
            <w:tcMar>
              <w:top w:w="0" w:type="dxa"/>
              <w:left w:w="0" w:type="dxa"/>
              <w:right w:w="0" w:type="dxa"/>
            </w:tcMar>
            <w:vAlign w:val="center"/>
          </w:tcPr>
          <w:p>
            <w:pPr>
              <w:pStyle w:val="TableContents"/>
              <w:bidi w:val="0"/>
              <w:spacing w:before="0" w:after="1"/>
              <w:jc w:val="right"/>
              <w:rPr>
                <w:rFonts w:ascii="Times New Roman" w:hAnsi="Times New Roman"/>
                <w:color w:val="000000"/>
                <w:sz w:val="20"/>
              </w:rPr>
            </w:pPr>
            <w:r>
              <w:rPr>
                <w:rFonts w:ascii="Times New Roman" w:hAnsi="Times New Roman"/>
                <w:color w:val="000000"/>
                <w:sz w:val="20"/>
              </w:rPr>
              <w:t>7,120</w:t>
            </w:r>
          </w:p>
        </w:tc>
        <w:tc>
          <w:tcPr>
            <w:tcW w:w="146" w:type="dxa"/>
            <w:tcBorders>
              <w:bottom w:val="single" w:sz="4" w:space="0" w:color="000000"/>
            </w:tcBorders>
            <w:tcMar>
              <w:top w:w="0" w:type="dxa"/>
              <w:left w:w="0" w:type="dxa"/>
              <w:right w:w="0" w:type="dxa"/>
            </w:tcMar>
            <w:vAlign w:val="center"/>
          </w:tcPr>
          <w:p>
            <w:pPr>
              <w:pStyle w:val="TableContents"/>
              <w:bidi w:val="0"/>
              <w:spacing w:before="0" w:after="1"/>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6" w:type="dxa"/>
            <w:tcBorders>
              <w:bottom w:val="single" w:sz="4" w:space="0" w:color="000000"/>
            </w:tcBorders>
            <w:tcMar>
              <w:top w:w="0" w:type="dxa"/>
              <w:left w:w="0" w:type="dxa"/>
              <w:right w:w="0" w:type="dxa"/>
            </w:tcMar>
            <w:vAlign w:val="center"/>
          </w:tcPr>
          <w:p>
            <w:pPr>
              <w:pStyle w:val="TableContents"/>
              <w:bidi w:val="0"/>
              <w:spacing w:before="0" w:after="1"/>
              <w:jc w:val="right"/>
              <w:rPr>
                <w:rFonts w:ascii="Times New Roman" w:hAnsi="Times New Roman"/>
                <w:color w:val="000000"/>
                <w:sz w:val="20"/>
              </w:rPr>
            </w:pPr>
            <w:r>
              <w:rPr>
                <w:rFonts w:ascii="Times New Roman" w:hAnsi="Times New Roman"/>
                <w:color w:val="000000"/>
                <w:sz w:val="20"/>
              </w:rPr>
              <w:t>14,552</w:t>
            </w:r>
          </w:p>
        </w:tc>
        <w:tc>
          <w:tcPr>
            <w:tcW w:w="146" w:type="dxa"/>
            <w:tcBorders>
              <w:bottom w:val="single" w:sz="4" w:space="0" w:color="000000"/>
            </w:tcBorders>
            <w:tcMar>
              <w:top w:w="0" w:type="dxa"/>
              <w:left w:w="0" w:type="dxa"/>
              <w:right w:w="0" w:type="dxa"/>
            </w:tcMar>
            <w:vAlign w:val="center"/>
          </w:tcPr>
          <w:p>
            <w:pPr>
              <w:pStyle w:val="TableContents"/>
              <w:bidi w:val="0"/>
              <w:spacing w:before="0" w:after="1"/>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76" w:type="dxa"/>
            <w:tcBorders>
              <w:bottom w:val="single" w:sz="4" w:space="0" w:color="000000"/>
            </w:tcBorders>
            <w:tcMar>
              <w:top w:w="0" w:type="dxa"/>
              <w:left w:w="0" w:type="dxa"/>
              <w:right w:w="0" w:type="dxa"/>
            </w:tcMar>
            <w:vAlign w:val="center"/>
          </w:tcPr>
          <w:p>
            <w:pPr>
              <w:pStyle w:val="TableContents"/>
              <w:bidi w:val="0"/>
              <w:spacing w:before="0" w:after="1"/>
              <w:jc w:val="right"/>
              <w:rPr>
                <w:rFonts w:ascii="Times New Roman" w:hAnsi="Times New Roman"/>
                <w:color w:val="000000"/>
                <w:sz w:val="20"/>
              </w:rPr>
            </w:pPr>
            <w:r>
              <w:rPr>
                <w:rFonts w:ascii="Times New Roman" w:hAnsi="Times New Roman"/>
                <w:color w:val="000000"/>
                <w:sz w:val="20"/>
              </w:rPr>
              <w:t>15,635</w:t>
            </w:r>
          </w:p>
        </w:tc>
      </w:tr>
      <w:tr>
        <w:trPr/>
        <w:tc>
          <w:tcPr>
            <w:tcW w:w="4798" w:type="dxa"/>
            <w:tcBorders/>
            <w:shd w:fill="CCEEFF" w:val="clear"/>
            <w:tcMar>
              <w:top w:w="0" w:type="dxa"/>
              <w:left w:w="0" w:type="dxa"/>
              <w:bottom w:w="0" w:type="dxa"/>
              <w:right w:w="0" w:type="dxa"/>
            </w:tcMar>
            <w:vAlign w:val="center"/>
          </w:tcPr>
          <w:p>
            <w:pPr>
              <w:pStyle w:val="TableContents"/>
              <w:bidi w:val="0"/>
              <w:spacing w:before="0" w:after="1"/>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CEEFF" w:val="clear"/>
            <w:tcMar>
              <w:top w:w="0" w:type="dxa"/>
              <w:left w:w="0" w:type="dxa"/>
              <w:bottom w:w="0" w:type="dxa"/>
              <w:right w:w="0" w:type="dxa"/>
            </w:tcMar>
            <w:vAlign w:val="center"/>
          </w:tcPr>
          <w:p>
            <w:pPr>
              <w:pStyle w:val="TableContents"/>
              <w:bidi w:val="0"/>
              <w:spacing w:before="0" w:after="1"/>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CCEEFF" w:val="clear"/>
            <w:tcMar>
              <w:top w:w="0" w:type="dxa"/>
              <w:left w:w="0" w:type="dxa"/>
              <w:bottom w:w="0" w:type="dxa"/>
              <w:right w:w="0" w:type="dxa"/>
            </w:tcMar>
            <w:vAlign w:val="center"/>
          </w:tcPr>
          <w:p>
            <w:pPr>
              <w:pStyle w:val="TableContents"/>
              <w:bidi w:val="0"/>
              <w:spacing w:before="0" w:after="1"/>
              <w:jc w:val="right"/>
              <w:rPr>
                <w:rFonts w:ascii="Times New Roman" w:hAnsi="Times New Roman"/>
                <w:color w:val="000000"/>
                <w:sz w:val="20"/>
              </w:rPr>
            </w:pPr>
            <w:r>
              <w:rPr>
                <w:rFonts w:ascii="Times New Roman" w:hAnsi="Times New Roman"/>
                <w:color w:val="000000"/>
                <w:sz w:val="20"/>
              </w:rPr>
              <w:t>22,183</w:t>
            </w:r>
          </w:p>
        </w:tc>
        <w:tc>
          <w:tcPr>
            <w:tcW w:w="146" w:type="dxa"/>
            <w:tcBorders/>
            <w:shd w:fill="CCEEFF" w:val="clear"/>
            <w:tcMar>
              <w:top w:w="0" w:type="dxa"/>
              <w:left w:w="0" w:type="dxa"/>
              <w:bottom w:w="0" w:type="dxa"/>
              <w:right w:w="0" w:type="dxa"/>
            </w:tcMar>
            <w:vAlign w:val="center"/>
          </w:tcPr>
          <w:p>
            <w:pPr>
              <w:pStyle w:val="TableContents"/>
              <w:bidi w:val="0"/>
              <w:spacing w:before="0" w:after="1"/>
              <w:jc w:val="righ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shd w:fill="CCEEFF" w:val="clear"/>
            <w:tcMar>
              <w:top w:w="0" w:type="dxa"/>
              <w:left w:w="0" w:type="dxa"/>
              <w:bottom w:w="0" w:type="dxa"/>
              <w:right w:w="0" w:type="dxa"/>
            </w:tcMar>
            <w:vAlign w:val="center"/>
          </w:tcPr>
          <w:p>
            <w:pPr>
              <w:pStyle w:val="TableContents"/>
              <w:bidi w:val="0"/>
              <w:spacing w:before="0" w:after="1"/>
              <w:jc w:val="right"/>
              <w:rPr>
                <w:rFonts w:ascii="Times New Roman" w:hAnsi="Times New Roman"/>
                <w:color w:val="000000"/>
                <w:sz w:val="20"/>
              </w:rPr>
            </w:pPr>
            <w:r>
              <w:rPr>
                <w:rFonts w:ascii="Times New Roman" w:hAnsi="Times New Roman"/>
                <w:color w:val="000000"/>
                <w:sz w:val="20"/>
              </w:rPr>
              <w:t>22,450</w:t>
            </w:r>
          </w:p>
        </w:tc>
        <w:tc>
          <w:tcPr>
            <w:tcW w:w="146" w:type="dxa"/>
            <w:tcBorders/>
            <w:shd w:fill="CCEEFF" w:val="clear"/>
            <w:tcMar>
              <w:top w:w="0" w:type="dxa"/>
              <w:left w:w="0" w:type="dxa"/>
              <w:bottom w:w="0" w:type="dxa"/>
              <w:right w:w="0" w:type="dxa"/>
            </w:tcMar>
            <w:vAlign w:val="center"/>
          </w:tcPr>
          <w:p>
            <w:pPr>
              <w:pStyle w:val="TableContents"/>
              <w:bidi w:val="0"/>
              <w:spacing w:before="0" w:after="1"/>
              <w:jc w:val="righ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CCEEFF" w:val="clear"/>
            <w:tcMar>
              <w:top w:w="0" w:type="dxa"/>
              <w:left w:w="0" w:type="dxa"/>
              <w:bottom w:w="0" w:type="dxa"/>
              <w:right w:w="0" w:type="dxa"/>
            </w:tcMar>
            <w:vAlign w:val="center"/>
          </w:tcPr>
          <w:p>
            <w:pPr>
              <w:pStyle w:val="TableContents"/>
              <w:bidi w:val="0"/>
              <w:spacing w:before="0" w:after="1"/>
              <w:jc w:val="right"/>
              <w:rPr>
                <w:rFonts w:ascii="Times New Roman" w:hAnsi="Times New Roman"/>
                <w:color w:val="000000"/>
                <w:sz w:val="20"/>
              </w:rPr>
            </w:pPr>
            <w:r>
              <w:rPr>
                <w:rFonts w:ascii="Times New Roman" w:hAnsi="Times New Roman"/>
                <w:color w:val="000000"/>
                <w:sz w:val="20"/>
              </w:rPr>
              <w:t>48,943</w:t>
            </w:r>
          </w:p>
        </w:tc>
        <w:tc>
          <w:tcPr>
            <w:tcW w:w="146" w:type="dxa"/>
            <w:tcBorders/>
            <w:shd w:fill="CCEEFF" w:val="clear"/>
            <w:tcMar>
              <w:top w:w="0" w:type="dxa"/>
              <w:left w:w="0" w:type="dxa"/>
              <w:bottom w:w="0" w:type="dxa"/>
              <w:right w:w="0" w:type="dxa"/>
            </w:tcMar>
            <w:vAlign w:val="center"/>
          </w:tcPr>
          <w:p>
            <w:pPr>
              <w:pStyle w:val="TableContents"/>
              <w:bidi w:val="0"/>
              <w:spacing w:before="0" w:after="1"/>
              <w:jc w:val="righ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tcBorders/>
            <w:shd w:fill="CCEEFF" w:val="clear"/>
            <w:tcMar>
              <w:top w:w="0" w:type="dxa"/>
              <w:left w:w="0" w:type="dxa"/>
              <w:bottom w:w="0" w:type="dxa"/>
              <w:right w:w="0" w:type="dxa"/>
            </w:tcMar>
            <w:vAlign w:val="center"/>
          </w:tcPr>
          <w:p>
            <w:pPr>
              <w:pStyle w:val="TableContents"/>
              <w:bidi w:val="0"/>
              <w:spacing w:before="0" w:after="1"/>
              <w:ind w:left="0" w:right="0" w:firstLine="180"/>
              <w:jc w:val="right"/>
              <w:rPr>
                <w:rFonts w:ascii="Times New Roman" w:hAnsi="Times New Roman"/>
                <w:color w:val="000000"/>
                <w:sz w:val="20"/>
              </w:rPr>
            </w:pPr>
            <w:r>
              <w:rPr>
                <w:rFonts w:ascii="Times New Roman" w:hAnsi="Times New Roman"/>
                <w:color w:val="000000"/>
                <w:sz w:val="20"/>
              </w:rPr>
              <w:t>39,231</w:t>
            </w:r>
          </w:p>
        </w:tc>
      </w:tr>
      <w:tr>
        <w:trPr/>
        <w:tc>
          <w:tcPr>
            <w:tcW w:w="4798" w:type="dxa"/>
            <w:tcBorders/>
            <w:shd w:fill="FFFFFF" w:val="clear"/>
            <w:tcMar>
              <w:top w:w="0" w:type="dxa"/>
              <w:left w:w="0" w:type="dxa"/>
              <w:bottom w:w="0" w:type="dxa"/>
              <w:right w:w="0" w:type="dxa"/>
            </w:tcMar>
            <w:vAlign w:val="center"/>
          </w:tcPr>
          <w:p>
            <w:pPr>
              <w:pStyle w:val="TableContents"/>
              <w:bidi w:val="0"/>
              <w:spacing w:before="0" w:after="1"/>
              <w:ind w:left="0" w:right="0" w:firstLine="180"/>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1"/>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FFFFFF" w:val="clear"/>
            <w:tcMar>
              <w:top w:w="0" w:type="dxa"/>
              <w:left w:w="0" w:type="dxa"/>
              <w:bottom w:w="0" w:type="dxa"/>
              <w:right w:w="0" w:type="dxa"/>
            </w:tcMar>
            <w:vAlign w:val="center"/>
          </w:tcPr>
          <w:p>
            <w:pPr>
              <w:pStyle w:val="TableContents"/>
              <w:bidi w:val="0"/>
              <w:spacing w:before="0" w:after="1"/>
              <w:jc w:val="right"/>
              <w:rPr>
                <w:rFonts w:ascii="Times New Roman" w:hAnsi="Times New Roman"/>
                <w:color w:val="000000"/>
                <w:sz w:val="20"/>
              </w:rPr>
            </w:pPr>
            <w:r>
              <w:rPr>
                <w:rFonts w:ascii="Times New Roman" w:hAnsi="Times New Roman"/>
                <w:color w:val="000000"/>
                <w:sz w:val="20"/>
              </w:rPr>
              <w:t>(3,491)</w:t>
            </w:r>
          </w:p>
        </w:tc>
        <w:tc>
          <w:tcPr>
            <w:tcW w:w="146" w:type="dxa"/>
            <w:tcBorders/>
            <w:shd w:fill="FFFFFF" w:val="clear"/>
            <w:tcMar>
              <w:top w:w="0" w:type="dxa"/>
              <w:left w:w="0" w:type="dxa"/>
              <w:bottom w:w="0" w:type="dxa"/>
              <w:right w:w="0" w:type="dxa"/>
            </w:tcMar>
            <w:vAlign w:val="center"/>
          </w:tcPr>
          <w:p>
            <w:pPr>
              <w:pStyle w:val="TableContents"/>
              <w:bidi w:val="0"/>
              <w:spacing w:before="0" w:after="1"/>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shd w:fill="FFFFFF" w:val="clear"/>
            <w:tcMar>
              <w:top w:w="0" w:type="dxa"/>
              <w:left w:w="0" w:type="dxa"/>
              <w:bottom w:w="0" w:type="dxa"/>
              <w:right w:w="0" w:type="dxa"/>
            </w:tcMar>
            <w:vAlign w:val="center"/>
          </w:tcPr>
          <w:p>
            <w:pPr>
              <w:pStyle w:val="TableContents"/>
              <w:bidi w:val="0"/>
              <w:spacing w:before="0" w:after="1"/>
              <w:jc w:val="right"/>
              <w:rPr>
                <w:rFonts w:ascii="Times New Roman" w:hAnsi="Times New Roman"/>
                <w:color w:val="000000"/>
                <w:sz w:val="20"/>
              </w:rPr>
            </w:pPr>
            <w:r>
              <w:rPr>
                <w:rFonts w:ascii="Times New Roman" w:hAnsi="Times New Roman"/>
                <w:color w:val="000000"/>
                <w:sz w:val="20"/>
              </w:rPr>
              <w:t>(14,366)</w:t>
            </w:r>
          </w:p>
        </w:tc>
        <w:tc>
          <w:tcPr>
            <w:tcW w:w="146" w:type="dxa"/>
            <w:tcBorders/>
            <w:shd w:fill="FFFFFF" w:val="clear"/>
            <w:tcMar>
              <w:top w:w="0" w:type="dxa"/>
              <w:left w:w="0" w:type="dxa"/>
              <w:bottom w:w="0" w:type="dxa"/>
              <w:right w:w="0" w:type="dxa"/>
            </w:tcMar>
            <w:vAlign w:val="center"/>
          </w:tcPr>
          <w:p>
            <w:pPr>
              <w:pStyle w:val="TableContents"/>
              <w:bidi w:val="0"/>
              <w:spacing w:before="0" w:after="1"/>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FFFFFF" w:val="clear"/>
            <w:tcMar>
              <w:top w:w="0" w:type="dxa"/>
              <w:left w:w="0" w:type="dxa"/>
              <w:bottom w:w="0" w:type="dxa"/>
              <w:right w:w="0" w:type="dxa"/>
            </w:tcMar>
            <w:vAlign w:val="center"/>
          </w:tcPr>
          <w:p>
            <w:pPr>
              <w:pStyle w:val="TableContents"/>
              <w:bidi w:val="0"/>
              <w:spacing w:before="0" w:after="1"/>
              <w:jc w:val="right"/>
              <w:rPr>
                <w:rFonts w:ascii="Times New Roman" w:hAnsi="Times New Roman"/>
                <w:color w:val="000000"/>
                <w:sz w:val="20"/>
              </w:rPr>
            </w:pPr>
            <w:r>
              <w:rPr>
                <w:rFonts w:ascii="Times New Roman" w:hAnsi="Times New Roman"/>
                <w:color w:val="000000"/>
                <w:sz w:val="20"/>
              </w:rPr>
              <w:t>(17,603)</w:t>
            </w:r>
          </w:p>
        </w:tc>
        <w:tc>
          <w:tcPr>
            <w:tcW w:w="146" w:type="dxa"/>
            <w:tcBorders/>
            <w:shd w:fill="FFFFFF" w:val="clear"/>
            <w:tcMar>
              <w:top w:w="0" w:type="dxa"/>
              <w:left w:w="0" w:type="dxa"/>
              <w:bottom w:w="0" w:type="dxa"/>
              <w:right w:w="0" w:type="dxa"/>
            </w:tcMar>
            <w:vAlign w:val="center"/>
          </w:tcPr>
          <w:p>
            <w:pPr>
              <w:pStyle w:val="TableContents"/>
              <w:bidi w:val="0"/>
              <w:spacing w:before="0" w:after="1"/>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tcBorders/>
            <w:shd w:fill="FFFFFF" w:val="clear"/>
            <w:tcMar>
              <w:top w:w="0" w:type="dxa"/>
              <w:left w:w="0" w:type="dxa"/>
              <w:bottom w:w="0" w:type="dxa"/>
              <w:right w:w="0" w:type="dxa"/>
            </w:tcMar>
            <w:vAlign w:val="center"/>
          </w:tcPr>
          <w:p>
            <w:pPr>
              <w:pStyle w:val="TableContents"/>
              <w:bidi w:val="0"/>
              <w:spacing w:before="0" w:after="1"/>
              <w:jc w:val="right"/>
              <w:rPr>
                <w:rFonts w:ascii="Times New Roman" w:hAnsi="Times New Roman"/>
                <w:color w:val="000000"/>
                <w:sz w:val="20"/>
              </w:rPr>
            </w:pPr>
            <w:r>
              <w:rPr>
                <w:rFonts w:ascii="Times New Roman" w:hAnsi="Times New Roman"/>
                <w:color w:val="000000"/>
                <w:sz w:val="20"/>
              </w:rPr>
              <w:t>(28,217)</w:t>
            </w:r>
          </w:p>
        </w:tc>
      </w:tr>
      <w:tr>
        <w:trPr/>
        <w:tc>
          <w:tcPr>
            <w:tcW w:w="4798" w:type="dxa"/>
            <w:tcBorders/>
            <w:shd w:fill="CCEEFF" w:val="clear"/>
            <w:tcMar>
              <w:top w:w="0" w:type="dxa"/>
              <w:left w:w="0" w:type="dxa"/>
              <w:bottom w:w="0" w:type="dxa"/>
              <w:right w:w="0" w:type="dxa"/>
            </w:tcMar>
            <w:vAlign w:val="center"/>
          </w:tcPr>
          <w:p>
            <w:pPr>
              <w:pStyle w:val="TableContents"/>
              <w:bidi w:val="0"/>
              <w:spacing w:before="0" w:after="1"/>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CCEEFF" w:val="clear"/>
            <w:tcMar>
              <w:top w:w="0" w:type="dxa"/>
              <w:left w:w="0" w:type="dxa"/>
              <w:bottom w:w="0" w:type="dxa"/>
              <w:right w:w="0" w:type="dxa"/>
            </w:tcMar>
            <w:vAlign w:val="center"/>
          </w:tcPr>
          <w:p>
            <w:pPr>
              <w:pStyle w:val="TableContents"/>
              <w:bidi w:val="0"/>
              <w:spacing w:before="0" w:after="1"/>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CCEEFF" w:val="clear"/>
            <w:tcMar>
              <w:top w:w="0" w:type="dxa"/>
              <w:left w:w="0" w:type="dxa"/>
              <w:bottom w:w="0" w:type="dxa"/>
              <w:right w:w="0" w:type="dxa"/>
            </w:tcMar>
            <w:vAlign w:val="center"/>
          </w:tcPr>
          <w:p>
            <w:pPr>
              <w:pStyle w:val="TableContents"/>
              <w:bidi w:val="0"/>
              <w:spacing w:before="0" w:after="1"/>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1"/>
              <w:jc w:val="righ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shd w:fill="CCEEFF" w:val="clear"/>
            <w:tcMar>
              <w:top w:w="0" w:type="dxa"/>
              <w:left w:w="0" w:type="dxa"/>
              <w:bottom w:w="0" w:type="dxa"/>
              <w:right w:w="0" w:type="dxa"/>
            </w:tcMar>
            <w:vAlign w:val="center"/>
          </w:tcPr>
          <w:p>
            <w:pPr>
              <w:pStyle w:val="TableContents"/>
              <w:bidi w:val="0"/>
              <w:spacing w:before="0" w:after="1"/>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1"/>
              <w:jc w:val="righ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CCEEFF" w:val="clear"/>
            <w:tcMar>
              <w:top w:w="0" w:type="dxa"/>
              <w:left w:w="0" w:type="dxa"/>
              <w:bottom w:w="0" w:type="dxa"/>
              <w:right w:w="0" w:type="dxa"/>
            </w:tcMar>
            <w:vAlign w:val="center"/>
          </w:tcPr>
          <w:p>
            <w:pPr>
              <w:pStyle w:val="TableContents"/>
              <w:bidi w:val="0"/>
              <w:spacing w:before="0" w:after="1"/>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1"/>
              <w:jc w:val="righ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tcBorders/>
            <w:shd w:fill="CCEEFF" w:val="clear"/>
            <w:tcMar>
              <w:top w:w="0" w:type="dxa"/>
              <w:left w:w="0" w:type="dxa"/>
              <w:bottom w:w="0" w:type="dxa"/>
              <w:right w:w="0" w:type="dxa"/>
            </w:tcMar>
            <w:vAlign w:val="center"/>
          </w:tcPr>
          <w:p>
            <w:pPr>
              <w:pStyle w:val="TableContents"/>
              <w:bidi w:val="0"/>
              <w:spacing w:before="0" w:after="1"/>
              <w:ind w:left="0" w:right="0" w:firstLine="360"/>
              <w:jc w:val="right"/>
              <w:rPr/>
            </w:pPr>
            <w:r>
              <w:rPr/>
              <w:t> </w:t>
            </w:r>
          </w:p>
        </w:tc>
      </w:tr>
      <w:tr>
        <w:trPr/>
        <w:tc>
          <w:tcPr>
            <w:tcW w:w="4798" w:type="dxa"/>
            <w:tcBorders/>
            <w:shd w:fill="FFFFFF" w:val="clear"/>
            <w:tcMar>
              <w:top w:w="0" w:type="dxa"/>
              <w:left w:w="0" w:type="dxa"/>
              <w:bottom w:w="0" w:type="dxa"/>
              <w:right w:w="0" w:type="dxa"/>
            </w:tcMar>
            <w:vAlign w:val="center"/>
          </w:tcPr>
          <w:p>
            <w:pPr>
              <w:pStyle w:val="TableContents"/>
              <w:bidi w:val="0"/>
              <w:spacing w:before="0" w:after="1"/>
              <w:ind w:left="0" w:right="0" w:firstLine="360"/>
              <w:jc w:val="left"/>
              <w:rPr>
                <w:rFonts w:ascii="Times New Roman" w:hAnsi="Times New Roman"/>
                <w:color w:val="000000"/>
                <w:sz w:val="20"/>
              </w:rPr>
            </w:pPr>
            <w:r>
              <w:rPr>
                <w:rFonts w:ascii="Times New Roman" w:hAnsi="Times New Roman"/>
                <w:color w:val="000000"/>
                <w:sz w:val="20"/>
              </w:rPr>
              <w:t>Change in fair value of common stock warrant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1"/>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1"/>
              <w:jc w:val="righ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1"/>
              <w:jc w:val="right"/>
              <w:rPr>
                <w:rFonts w:ascii="Times New Roman" w:hAnsi="Times New Roman"/>
                <w:color w:val="000000"/>
                <w:sz w:val="20"/>
              </w:rPr>
            </w:pPr>
            <w:r>
              <w:rPr>
                <w:rFonts w:ascii="Times New Roman" w:hAnsi="Times New Roman"/>
                <w:color w:val="000000"/>
                <w:sz w:val="20"/>
              </w:rPr>
              <w:t>(3,940)</w:t>
            </w:r>
          </w:p>
        </w:tc>
        <w:tc>
          <w:tcPr>
            <w:tcW w:w="146" w:type="dxa"/>
            <w:tcBorders/>
            <w:shd w:fill="FFFFFF" w:val="clear"/>
            <w:tcMar>
              <w:top w:w="0" w:type="dxa"/>
              <w:left w:w="0" w:type="dxa"/>
              <w:bottom w:w="0" w:type="dxa"/>
              <w:right w:w="0" w:type="dxa"/>
            </w:tcMar>
            <w:vAlign w:val="center"/>
          </w:tcPr>
          <w:p>
            <w:pPr>
              <w:pStyle w:val="TableContents"/>
              <w:bidi w:val="0"/>
              <w:spacing w:before="0" w:after="1"/>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1"/>
              <w:jc w:val="righ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1"/>
              <w:jc w:val="right"/>
              <w:rPr>
                <w:rFonts w:ascii="Times New Roman" w:hAnsi="Times New Roman"/>
                <w:color w:val="000000"/>
                <w:sz w:val="20"/>
              </w:rPr>
            </w:pPr>
            <w:r>
              <w:rPr>
                <w:rFonts w:ascii="Times New Roman" w:hAnsi="Times New Roman"/>
                <w:color w:val="000000"/>
                <w:sz w:val="20"/>
              </w:rPr>
              <w:t>(50)</w:t>
            </w:r>
          </w:p>
        </w:tc>
        <w:tc>
          <w:tcPr>
            <w:tcW w:w="146" w:type="dxa"/>
            <w:tcBorders/>
            <w:shd w:fill="FFFFFF" w:val="clear"/>
            <w:tcMar>
              <w:top w:w="0" w:type="dxa"/>
              <w:left w:w="0" w:type="dxa"/>
              <w:bottom w:w="0" w:type="dxa"/>
              <w:right w:w="0" w:type="dxa"/>
            </w:tcMar>
            <w:vAlign w:val="center"/>
          </w:tcPr>
          <w:p>
            <w:pPr>
              <w:pStyle w:val="TableContents"/>
              <w:bidi w:val="0"/>
              <w:spacing w:before="0" w:after="1"/>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1"/>
              <w:jc w:val="righ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1"/>
              <w:jc w:val="right"/>
              <w:rPr>
                <w:rFonts w:ascii="Times New Roman" w:hAnsi="Times New Roman"/>
                <w:color w:val="000000"/>
                <w:sz w:val="20"/>
              </w:rPr>
            </w:pPr>
            <w:r>
              <w:rPr>
                <w:rFonts w:ascii="Times New Roman" w:hAnsi="Times New Roman"/>
                <w:color w:val="000000"/>
                <w:sz w:val="20"/>
              </w:rPr>
              <w:t>(640)</w:t>
            </w:r>
          </w:p>
        </w:tc>
        <w:tc>
          <w:tcPr>
            <w:tcW w:w="146" w:type="dxa"/>
            <w:tcBorders/>
            <w:shd w:fill="FFFFFF" w:val="clear"/>
            <w:tcMar>
              <w:top w:w="0" w:type="dxa"/>
              <w:left w:w="0" w:type="dxa"/>
              <w:bottom w:w="0" w:type="dxa"/>
              <w:right w:w="0" w:type="dxa"/>
            </w:tcMar>
            <w:vAlign w:val="center"/>
          </w:tcPr>
          <w:p>
            <w:pPr>
              <w:pStyle w:val="TableContents"/>
              <w:bidi w:val="0"/>
              <w:spacing w:before="0" w:after="1"/>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1"/>
              <w:jc w:val="righ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1"/>
              <w:ind w:left="0" w:right="0" w:firstLine="180"/>
              <w:jc w:val="right"/>
              <w:rPr>
                <w:rFonts w:ascii="Times New Roman" w:hAnsi="Times New Roman"/>
                <w:color w:val="000000"/>
                <w:sz w:val="20"/>
              </w:rPr>
            </w:pPr>
            <w:r>
              <w:rPr>
                <w:rFonts w:ascii="Times New Roman" w:hAnsi="Times New Roman"/>
                <w:color w:val="000000"/>
                <w:sz w:val="20"/>
              </w:rPr>
              <w:t>(50)</w:t>
            </w:r>
          </w:p>
        </w:tc>
      </w:tr>
      <w:tr>
        <w:trPr/>
        <w:tc>
          <w:tcPr>
            <w:tcW w:w="4798" w:type="dxa"/>
            <w:tcBorders/>
            <w:shd w:fill="CCEEFF" w:val="clear"/>
            <w:tcMar>
              <w:top w:w="0" w:type="dxa"/>
              <w:left w:w="0" w:type="dxa"/>
              <w:bottom w:w="0" w:type="dxa"/>
              <w:right w:w="0" w:type="dxa"/>
            </w:tcMar>
            <w:vAlign w:val="center"/>
          </w:tcPr>
          <w:p>
            <w:pPr>
              <w:pStyle w:val="TableContents"/>
              <w:bidi w:val="0"/>
              <w:spacing w:before="0" w:after="1"/>
              <w:ind w:left="0" w:right="0" w:firstLine="180"/>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CCEEFF" w:val="clear"/>
            <w:tcMar>
              <w:top w:w="0" w:type="dxa"/>
              <w:left w:w="0" w:type="dxa"/>
              <w:bottom w:w="0" w:type="dxa"/>
              <w:right w:w="0" w:type="dxa"/>
            </w:tcMar>
            <w:vAlign w:val="center"/>
          </w:tcPr>
          <w:p>
            <w:pPr>
              <w:pStyle w:val="TableContents"/>
              <w:bidi w:val="0"/>
              <w:spacing w:before="0" w:after="1"/>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6" w:type="dxa"/>
            <w:tcBorders>
              <w:bottom w:val="single" w:sz="4" w:space="0" w:color="000000"/>
            </w:tcBorders>
            <w:shd w:fill="CCEEFF" w:val="clear"/>
            <w:tcMar>
              <w:top w:w="0" w:type="dxa"/>
              <w:left w:w="0" w:type="dxa"/>
              <w:right w:w="0" w:type="dxa"/>
            </w:tcMar>
            <w:vAlign w:val="center"/>
          </w:tcPr>
          <w:p>
            <w:pPr>
              <w:pStyle w:val="TableContents"/>
              <w:bidi w:val="0"/>
              <w:spacing w:before="0" w:after="1"/>
              <w:jc w:val="right"/>
              <w:rPr>
                <w:rFonts w:ascii="Times New Roman" w:hAnsi="Times New Roman"/>
                <w:color w:val="000000"/>
                <w:sz w:val="20"/>
              </w:rPr>
            </w:pPr>
            <w:r>
              <w:rPr>
                <w:rFonts w:ascii="Times New Roman" w:hAnsi="Times New Roman"/>
                <w:color w:val="000000"/>
                <w:sz w:val="20"/>
              </w:rPr>
              <w:t>1,058</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1"/>
              <w:jc w:val="righ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1" w:type="dxa"/>
            <w:tcBorders>
              <w:bottom w:val="single" w:sz="4" w:space="0" w:color="000000"/>
            </w:tcBorders>
            <w:shd w:fill="CCEEFF" w:val="clear"/>
            <w:tcMar>
              <w:top w:w="0" w:type="dxa"/>
              <w:left w:w="0" w:type="dxa"/>
              <w:right w:w="0" w:type="dxa"/>
            </w:tcMar>
            <w:vAlign w:val="center"/>
          </w:tcPr>
          <w:p>
            <w:pPr>
              <w:pStyle w:val="TableContents"/>
              <w:bidi w:val="0"/>
              <w:spacing w:before="0" w:after="1"/>
              <w:jc w:val="right"/>
              <w:rPr>
                <w:color w:val="000000"/>
              </w:rPr>
            </w:pPr>
            <w:r>
              <w:rPr>
                <w:color w:val="000000"/>
              </w:rPr>
              <w:t> </w:t>
            </w:r>
            <w:r>
              <w:rPr>
                <w:rFonts w:ascii="Times New Roman" w:hAnsi="Times New Roman"/>
                <w:color w:val="000000"/>
                <w:sz w:val="20"/>
              </w:rPr>
              <w:t>(1,428)</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1"/>
              <w:jc w:val="righ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6" w:type="dxa"/>
            <w:tcBorders>
              <w:bottom w:val="single" w:sz="4" w:space="0" w:color="000000"/>
            </w:tcBorders>
            <w:shd w:fill="CCEEFF" w:val="clear"/>
            <w:tcMar>
              <w:top w:w="0" w:type="dxa"/>
              <w:left w:w="0" w:type="dxa"/>
              <w:right w:w="0" w:type="dxa"/>
            </w:tcMar>
            <w:vAlign w:val="center"/>
          </w:tcPr>
          <w:p>
            <w:pPr>
              <w:pStyle w:val="TableContents"/>
              <w:bidi w:val="0"/>
              <w:spacing w:before="0" w:after="1"/>
              <w:jc w:val="right"/>
              <w:rPr>
                <w:rFonts w:ascii="Times New Roman" w:hAnsi="Times New Roman"/>
                <w:color w:val="000000"/>
                <w:sz w:val="20"/>
              </w:rPr>
            </w:pPr>
            <w:r>
              <w:rPr>
                <w:rFonts w:ascii="Times New Roman" w:hAnsi="Times New Roman"/>
                <w:color w:val="000000"/>
                <w:sz w:val="20"/>
              </w:rPr>
              <w:t>2,341</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1"/>
              <w:jc w:val="righ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76" w:type="dxa"/>
            <w:tcBorders>
              <w:bottom w:val="single" w:sz="4" w:space="0" w:color="000000"/>
            </w:tcBorders>
            <w:shd w:fill="CCEEFF" w:val="clear"/>
            <w:tcMar>
              <w:top w:w="0" w:type="dxa"/>
              <w:left w:w="0" w:type="dxa"/>
              <w:right w:w="0" w:type="dxa"/>
            </w:tcMar>
            <w:vAlign w:val="center"/>
          </w:tcPr>
          <w:p>
            <w:pPr>
              <w:pStyle w:val="TableContents"/>
              <w:bidi w:val="0"/>
              <w:spacing w:before="0" w:after="1"/>
              <w:ind w:left="0" w:right="0" w:firstLine="360"/>
              <w:jc w:val="right"/>
              <w:rPr>
                <w:rFonts w:ascii="Times New Roman" w:hAnsi="Times New Roman"/>
                <w:color w:val="000000"/>
                <w:sz w:val="20"/>
              </w:rPr>
            </w:pPr>
            <w:r>
              <w:rPr>
                <w:rFonts w:ascii="Times New Roman" w:hAnsi="Times New Roman"/>
                <w:color w:val="000000"/>
                <w:sz w:val="20"/>
              </w:rPr>
              <w:t>(842)</w:t>
            </w:r>
          </w:p>
        </w:tc>
      </w:tr>
      <w:tr>
        <w:trPr/>
        <w:tc>
          <w:tcPr>
            <w:tcW w:w="4798" w:type="dxa"/>
            <w:tcBorders/>
            <w:shd w:fill="FFFFFF" w:val="clear"/>
            <w:tcMar>
              <w:top w:w="0" w:type="dxa"/>
              <w:left w:w="0" w:type="dxa"/>
              <w:bottom w:w="0" w:type="dxa"/>
              <w:right w:w="0" w:type="dxa"/>
            </w:tcMar>
            <w:vAlign w:val="center"/>
          </w:tcPr>
          <w:p>
            <w:pPr>
              <w:pStyle w:val="TableContents"/>
              <w:bidi w:val="0"/>
              <w:spacing w:before="0" w:after="1"/>
              <w:ind w:left="0" w:right="0" w:firstLine="360"/>
              <w:jc w:val="left"/>
              <w:rPr>
                <w:rFonts w:ascii="Times New Roman" w:hAnsi="Times New Roman"/>
                <w:color w:val="000000"/>
                <w:sz w:val="20"/>
              </w:rPr>
            </w:pPr>
            <w:r>
              <w:rPr>
                <w:rFonts w:ascii="Times New Roman" w:hAnsi="Times New Roman"/>
                <w:color w:val="000000"/>
                <w:sz w:val="20"/>
              </w:rPr>
              <w:t>Total 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1"/>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1"/>
              <w:jc w:val="right"/>
              <w:rPr>
                <w:rFonts w:ascii="Times New Roman" w:hAnsi="Times New Roman"/>
                <w:color w:val="000000"/>
                <w:sz w:val="20"/>
              </w:rPr>
            </w:pPr>
            <w:r>
              <w:rPr>
                <w:rFonts w:ascii="Times New Roman" w:hAnsi="Times New Roman"/>
                <w:color w:val="000000"/>
                <w:sz w:val="20"/>
              </w:rPr>
              <w:t>(2,882)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1"/>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1"/>
              <w:jc w:val="right"/>
              <w:rPr>
                <w:color w:val="000000"/>
              </w:rPr>
            </w:pPr>
            <w:r>
              <w:rPr>
                <w:color w:val="000000"/>
              </w:rPr>
              <w:t> </w:t>
            </w:r>
            <w:r>
              <w:rPr>
                <w:rFonts w:ascii="Times New Roman" w:hAnsi="Times New Roman"/>
                <w:color w:val="000000"/>
                <w:sz w:val="20"/>
              </w:rPr>
              <w:t>(1,478)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1"/>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1"/>
              <w:jc w:val="righ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1"/>
              <w:jc w:val="right"/>
              <w:rPr>
                <w:rFonts w:ascii="Times New Roman" w:hAnsi="Times New Roman"/>
                <w:color w:val="000000"/>
                <w:sz w:val="20"/>
              </w:rPr>
            </w:pPr>
            <w:r>
              <w:rPr>
                <w:rFonts w:ascii="Times New Roman" w:hAnsi="Times New Roman"/>
                <w:color w:val="000000"/>
                <w:sz w:val="20"/>
              </w:rPr>
              <w:t>1,701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1"/>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1"/>
              <w:jc w:val="right"/>
              <w:rPr>
                <w:rFonts w:ascii="Times New Roman" w:hAnsi="Times New Roman"/>
                <w:color w:val="000000"/>
                <w:sz w:val="20"/>
              </w:rPr>
            </w:pPr>
            <w:r>
              <w:rPr>
                <w:rFonts w:ascii="Times New Roman" w:hAnsi="Times New Roman"/>
                <w:color w:val="000000"/>
                <w:sz w:val="20"/>
              </w:rPr>
              <w:t>(892)</w:t>
            </w:r>
          </w:p>
        </w:tc>
      </w:tr>
      <w:tr>
        <w:trPr/>
        <w:tc>
          <w:tcPr>
            <w:tcW w:w="4798" w:type="dxa"/>
            <w:tcBorders/>
            <w:shd w:fill="CCEEFF" w:val="clear"/>
            <w:tcMar>
              <w:top w:w="0" w:type="dxa"/>
              <w:left w:w="0" w:type="dxa"/>
              <w:bottom w:w="0" w:type="dxa"/>
              <w:right w:w="0" w:type="dxa"/>
            </w:tcMar>
            <w:vAlign w:val="center"/>
          </w:tcPr>
          <w:p>
            <w:pPr>
              <w:pStyle w:val="TableContents"/>
              <w:bidi w:val="0"/>
              <w:spacing w:before="0" w:after="1"/>
              <w:jc w:val="left"/>
              <w:rPr>
                <w:rFonts w:ascii="Times New Roman" w:hAnsi="Times New Roman"/>
                <w:color w:val="000000"/>
                <w:sz w:val="20"/>
              </w:rPr>
            </w:pPr>
            <w:r>
              <w:rPr>
                <w:rFonts w:ascii="Times New Roman" w:hAnsi="Times New Roman"/>
                <w:color w:val="000000"/>
                <w:sz w:val="20"/>
              </w:rPr>
              <w:t>Net loss and comprehensive loss</w:t>
            </w:r>
          </w:p>
        </w:tc>
        <w:tc>
          <w:tcPr>
            <w:tcW w:w="146" w:type="dxa"/>
            <w:tcBorders/>
            <w:shd w:fill="CCEEFF" w:val="clear"/>
            <w:tcMar>
              <w:top w:w="0" w:type="dxa"/>
              <w:left w:w="0" w:type="dxa"/>
              <w:bottom w:w="0" w:type="dxa"/>
              <w:right w:w="0" w:type="dxa"/>
            </w:tcMar>
            <w:vAlign w:val="center"/>
          </w:tcPr>
          <w:p>
            <w:pPr>
              <w:pStyle w:val="TableContents"/>
              <w:bidi w:val="0"/>
              <w:spacing w:before="0" w:after="1"/>
              <w:jc w:val="left"/>
              <w:rPr/>
            </w:pPr>
            <w:r>
              <w:rPr/>
              <w:t> </w:t>
            </w:r>
          </w:p>
        </w:tc>
        <w:tc>
          <w:tcPr>
            <w:tcW w:w="211" w:type="dxa"/>
            <w:tcBorders>
              <w:bottom w:val="double" w:sz="4" w:space="0" w:color="000000"/>
            </w:tcBorders>
            <w:shd w:fill="CCEEFF" w:val="clear"/>
            <w:tcMar>
              <w:top w:w="0" w:type="dxa"/>
              <w:left w:w="0" w:type="dxa"/>
              <w:right w:w="0" w:type="dxa"/>
            </w:tcMar>
            <w:vAlign w:val="center"/>
          </w:tcPr>
          <w:p>
            <w:pPr>
              <w:pStyle w:val="TableContents"/>
              <w:bidi w:val="0"/>
              <w:spacing w:before="0" w:after="1"/>
              <w:jc w:val="right"/>
              <w:rPr>
                <w:rFonts w:ascii="Times New Roman" w:hAnsi="Times New Roman"/>
                <w:color w:val="000000"/>
                <w:sz w:val="20"/>
              </w:rPr>
            </w:pPr>
            <w:r>
              <w:rPr>
                <w:rFonts w:ascii="Times New Roman" w:hAnsi="Times New Roman"/>
                <w:color w:val="000000"/>
                <w:sz w:val="20"/>
              </w:rPr>
              <w:t>$</w:t>
            </w:r>
          </w:p>
        </w:tc>
        <w:tc>
          <w:tcPr>
            <w:tcW w:w="1036" w:type="dxa"/>
            <w:tcBorders>
              <w:bottom w:val="double" w:sz="4" w:space="0" w:color="000000"/>
            </w:tcBorders>
            <w:shd w:fill="CCEEFF" w:val="clear"/>
            <w:tcMar>
              <w:top w:w="0" w:type="dxa"/>
              <w:left w:w="0" w:type="dxa"/>
              <w:right w:w="0" w:type="dxa"/>
            </w:tcMar>
            <w:vAlign w:val="center"/>
          </w:tcPr>
          <w:p>
            <w:pPr>
              <w:pStyle w:val="TableContents"/>
              <w:bidi w:val="0"/>
              <w:spacing w:before="0" w:after="1"/>
              <w:jc w:val="right"/>
              <w:rPr>
                <w:rFonts w:ascii="Times New Roman" w:hAnsi="Times New Roman"/>
                <w:color w:val="000000"/>
                <w:sz w:val="20"/>
              </w:rPr>
            </w:pPr>
            <w:r>
              <w:rPr>
                <w:rFonts w:ascii="Times New Roman" w:hAnsi="Times New Roman"/>
                <w:color w:val="000000"/>
                <w:sz w:val="20"/>
              </w:rPr>
              <w:t>(6,373)</w:t>
            </w:r>
          </w:p>
        </w:tc>
        <w:tc>
          <w:tcPr>
            <w:tcW w:w="146" w:type="dxa"/>
            <w:tcBorders>
              <w:bottom w:val="double" w:sz="4" w:space="0" w:color="000000"/>
            </w:tcBorders>
            <w:shd w:fill="CCEEFF" w:val="clear"/>
            <w:tcMar>
              <w:top w:w="0" w:type="dxa"/>
              <w:left w:w="0" w:type="dxa"/>
              <w:right w:w="0" w:type="dxa"/>
            </w:tcMar>
            <w:vAlign w:val="center"/>
          </w:tcPr>
          <w:p>
            <w:pPr>
              <w:pStyle w:val="TableContents"/>
              <w:bidi w:val="0"/>
              <w:spacing w:before="0" w:after="1"/>
              <w:jc w:val="right"/>
              <w:rPr/>
            </w:pPr>
            <w:r>
              <w:rPr/>
              <w:t> </w:t>
            </w:r>
          </w:p>
        </w:tc>
        <w:tc>
          <w:tcPr>
            <w:tcW w:w="211" w:type="dxa"/>
            <w:tcBorders>
              <w:bottom w:val="double" w:sz="4" w:space="0" w:color="000000"/>
            </w:tcBorders>
            <w:shd w:fill="CCEEFF" w:val="clear"/>
            <w:tcMar>
              <w:top w:w="0" w:type="dxa"/>
              <w:left w:w="0" w:type="dxa"/>
              <w:right w:w="0" w:type="dxa"/>
            </w:tcMar>
            <w:vAlign w:val="center"/>
          </w:tcPr>
          <w:p>
            <w:pPr>
              <w:pStyle w:val="TableContents"/>
              <w:bidi w:val="0"/>
              <w:spacing w:before="0" w:after="1"/>
              <w:jc w:val="right"/>
              <w:rPr>
                <w:rFonts w:ascii="Times New Roman" w:hAnsi="Times New Roman"/>
                <w:color w:val="000000"/>
                <w:sz w:val="20"/>
              </w:rPr>
            </w:pPr>
            <w:r>
              <w:rPr>
                <w:rFonts w:ascii="Times New Roman" w:hAnsi="Times New Roman"/>
                <w:color w:val="000000"/>
                <w:sz w:val="20"/>
              </w:rPr>
              <w:t>$</w:t>
            </w:r>
          </w:p>
        </w:tc>
        <w:tc>
          <w:tcPr>
            <w:tcW w:w="931" w:type="dxa"/>
            <w:tcBorders>
              <w:bottom w:val="double" w:sz="4" w:space="0" w:color="000000"/>
            </w:tcBorders>
            <w:shd w:fill="CCEEFF" w:val="clear"/>
            <w:tcMar>
              <w:top w:w="0" w:type="dxa"/>
              <w:left w:w="0" w:type="dxa"/>
              <w:right w:w="0" w:type="dxa"/>
            </w:tcMar>
            <w:vAlign w:val="center"/>
          </w:tcPr>
          <w:p>
            <w:pPr>
              <w:pStyle w:val="TableContents"/>
              <w:bidi w:val="0"/>
              <w:spacing w:before="0" w:after="1"/>
              <w:jc w:val="right"/>
              <w:rPr>
                <w:rFonts w:ascii="Times New Roman" w:hAnsi="Times New Roman"/>
                <w:color w:val="000000"/>
                <w:sz w:val="20"/>
              </w:rPr>
            </w:pPr>
            <w:r>
              <w:rPr>
                <w:rFonts w:ascii="Times New Roman" w:hAnsi="Times New Roman"/>
                <w:color w:val="000000"/>
                <w:sz w:val="20"/>
              </w:rPr>
              <w:t>(15,844)</w:t>
            </w:r>
          </w:p>
        </w:tc>
        <w:tc>
          <w:tcPr>
            <w:tcW w:w="146" w:type="dxa"/>
            <w:tcBorders>
              <w:bottom w:val="double" w:sz="4" w:space="0" w:color="000000"/>
            </w:tcBorders>
            <w:shd w:fill="CCEEFF" w:val="clear"/>
            <w:tcMar>
              <w:top w:w="0" w:type="dxa"/>
              <w:left w:w="0" w:type="dxa"/>
              <w:right w:w="0" w:type="dxa"/>
            </w:tcMar>
            <w:vAlign w:val="center"/>
          </w:tcPr>
          <w:p>
            <w:pPr>
              <w:pStyle w:val="TableContents"/>
              <w:bidi w:val="0"/>
              <w:spacing w:before="0" w:after="1"/>
              <w:jc w:val="right"/>
              <w:rPr/>
            </w:pPr>
            <w:r>
              <w:rPr/>
              <w:t> </w:t>
            </w:r>
          </w:p>
        </w:tc>
        <w:tc>
          <w:tcPr>
            <w:tcW w:w="211" w:type="dxa"/>
            <w:tcBorders>
              <w:bottom w:val="double" w:sz="4" w:space="0" w:color="000000"/>
            </w:tcBorders>
            <w:shd w:fill="CCEEFF" w:val="clear"/>
            <w:tcMar>
              <w:top w:w="0" w:type="dxa"/>
              <w:left w:w="0" w:type="dxa"/>
              <w:right w:w="0" w:type="dxa"/>
            </w:tcMar>
            <w:vAlign w:val="center"/>
          </w:tcPr>
          <w:p>
            <w:pPr>
              <w:pStyle w:val="TableContents"/>
              <w:bidi w:val="0"/>
              <w:spacing w:before="0" w:after="1"/>
              <w:jc w:val="right"/>
              <w:rPr>
                <w:rFonts w:ascii="Times New Roman" w:hAnsi="Times New Roman"/>
                <w:color w:val="000000"/>
                <w:sz w:val="20"/>
              </w:rPr>
            </w:pPr>
            <w:r>
              <w:rPr>
                <w:rFonts w:ascii="Times New Roman" w:hAnsi="Times New Roman"/>
                <w:color w:val="000000"/>
                <w:sz w:val="20"/>
              </w:rPr>
              <w:t>$</w:t>
            </w:r>
          </w:p>
        </w:tc>
        <w:tc>
          <w:tcPr>
            <w:tcW w:w="1036" w:type="dxa"/>
            <w:tcBorders>
              <w:bottom w:val="double" w:sz="4" w:space="0" w:color="000000"/>
            </w:tcBorders>
            <w:shd w:fill="CCEEFF" w:val="clear"/>
            <w:tcMar>
              <w:top w:w="0" w:type="dxa"/>
              <w:left w:w="0" w:type="dxa"/>
              <w:right w:w="0" w:type="dxa"/>
            </w:tcMar>
            <w:vAlign w:val="center"/>
          </w:tcPr>
          <w:p>
            <w:pPr>
              <w:pStyle w:val="TableContents"/>
              <w:bidi w:val="0"/>
              <w:spacing w:before="0" w:after="1"/>
              <w:jc w:val="right"/>
              <w:rPr>
                <w:rFonts w:ascii="Times New Roman" w:hAnsi="Times New Roman"/>
                <w:color w:val="000000"/>
                <w:sz w:val="20"/>
              </w:rPr>
            </w:pPr>
            <w:r>
              <w:rPr>
                <w:rFonts w:ascii="Times New Roman" w:hAnsi="Times New Roman"/>
                <w:color w:val="000000"/>
                <w:sz w:val="20"/>
              </w:rPr>
              <w:t>(15,902)</w:t>
            </w:r>
          </w:p>
        </w:tc>
        <w:tc>
          <w:tcPr>
            <w:tcW w:w="146" w:type="dxa"/>
            <w:tcBorders>
              <w:bottom w:val="double" w:sz="4" w:space="0" w:color="000000"/>
            </w:tcBorders>
            <w:shd w:fill="CCEEFF" w:val="clear"/>
            <w:tcMar>
              <w:top w:w="0" w:type="dxa"/>
              <w:left w:w="0" w:type="dxa"/>
              <w:right w:w="0" w:type="dxa"/>
            </w:tcMar>
            <w:vAlign w:val="center"/>
          </w:tcPr>
          <w:p>
            <w:pPr>
              <w:pStyle w:val="TableContents"/>
              <w:bidi w:val="0"/>
              <w:spacing w:before="0" w:after="1"/>
              <w:jc w:val="right"/>
              <w:rPr/>
            </w:pPr>
            <w:r>
              <w:rPr/>
              <w:t> </w:t>
            </w:r>
          </w:p>
        </w:tc>
        <w:tc>
          <w:tcPr>
            <w:tcW w:w="211" w:type="dxa"/>
            <w:tcBorders>
              <w:bottom w:val="double" w:sz="4" w:space="0" w:color="000000"/>
            </w:tcBorders>
            <w:shd w:fill="CCEEFF" w:val="clear"/>
            <w:tcMar>
              <w:top w:w="0" w:type="dxa"/>
              <w:left w:w="0" w:type="dxa"/>
              <w:right w:w="0" w:type="dxa"/>
            </w:tcMar>
            <w:vAlign w:val="center"/>
          </w:tcPr>
          <w:p>
            <w:pPr>
              <w:pStyle w:val="TableContents"/>
              <w:bidi w:val="0"/>
              <w:spacing w:before="0" w:after="1"/>
              <w:jc w:val="right"/>
              <w:rPr>
                <w:rFonts w:ascii="Times New Roman" w:hAnsi="Times New Roman"/>
                <w:color w:val="000000"/>
                <w:sz w:val="20"/>
              </w:rPr>
            </w:pPr>
            <w:r>
              <w:rPr>
                <w:rFonts w:ascii="Times New Roman" w:hAnsi="Times New Roman"/>
                <w:color w:val="000000"/>
                <w:sz w:val="20"/>
              </w:rPr>
              <w:t>$</w:t>
            </w:r>
          </w:p>
        </w:tc>
        <w:tc>
          <w:tcPr>
            <w:tcW w:w="976" w:type="dxa"/>
            <w:tcBorders>
              <w:bottom w:val="double" w:sz="4" w:space="0" w:color="000000"/>
            </w:tcBorders>
            <w:shd w:fill="CCEEFF" w:val="clear"/>
            <w:tcMar>
              <w:top w:w="0" w:type="dxa"/>
              <w:left w:w="0" w:type="dxa"/>
              <w:right w:w="0" w:type="dxa"/>
            </w:tcMar>
            <w:vAlign w:val="center"/>
          </w:tcPr>
          <w:p>
            <w:pPr>
              <w:pStyle w:val="TableContents"/>
              <w:bidi w:val="0"/>
              <w:spacing w:before="0" w:after="1"/>
              <w:jc w:val="right"/>
              <w:rPr>
                <w:rFonts w:ascii="Times New Roman" w:hAnsi="Times New Roman"/>
                <w:color w:val="000000"/>
                <w:sz w:val="20"/>
              </w:rPr>
            </w:pPr>
            <w:r>
              <w:rPr>
                <w:rFonts w:ascii="Times New Roman" w:hAnsi="Times New Roman"/>
                <w:color w:val="000000"/>
                <w:sz w:val="20"/>
              </w:rPr>
              <w:t>(29,109)</w:t>
            </w:r>
          </w:p>
        </w:tc>
      </w:tr>
      <w:tr>
        <w:trPr/>
        <w:tc>
          <w:tcPr>
            <w:tcW w:w="4798" w:type="dxa"/>
            <w:tcBorders/>
            <w:shd w:fill="FFFFFF" w:val="clear"/>
            <w:tcMar>
              <w:top w:w="0" w:type="dxa"/>
              <w:left w:w="0" w:type="dxa"/>
              <w:bottom w:w="0" w:type="dxa"/>
              <w:right w:w="0" w:type="dxa"/>
            </w:tcMar>
            <w:vAlign w:val="center"/>
          </w:tcPr>
          <w:p>
            <w:pPr>
              <w:pStyle w:val="TableContents"/>
              <w:bidi w:val="0"/>
              <w:spacing w:before="0" w:after="1"/>
              <w:jc w:val="left"/>
              <w:rPr>
                <w:rFonts w:ascii="Times New Roman" w:hAnsi="Times New Roman"/>
                <w:color w:val="000000"/>
                <w:sz w:val="20"/>
              </w:rPr>
            </w:pPr>
            <w:r>
              <w:rPr>
                <w:rFonts w:ascii="Times New Roman" w:hAnsi="Times New Roman"/>
                <w:color w:val="000000"/>
                <w:sz w:val="20"/>
              </w:rPr>
              <w:t>Net loss per share,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1"/>
              <w:jc w:val="left"/>
              <w:rPr/>
            </w:pPr>
            <w:r>
              <w:rPr/>
              <w:t> </w:t>
            </w:r>
          </w:p>
        </w:tc>
        <w:tc>
          <w:tcPr>
            <w:tcW w:w="211" w:type="dxa"/>
            <w:tcBorders>
              <w:bottom w:val="double" w:sz="4" w:space="0" w:color="000000"/>
            </w:tcBorders>
            <w:shd w:fill="FFFFFF" w:val="clear"/>
            <w:tcMar>
              <w:top w:w="0" w:type="dxa"/>
              <w:left w:w="0" w:type="dxa"/>
              <w:right w:w="0" w:type="dxa"/>
            </w:tcMar>
            <w:vAlign w:val="center"/>
          </w:tcPr>
          <w:p>
            <w:pPr>
              <w:pStyle w:val="TableContents"/>
              <w:bidi w:val="0"/>
              <w:spacing w:before="0" w:after="1"/>
              <w:jc w:val="right"/>
              <w:rPr>
                <w:rFonts w:ascii="Times New Roman" w:hAnsi="Times New Roman"/>
                <w:color w:val="000000"/>
                <w:sz w:val="20"/>
              </w:rPr>
            </w:pPr>
            <w:r>
              <w:rPr>
                <w:rFonts w:ascii="Times New Roman" w:hAnsi="Times New Roman"/>
                <w:color w:val="000000"/>
                <w:sz w:val="20"/>
              </w:rPr>
              <w:t>$</w:t>
            </w:r>
          </w:p>
        </w:tc>
        <w:tc>
          <w:tcPr>
            <w:tcW w:w="1036" w:type="dxa"/>
            <w:tcBorders>
              <w:bottom w:val="double" w:sz="4" w:space="0" w:color="000000"/>
            </w:tcBorders>
            <w:shd w:fill="FFFFFF" w:val="clear"/>
            <w:tcMar>
              <w:top w:w="0" w:type="dxa"/>
              <w:left w:w="0" w:type="dxa"/>
              <w:right w:w="0" w:type="dxa"/>
            </w:tcMar>
            <w:vAlign w:val="center"/>
          </w:tcPr>
          <w:p>
            <w:pPr>
              <w:pStyle w:val="TableContents"/>
              <w:bidi w:val="0"/>
              <w:spacing w:before="0" w:after="1"/>
              <w:jc w:val="right"/>
              <w:rPr>
                <w:rFonts w:ascii="Times New Roman" w:hAnsi="Times New Roman"/>
                <w:color w:val="000000"/>
                <w:sz w:val="20"/>
              </w:rPr>
            </w:pPr>
            <w:r>
              <w:rPr>
                <w:rFonts w:ascii="Times New Roman" w:hAnsi="Times New Roman"/>
                <w:color w:val="000000"/>
                <w:sz w:val="20"/>
              </w:rPr>
              <w:t>(0.33)</w:t>
            </w:r>
          </w:p>
        </w:tc>
        <w:tc>
          <w:tcPr>
            <w:tcW w:w="146" w:type="dxa"/>
            <w:tcBorders>
              <w:bottom w:val="double" w:sz="4" w:space="0" w:color="000000"/>
            </w:tcBorders>
            <w:shd w:fill="FFFFFF" w:val="clear"/>
            <w:tcMar>
              <w:top w:w="0" w:type="dxa"/>
              <w:left w:w="0" w:type="dxa"/>
              <w:right w:w="0" w:type="dxa"/>
            </w:tcMar>
            <w:vAlign w:val="center"/>
          </w:tcPr>
          <w:p>
            <w:pPr>
              <w:pStyle w:val="TableContents"/>
              <w:bidi w:val="0"/>
              <w:spacing w:before="0" w:after="1"/>
              <w:jc w:val="right"/>
              <w:rPr/>
            </w:pPr>
            <w:r>
              <w:rPr/>
              <w:t> </w:t>
            </w:r>
          </w:p>
        </w:tc>
        <w:tc>
          <w:tcPr>
            <w:tcW w:w="211" w:type="dxa"/>
            <w:tcBorders>
              <w:bottom w:val="double" w:sz="4" w:space="0" w:color="000000"/>
            </w:tcBorders>
            <w:shd w:fill="FFFFFF" w:val="clear"/>
            <w:tcMar>
              <w:top w:w="0" w:type="dxa"/>
              <w:left w:w="0" w:type="dxa"/>
              <w:right w:w="0" w:type="dxa"/>
            </w:tcMar>
            <w:vAlign w:val="center"/>
          </w:tcPr>
          <w:p>
            <w:pPr>
              <w:pStyle w:val="TableContents"/>
              <w:bidi w:val="0"/>
              <w:spacing w:before="0" w:after="1"/>
              <w:jc w:val="right"/>
              <w:rPr/>
            </w:pPr>
            <w:r>
              <w:rPr/>
              <w:t> </w:t>
            </w:r>
          </w:p>
        </w:tc>
        <w:tc>
          <w:tcPr>
            <w:tcW w:w="931" w:type="dxa"/>
            <w:tcBorders>
              <w:bottom w:val="double" w:sz="4" w:space="0" w:color="000000"/>
            </w:tcBorders>
            <w:shd w:fill="FFFFFF" w:val="clear"/>
            <w:tcMar>
              <w:top w:w="0" w:type="dxa"/>
              <w:left w:w="0" w:type="dxa"/>
              <w:right w:w="0" w:type="dxa"/>
            </w:tcMar>
            <w:vAlign w:val="center"/>
          </w:tcPr>
          <w:p>
            <w:pPr>
              <w:pStyle w:val="TableContents"/>
              <w:bidi w:val="0"/>
              <w:spacing w:before="0" w:after="1"/>
              <w:jc w:val="right"/>
              <w:rPr>
                <w:rFonts w:ascii="Times New Roman" w:hAnsi="Times New Roman"/>
                <w:color w:val="000000"/>
                <w:sz w:val="20"/>
              </w:rPr>
            </w:pPr>
            <w:r>
              <w:rPr>
                <w:rFonts w:ascii="Times New Roman" w:hAnsi="Times New Roman"/>
                <w:color w:val="000000"/>
                <w:sz w:val="20"/>
              </w:rPr>
              <w:t>(2.30)</w:t>
            </w:r>
          </w:p>
        </w:tc>
        <w:tc>
          <w:tcPr>
            <w:tcW w:w="146" w:type="dxa"/>
            <w:tcBorders>
              <w:bottom w:val="double" w:sz="4" w:space="0" w:color="000000"/>
            </w:tcBorders>
            <w:shd w:fill="FFFFFF" w:val="clear"/>
            <w:tcMar>
              <w:top w:w="0" w:type="dxa"/>
              <w:left w:w="0" w:type="dxa"/>
              <w:right w:w="0" w:type="dxa"/>
            </w:tcMar>
            <w:vAlign w:val="center"/>
          </w:tcPr>
          <w:p>
            <w:pPr>
              <w:pStyle w:val="TableContents"/>
              <w:bidi w:val="0"/>
              <w:spacing w:before="0" w:after="1"/>
              <w:jc w:val="right"/>
              <w:rPr/>
            </w:pPr>
            <w:r>
              <w:rPr/>
              <w:t> </w:t>
            </w:r>
          </w:p>
        </w:tc>
        <w:tc>
          <w:tcPr>
            <w:tcW w:w="211" w:type="dxa"/>
            <w:tcBorders>
              <w:bottom w:val="double" w:sz="4" w:space="0" w:color="000000"/>
            </w:tcBorders>
            <w:shd w:fill="FFFFFF" w:val="clear"/>
            <w:tcMar>
              <w:top w:w="0" w:type="dxa"/>
              <w:left w:w="0" w:type="dxa"/>
              <w:right w:w="0" w:type="dxa"/>
            </w:tcMar>
            <w:vAlign w:val="center"/>
          </w:tcPr>
          <w:p>
            <w:pPr>
              <w:pStyle w:val="TableContents"/>
              <w:bidi w:val="0"/>
              <w:spacing w:before="0" w:after="1"/>
              <w:jc w:val="right"/>
              <w:rPr>
                <w:rFonts w:ascii="Times New Roman" w:hAnsi="Times New Roman"/>
                <w:color w:val="000000"/>
                <w:sz w:val="20"/>
              </w:rPr>
            </w:pPr>
            <w:r>
              <w:rPr>
                <w:rFonts w:ascii="Times New Roman" w:hAnsi="Times New Roman"/>
                <w:color w:val="000000"/>
                <w:sz w:val="20"/>
              </w:rPr>
              <w:t>$</w:t>
            </w:r>
          </w:p>
        </w:tc>
        <w:tc>
          <w:tcPr>
            <w:tcW w:w="1036" w:type="dxa"/>
            <w:tcBorders>
              <w:bottom w:val="double" w:sz="4" w:space="0" w:color="000000"/>
            </w:tcBorders>
            <w:shd w:fill="FFFFFF" w:val="clear"/>
            <w:tcMar>
              <w:top w:w="0" w:type="dxa"/>
              <w:left w:w="0" w:type="dxa"/>
              <w:right w:w="0" w:type="dxa"/>
            </w:tcMar>
            <w:vAlign w:val="center"/>
          </w:tcPr>
          <w:p>
            <w:pPr>
              <w:pStyle w:val="TableContents"/>
              <w:bidi w:val="0"/>
              <w:spacing w:before="0" w:after="1"/>
              <w:jc w:val="right"/>
              <w:rPr>
                <w:rFonts w:ascii="Times New Roman" w:hAnsi="Times New Roman"/>
                <w:color w:val="000000"/>
                <w:sz w:val="20"/>
              </w:rPr>
            </w:pPr>
            <w:r>
              <w:rPr>
                <w:rFonts w:ascii="Times New Roman" w:hAnsi="Times New Roman"/>
                <w:color w:val="000000"/>
                <w:sz w:val="20"/>
              </w:rPr>
              <w:t>(0.89)</w:t>
            </w:r>
          </w:p>
        </w:tc>
        <w:tc>
          <w:tcPr>
            <w:tcW w:w="146" w:type="dxa"/>
            <w:tcBorders>
              <w:bottom w:val="double" w:sz="4" w:space="0" w:color="000000"/>
            </w:tcBorders>
            <w:shd w:fill="FFFFFF" w:val="clear"/>
            <w:tcMar>
              <w:top w:w="0" w:type="dxa"/>
              <w:left w:w="0" w:type="dxa"/>
              <w:right w:w="0" w:type="dxa"/>
            </w:tcMar>
            <w:vAlign w:val="center"/>
          </w:tcPr>
          <w:p>
            <w:pPr>
              <w:pStyle w:val="TableContents"/>
              <w:bidi w:val="0"/>
              <w:spacing w:before="0" w:after="1"/>
              <w:jc w:val="right"/>
              <w:rPr/>
            </w:pPr>
            <w:r>
              <w:rPr/>
              <w:t> </w:t>
            </w:r>
          </w:p>
        </w:tc>
        <w:tc>
          <w:tcPr>
            <w:tcW w:w="211" w:type="dxa"/>
            <w:tcBorders>
              <w:bottom w:val="double" w:sz="4" w:space="0" w:color="000000"/>
            </w:tcBorders>
            <w:shd w:fill="FFFFFF" w:val="clear"/>
            <w:tcMar>
              <w:top w:w="0" w:type="dxa"/>
              <w:left w:w="0" w:type="dxa"/>
              <w:right w:w="0" w:type="dxa"/>
            </w:tcMar>
            <w:vAlign w:val="center"/>
          </w:tcPr>
          <w:p>
            <w:pPr>
              <w:pStyle w:val="TableContents"/>
              <w:bidi w:val="0"/>
              <w:spacing w:before="0" w:after="1"/>
              <w:jc w:val="right"/>
              <w:rPr>
                <w:rFonts w:ascii="Times New Roman" w:hAnsi="Times New Roman"/>
                <w:color w:val="000000"/>
                <w:sz w:val="20"/>
              </w:rPr>
            </w:pPr>
            <w:r>
              <w:rPr>
                <w:rFonts w:ascii="Times New Roman" w:hAnsi="Times New Roman"/>
                <w:color w:val="000000"/>
                <w:sz w:val="20"/>
              </w:rPr>
              <w:t>$</w:t>
            </w:r>
          </w:p>
        </w:tc>
        <w:tc>
          <w:tcPr>
            <w:tcW w:w="976" w:type="dxa"/>
            <w:tcBorders>
              <w:bottom w:val="double" w:sz="4" w:space="0" w:color="000000"/>
            </w:tcBorders>
            <w:shd w:fill="FFFFFF" w:val="clear"/>
            <w:tcMar>
              <w:top w:w="0" w:type="dxa"/>
              <w:left w:w="0" w:type="dxa"/>
              <w:right w:w="0" w:type="dxa"/>
            </w:tcMar>
            <w:vAlign w:val="center"/>
          </w:tcPr>
          <w:p>
            <w:pPr>
              <w:pStyle w:val="TableContents"/>
              <w:bidi w:val="0"/>
              <w:spacing w:before="0" w:after="1"/>
              <w:ind w:left="0" w:right="0" w:firstLine="180"/>
              <w:jc w:val="right"/>
              <w:rPr>
                <w:rFonts w:ascii="Times New Roman" w:hAnsi="Times New Roman"/>
                <w:color w:val="000000"/>
                <w:sz w:val="20"/>
              </w:rPr>
            </w:pPr>
            <w:r>
              <w:rPr>
                <w:rFonts w:ascii="Times New Roman" w:hAnsi="Times New Roman"/>
                <w:color w:val="000000"/>
                <w:sz w:val="20"/>
              </w:rPr>
              <w:t>(4.76)</w:t>
            </w:r>
          </w:p>
        </w:tc>
      </w:tr>
      <w:tr>
        <w:trPr/>
        <w:tc>
          <w:tcPr>
            <w:tcW w:w="4798" w:type="dxa"/>
            <w:tcBorders/>
            <w:shd w:fill="CCEEFF" w:val="clear"/>
            <w:tcMar>
              <w:top w:w="0" w:type="dxa"/>
              <w:left w:w="0" w:type="dxa"/>
              <w:bottom w:w="0" w:type="dxa"/>
              <w:right w:w="0" w:type="dxa"/>
            </w:tcMar>
            <w:vAlign w:val="center"/>
          </w:tcPr>
          <w:p>
            <w:pPr>
              <w:pStyle w:val="TableContents"/>
              <w:bidi w:val="0"/>
              <w:spacing w:before="0" w:after="1"/>
              <w:ind w:left="0" w:right="0" w:firstLine="180"/>
              <w:jc w:val="left"/>
              <w:rPr>
                <w:rFonts w:ascii="Times New Roman" w:hAnsi="Times New Roman"/>
                <w:sz w:val="20"/>
              </w:rPr>
            </w:pPr>
            <w:r>
              <w:rPr>
                <w:rFonts w:ascii="Times New Roman" w:hAnsi="Times New Roman"/>
                <w:color w:val="000000"/>
                <w:sz w:val="20"/>
              </w:rPr>
              <w:t xml:space="preserve">Weighted average common shares outstanding, basic and diluted </w:t>
            </w:r>
            <w:r>
              <w:rPr>
                <w:rFonts w:ascii="Times New Roman" w:hAnsi="Times New Roman"/>
                <w:color w:val="000000"/>
                <w:sz w:val="13"/>
              </w:rPr>
              <w:t>(3)</w:t>
            </w:r>
          </w:p>
        </w:tc>
        <w:tc>
          <w:tcPr>
            <w:tcW w:w="146" w:type="dxa"/>
            <w:tcBorders/>
            <w:shd w:fill="CCEEFF" w:val="clear"/>
            <w:tcMar>
              <w:top w:w="0" w:type="dxa"/>
              <w:left w:w="0" w:type="dxa"/>
              <w:bottom w:w="0" w:type="dxa"/>
              <w:right w:w="0" w:type="dxa"/>
            </w:tcMar>
            <w:vAlign w:val="center"/>
          </w:tcPr>
          <w:p>
            <w:pPr>
              <w:pStyle w:val="TableContents"/>
              <w:bidi w:val="0"/>
              <w:spacing w:before="0" w:after="1"/>
              <w:jc w:val="left"/>
              <w:rPr/>
            </w:pPr>
            <w:r>
              <w:rPr/>
              <w:t> </w:t>
            </w:r>
          </w:p>
        </w:tc>
        <w:tc>
          <w:tcPr>
            <w:tcW w:w="211" w:type="dxa"/>
            <w:tcBorders>
              <w:bottom w:val="double" w:sz="4"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6" w:type="dxa"/>
            <w:tcBorders>
              <w:bottom w:val="double" w:sz="4" w:space="0" w:color="000000"/>
            </w:tcBorders>
            <w:shd w:fill="CCEEFF" w:val="clear"/>
            <w:tcMar>
              <w:top w:w="0" w:type="dxa"/>
              <w:left w:w="0" w:type="dxa"/>
              <w:right w:w="0" w:type="dxa"/>
            </w:tcMar>
            <w:vAlign w:val="center"/>
          </w:tcPr>
          <w:p>
            <w:pPr>
              <w:pStyle w:val="TableContents"/>
              <w:bidi w:val="0"/>
              <w:spacing w:before="0" w:after="1"/>
              <w:jc w:val="right"/>
              <w:rPr>
                <w:rFonts w:ascii="Times New Roman" w:hAnsi="Times New Roman"/>
                <w:color w:val="000000"/>
                <w:sz w:val="20"/>
              </w:rPr>
            </w:pPr>
            <w:r>
              <w:rPr>
                <w:rFonts w:ascii="Times New Roman" w:hAnsi="Times New Roman"/>
                <w:color w:val="000000"/>
                <w:sz w:val="20"/>
              </w:rPr>
              <w:t>19,404,688</w:t>
            </w:r>
          </w:p>
        </w:tc>
        <w:tc>
          <w:tcPr>
            <w:tcW w:w="146" w:type="dxa"/>
            <w:tcBorders>
              <w:bottom w:val="double" w:sz="4" w:space="0" w:color="000000"/>
            </w:tcBorders>
            <w:shd w:fill="CCEEFF" w:val="clear"/>
            <w:tcMar>
              <w:top w:w="0" w:type="dxa"/>
              <w:left w:w="0" w:type="dxa"/>
              <w:right w:w="0" w:type="dxa"/>
            </w:tcMar>
            <w:vAlign w:val="center"/>
          </w:tcPr>
          <w:p>
            <w:pPr>
              <w:pStyle w:val="TableContents"/>
              <w:bidi w:val="0"/>
              <w:spacing w:before="0" w:after="1"/>
              <w:jc w:val="right"/>
              <w:rPr/>
            </w:pPr>
            <w:r>
              <w:rPr/>
              <w:t> </w:t>
            </w:r>
          </w:p>
        </w:tc>
        <w:tc>
          <w:tcPr>
            <w:tcW w:w="211" w:type="dxa"/>
            <w:tcBorders>
              <w:bottom w:val="double" w:sz="4" w:space="0" w:color="000000"/>
            </w:tcBorders>
            <w:shd w:fill="CCEEFF" w:val="clear"/>
            <w:tcMar>
              <w:top w:w="0" w:type="dxa"/>
              <w:left w:w="0" w:type="dxa"/>
              <w:right w:w="0" w:type="dxa"/>
            </w:tcMar>
            <w:vAlign w:val="center"/>
          </w:tcPr>
          <w:p>
            <w:pPr>
              <w:pStyle w:val="TableContents"/>
              <w:bidi w:val="0"/>
              <w:spacing w:before="0" w:after="1"/>
              <w:jc w:val="right"/>
              <w:rPr/>
            </w:pPr>
            <w:r>
              <w:rPr/>
              <w:t> </w:t>
            </w:r>
          </w:p>
        </w:tc>
        <w:tc>
          <w:tcPr>
            <w:tcW w:w="931" w:type="dxa"/>
            <w:tcBorders>
              <w:bottom w:val="double" w:sz="4" w:space="0" w:color="000000"/>
            </w:tcBorders>
            <w:shd w:fill="CCEEFF" w:val="clear"/>
            <w:tcMar>
              <w:top w:w="0" w:type="dxa"/>
              <w:left w:w="0" w:type="dxa"/>
              <w:right w:w="0" w:type="dxa"/>
            </w:tcMar>
            <w:vAlign w:val="center"/>
          </w:tcPr>
          <w:p>
            <w:pPr>
              <w:pStyle w:val="TableContents"/>
              <w:bidi w:val="0"/>
              <w:spacing w:before="0" w:after="1"/>
              <w:jc w:val="right"/>
              <w:rPr>
                <w:rFonts w:ascii="Times New Roman" w:hAnsi="Times New Roman"/>
                <w:color w:val="000000"/>
                <w:sz w:val="20"/>
              </w:rPr>
            </w:pPr>
            <w:r>
              <w:rPr>
                <w:rFonts w:ascii="Times New Roman" w:hAnsi="Times New Roman"/>
                <w:color w:val="000000"/>
                <w:sz w:val="20"/>
              </w:rPr>
              <w:t>6,889,119</w:t>
            </w:r>
          </w:p>
        </w:tc>
        <w:tc>
          <w:tcPr>
            <w:tcW w:w="146" w:type="dxa"/>
            <w:tcBorders>
              <w:bottom w:val="double" w:sz="4" w:space="0" w:color="000000"/>
            </w:tcBorders>
            <w:shd w:fill="CCEEFF" w:val="clear"/>
            <w:tcMar>
              <w:top w:w="0" w:type="dxa"/>
              <w:left w:w="0" w:type="dxa"/>
              <w:right w:w="0" w:type="dxa"/>
            </w:tcMar>
            <w:vAlign w:val="center"/>
          </w:tcPr>
          <w:p>
            <w:pPr>
              <w:pStyle w:val="TableContents"/>
              <w:bidi w:val="0"/>
              <w:spacing w:before="0" w:after="1"/>
              <w:jc w:val="right"/>
              <w:rPr/>
            </w:pPr>
            <w:r>
              <w:rPr/>
              <w:t> </w:t>
            </w:r>
          </w:p>
        </w:tc>
        <w:tc>
          <w:tcPr>
            <w:tcW w:w="211" w:type="dxa"/>
            <w:tcBorders>
              <w:bottom w:val="double" w:sz="4"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6" w:type="dxa"/>
            <w:tcBorders>
              <w:bottom w:val="double" w:sz="4" w:space="0" w:color="000000"/>
            </w:tcBorders>
            <w:shd w:fill="CCEEFF" w:val="clear"/>
            <w:tcMar>
              <w:top w:w="0" w:type="dxa"/>
              <w:left w:w="0" w:type="dxa"/>
              <w:right w:w="0" w:type="dxa"/>
            </w:tcMar>
            <w:vAlign w:val="center"/>
          </w:tcPr>
          <w:p>
            <w:pPr>
              <w:pStyle w:val="TableContents"/>
              <w:bidi w:val="0"/>
              <w:spacing w:before="0" w:after="1"/>
              <w:jc w:val="right"/>
              <w:rPr>
                <w:rFonts w:ascii="Times New Roman" w:hAnsi="Times New Roman"/>
                <w:color w:val="000000"/>
                <w:sz w:val="20"/>
              </w:rPr>
            </w:pPr>
            <w:r>
              <w:rPr>
                <w:rFonts w:ascii="Times New Roman" w:hAnsi="Times New Roman"/>
                <w:color w:val="000000"/>
                <w:sz w:val="20"/>
              </w:rPr>
              <w:t>17,884,542</w:t>
            </w:r>
          </w:p>
        </w:tc>
        <w:tc>
          <w:tcPr>
            <w:tcW w:w="146" w:type="dxa"/>
            <w:tcBorders>
              <w:bottom w:val="double" w:sz="4" w:space="0" w:color="000000"/>
            </w:tcBorders>
            <w:shd w:fill="CCEEFF" w:val="clear"/>
            <w:tcMar>
              <w:top w:w="0" w:type="dxa"/>
              <w:left w:w="0" w:type="dxa"/>
              <w:right w:w="0" w:type="dxa"/>
            </w:tcMar>
            <w:vAlign w:val="center"/>
          </w:tcPr>
          <w:p>
            <w:pPr>
              <w:pStyle w:val="TableContents"/>
              <w:bidi w:val="0"/>
              <w:spacing w:before="0" w:after="1"/>
              <w:jc w:val="right"/>
              <w:rPr/>
            </w:pPr>
            <w:r>
              <w:rPr/>
              <w:t> </w:t>
            </w:r>
          </w:p>
        </w:tc>
        <w:tc>
          <w:tcPr>
            <w:tcW w:w="211" w:type="dxa"/>
            <w:tcBorders>
              <w:bottom w:val="double" w:sz="4"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76" w:type="dxa"/>
            <w:tcBorders>
              <w:bottom w:val="double" w:sz="4" w:space="0" w:color="000000"/>
            </w:tcBorders>
            <w:shd w:fill="CCEEFF" w:val="clear"/>
            <w:tcMar>
              <w:top w:w="0" w:type="dxa"/>
              <w:left w:w="0" w:type="dxa"/>
              <w:right w:w="0" w:type="dxa"/>
            </w:tcMar>
            <w:vAlign w:val="center"/>
          </w:tcPr>
          <w:p>
            <w:pPr>
              <w:pStyle w:val="TableContents"/>
              <w:bidi w:val="0"/>
              <w:spacing w:before="0" w:after="1"/>
              <w:jc w:val="right"/>
              <w:rPr>
                <w:rFonts w:ascii="Times New Roman" w:hAnsi="Times New Roman"/>
                <w:color w:val="000000"/>
                <w:sz w:val="20"/>
              </w:rPr>
            </w:pPr>
            <w:r>
              <w:rPr>
                <w:rFonts w:ascii="Times New Roman" w:hAnsi="Times New Roman"/>
                <w:color w:val="000000"/>
                <w:sz w:val="20"/>
              </w:rPr>
              <w:t>6,116,721</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On March 13, 2026, the company effected a 1-for-14 reverse stock split of its common stock. All share amounts and per share amounts in this press release have been adjusted retroactively to reflect the reverse stock split for the periods presented.</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Operating expenses include the following amounts of non-cash stock-based compensation expense:</w:t>
      </w:r>
    </w:p>
    <w:p>
      <w:pPr>
        <w:pStyle w:val="TextBody"/>
        <w:bidi w:val="0"/>
        <w:jc w:val="left"/>
        <w:rPr/>
      </w:pPr>
      <w:r>
        <w:rPr/>
        <w:t> </w:t>
      </w:r>
    </w:p>
    <w:tbl>
      <w:tblPr>
        <w:tblW w:w="7928" w:type="dxa"/>
        <w:jc w:val="left"/>
        <w:tblInd w:w="0" w:type="dxa"/>
        <w:tblLayout w:type="fixed"/>
        <w:tblCellMar>
          <w:top w:w="28" w:type="dxa"/>
          <w:left w:w="28" w:type="dxa"/>
          <w:bottom w:w="28" w:type="dxa"/>
          <w:right w:w="28" w:type="dxa"/>
        </w:tblCellMar>
      </w:tblPr>
      <w:tblGrid>
        <w:gridCol w:w="3811"/>
        <w:gridCol w:w="146"/>
        <w:gridCol w:w="211"/>
        <w:gridCol w:w="571"/>
        <w:gridCol w:w="146"/>
        <w:gridCol w:w="211"/>
        <w:gridCol w:w="571"/>
        <w:gridCol w:w="146"/>
        <w:gridCol w:w="211"/>
        <w:gridCol w:w="571"/>
        <w:gridCol w:w="146"/>
        <w:gridCol w:w="211"/>
        <w:gridCol w:w="976"/>
      </w:tblGrid>
      <w:tr>
        <w:trPr/>
        <w:tc>
          <w:tcPr>
            <w:tcW w:w="3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3811" w:type="dxa"/>
            <w:tcBorders/>
            <w:tcMar>
              <w:top w:w="0" w:type="dxa"/>
              <w:left w:w="0" w:type="dxa"/>
              <w:bottom w:w="0" w:type="dxa"/>
              <w:right w:w="0" w:type="dxa"/>
            </w:tcMar>
            <w:vAlign w:val="center"/>
          </w:tcPr>
          <w:p>
            <w:pPr>
              <w:pStyle w:val="TableContents"/>
              <w:bidi w:val="0"/>
              <w:spacing w:before="0" w:after="1"/>
              <w:jc w:val="left"/>
              <w:rPr/>
            </w:pPr>
            <w:r>
              <w:rPr/>
              <w:t> </w:t>
            </w:r>
          </w:p>
        </w:tc>
        <w:tc>
          <w:tcPr>
            <w:tcW w:w="146" w:type="dxa"/>
            <w:tcBorders/>
            <w:tcMar>
              <w:top w:w="0" w:type="dxa"/>
              <w:left w:w="0" w:type="dxa"/>
              <w:bottom w:w="0" w:type="dxa"/>
              <w:right w:w="0" w:type="dxa"/>
            </w:tcMar>
            <w:vAlign w:val="center"/>
          </w:tcPr>
          <w:p>
            <w:pPr>
              <w:pStyle w:val="TableContents"/>
              <w:bidi w:val="0"/>
              <w:spacing w:before="0" w:after="1"/>
              <w:jc w:val="center"/>
              <w:rPr/>
            </w:pPr>
            <w:r>
              <w:rPr/>
              <w:t> </w:t>
            </w:r>
          </w:p>
        </w:tc>
        <w:tc>
          <w:tcPr>
            <w:tcW w:w="1710" w:type="dxa"/>
            <w:gridSpan w:val="5"/>
            <w:tcBorders>
              <w:bottom w:val="single" w:sz="4" w:space="0" w:color="000000"/>
            </w:tcBorders>
            <w:tcMar>
              <w:top w:w="0" w:type="dxa"/>
              <w:left w:w="0" w:type="dxa"/>
              <w:right w:w="0" w:type="dxa"/>
            </w:tcMar>
            <w:vAlign w:val="center"/>
          </w:tcPr>
          <w:p>
            <w:pPr>
              <w:pStyle w:val="TableContents"/>
              <w:bidi w:val="0"/>
              <w:spacing w:before="0" w:after="1"/>
              <w:jc w:val="center"/>
              <w:rPr>
                <w:rFonts w:ascii="Times New Roman" w:hAnsi="Times New Roman"/>
                <w:sz w:val="16"/>
              </w:rPr>
            </w:pPr>
            <w:r>
              <w:rPr>
                <w:rFonts w:ascii="Times New Roman" w:hAnsi="Times New Roman"/>
                <w:b/>
                <w:color w:val="000000"/>
                <w:sz w:val="16"/>
              </w:rPr>
              <w:t>Three Months Ended</w:t>
            </w:r>
            <w:r>
              <w:rPr>
                <w:rFonts w:ascii="Times New Roman" w:hAnsi="Times New Roman"/>
                <w:color w:val="000000"/>
                <w:sz w:val="16"/>
              </w:rPr>
              <w:t xml:space="preserve"> </w:t>
            </w:r>
          </w:p>
          <w:p>
            <w:pPr>
              <w:pStyle w:val="TableContents"/>
              <w:bidi w:val="0"/>
              <w:spacing w:before="0" w:after="1"/>
              <w:jc w:val="center"/>
              <w:rPr>
                <w:rFonts w:ascii="Times New Roman" w:hAnsi="Times New Roman"/>
                <w:sz w:val="16"/>
              </w:rPr>
            </w:pPr>
            <w:r>
              <w:rPr>
                <w:rFonts w:ascii="Times New Roman" w:hAnsi="Times New Roman"/>
                <w:b/>
                <w:color w:val="000000"/>
                <w:sz w:val="16"/>
              </w:rPr>
              <w:t>June 30,</w:t>
            </w:r>
            <w:r>
              <w:rPr>
                <w:rFonts w:ascii="Times New Roman" w:hAnsi="Times New Roman"/>
                <w:color w:val="000000"/>
                <w:sz w:val="16"/>
              </w:rPr>
              <w:t xml:space="preserve"> </w:t>
            </w:r>
          </w:p>
        </w:tc>
        <w:tc>
          <w:tcPr>
            <w:tcW w:w="146" w:type="dxa"/>
            <w:tcBorders>
              <w:bottom w:val="single" w:sz="4" w:space="0" w:color="000000"/>
            </w:tcBorders>
            <w:tcMar>
              <w:top w:w="0" w:type="dxa"/>
              <w:left w:w="0" w:type="dxa"/>
              <w:right w:w="0" w:type="dxa"/>
            </w:tcMar>
            <w:vAlign w:val="center"/>
          </w:tcPr>
          <w:p>
            <w:pPr>
              <w:pStyle w:val="TableContents"/>
              <w:bidi w:val="0"/>
              <w:spacing w:before="0" w:after="1"/>
              <w:jc w:val="center"/>
              <w:rPr/>
            </w:pPr>
            <w:r>
              <w:rPr/>
              <w:t> </w:t>
            </w:r>
          </w:p>
        </w:tc>
        <w:tc>
          <w:tcPr>
            <w:tcW w:w="2115" w:type="dxa"/>
            <w:gridSpan w:val="5"/>
            <w:tcBorders>
              <w:bottom w:val="single" w:sz="4" w:space="0" w:color="000000"/>
            </w:tcBorders>
            <w:tcMar>
              <w:top w:w="0" w:type="dxa"/>
              <w:left w:w="0" w:type="dxa"/>
              <w:right w:w="0" w:type="dxa"/>
            </w:tcMar>
            <w:vAlign w:val="center"/>
          </w:tcPr>
          <w:p>
            <w:pPr>
              <w:pStyle w:val="TableContents"/>
              <w:bidi w:val="0"/>
              <w:spacing w:before="0" w:after="1"/>
              <w:jc w:val="center"/>
              <w:rPr>
                <w:rFonts w:ascii="Times New Roman" w:hAnsi="Times New Roman"/>
                <w:sz w:val="16"/>
              </w:rPr>
            </w:pPr>
            <w:r>
              <w:rPr>
                <w:rFonts w:ascii="Times New Roman" w:hAnsi="Times New Roman"/>
                <w:b/>
                <w:color w:val="000000"/>
                <w:sz w:val="16"/>
              </w:rPr>
              <w:t>Six Months Ended</w:t>
            </w:r>
            <w:r>
              <w:rPr>
                <w:rFonts w:ascii="Times New Roman" w:hAnsi="Times New Roman"/>
                <w:color w:val="000000"/>
                <w:sz w:val="16"/>
              </w:rPr>
              <w:t xml:space="preserve"> </w:t>
            </w:r>
          </w:p>
          <w:p>
            <w:pPr>
              <w:pStyle w:val="TableContents"/>
              <w:bidi w:val="0"/>
              <w:spacing w:before="0" w:after="1"/>
              <w:jc w:val="center"/>
              <w:rPr>
                <w:rFonts w:ascii="Times New Roman" w:hAnsi="Times New Roman"/>
                <w:sz w:val="16"/>
              </w:rPr>
            </w:pPr>
            <w:r>
              <w:rPr>
                <w:rFonts w:ascii="Times New Roman" w:hAnsi="Times New Roman"/>
                <w:b/>
                <w:color w:val="000000"/>
                <w:sz w:val="16"/>
              </w:rPr>
              <w:t>June 30,</w:t>
            </w:r>
            <w:r>
              <w:rPr>
                <w:rFonts w:ascii="Times New Roman" w:hAnsi="Times New Roman"/>
                <w:color w:val="000000"/>
                <w:sz w:val="16"/>
              </w:rPr>
              <w:t xml:space="preserve"> </w:t>
            </w:r>
          </w:p>
        </w:tc>
      </w:tr>
      <w:tr>
        <w:trPr/>
        <w:tc>
          <w:tcPr>
            <w:tcW w:w="3811" w:type="dxa"/>
            <w:tcBorders/>
            <w:tcMar>
              <w:top w:w="0" w:type="dxa"/>
              <w:left w:w="0" w:type="dxa"/>
              <w:bottom w:w="0" w:type="dxa"/>
              <w:right w:w="0" w:type="dxa"/>
            </w:tcMar>
            <w:vAlign w:val="center"/>
          </w:tcPr>
          <w:p>
            <w:pPr>
              <w:pStyle w:val="TableContents"/>
              <w:bidi w:val="0"/>
              <w:spacing w:before="0" w:after="1"/>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1"/>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1"/>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1"/>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bottom w:val="single" w:sz="4" w:space="0" w:color="000000"/>
            </w:tcBorders>
            <w:tcMar>
              <w:top w:w="0" w:type="dxa"/>
              <w:left w:w="0" w:type="dxa"/>
              <w:right w:w="0" w:type="dxa"/>
            </w:tcMar>
            <w:vAlign w:val="center"/>
          </w:tcPr>
          <w:p>
            <w:pPr>
              <w:pStyle w:val="TableContents"/>
              <w:bidi w:val="0"/>
              <w:spacing w:before="0" w:after="1"/>
              <w:jc w:val="center"/>
              <w:rPr>
                <w:rFonts w:ascii="Times New Roman" w:hAnsi="Times New Roman"/>
                <w:b/>
                <w:color w:val="000000"/>
                <w:sz w:val="16"/>
              </w:rPr>
            </w:pPr>
            <w:r>
              <w:rPr>
                <w:rFonts w:ascii="Times New Roman" w:hAnsi="Times New Roman"/>
                <w:b/>
                <w:color w:val="000000"/>
                <w:sz w:val="16"/>
              </w:rPr>
              <w:t>2025</w:t>
            </w:r>
          </w:p>
        </w:tc>
      </w:tr>
      <w:tr>
        <w:trPr/>
        <w:tc>
          <w:tcPr>
            <w:tcW w:w="3811" w:type="dxa"/>
            <w:tcBorders/>
            <w:shd w:fill="CCEEFF" w:val="clear"/>
            <w:tcMar>
              <w:top w:w="0" w:type="dxa"/>
              <w:left w:w="0" w:type="dxa"/>
              <w:bottom w:w="0" w:type="dxa"/>
              <w:right w:w="0" w:type="dxa"/>
            </w:tcMar>
            <w:vAlign w:val="center"/>
          </w:tcPr>
          <w:p>
            <w:pPr>
              <w:pStyle w:val="TableContents"/>
              <w:bidi w:val="0"/>
              <w:spacing w:before="0" w:after="1"/>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CEEFF" w:val="clear"/>
            <w:tcMar>
              <w:top w:w="0" w:type="dxa"/>
              <w:left w:w="0" w:type="dxa"/>
              <w:bottom w:w="0" w:type="dxa"/>
              <w:right w:w="0" w:type="dxa"/>
            </w:tcMar>
            <w:vAlign w:val="center"/>
          </w:tcPr>
          <w:p>
            <w:pPr>
              <w:pStyle w:val="TableContents"/>
              <w:bidi w:val="0"/>
              <w:spacing w:before="0" w:after="1"/>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1"/>
              <w:jc w:val="left"/>
              <w:rPr>
                <w:rFonts w:ascii="Times New Roman" w:hAnsi="Times New Roman"/>
                <w:color w:val="000000"/>
                <w:sz w:val="20"/>
              </w:rPr>
            </w:pPr>
            <w:r>
              <w:rPr>
                <w:rFonts w:ascii="Times New Roman" w:hAnsi="Times New Roman"/>
                <w:color w:val="000000"/>
                <w:sz w:val="20"/>
              </w:rPr>
              <w:t>$</w:t>
            </w:r>
          </w:p>
        </w:tc>
        <w:tc>
          <w:tcPr>
            <w:tcW w:w="571" w:type="dxa"/>
            <w:tcBorders/>
            <w:shd w:fill="CCEEFF" w:val="clear"/>
            <w:tcMar>
              <w:top w:w="0" w:type="dxa"/>
              <w:left w:w="0" w:type="dxa"/>
              <w:bottom w:w="0" w:type="dxa"/>
              <w:right w:w="0" w:type="dxa"/>
            </w:tcMar>
            <w:vAlign w:val="center"/>
          </w:tcPr>
          <w:p>
            <w:pPr>
              <w:pStyle w:val="TableContents"/>
              <w:bidi w:val="0"/>
              <w:spacing w:before="0" w:after="1"/>
              <w:jc w:val="right"/>
              <w:rPr>
                <w:rFonts w:ascii="Times New Roman" w:hAnsi="Times New Roman"/>
                <w:color w:val="000000"/>
                <w:sz w:val="20"/>
              </w:rPr>
            </w:pPr>
            <w:r>
              <w:rPr>
                <w:rFonts w:ascii="Times New Roman" w:hAnsi="Times New Roman"/>
                <w:color w:val="000000"/>
                <w:sz w:val="20"/>
              </w:rPr>
              <w:t>524</w:t>
            </w:r>
          </w:p>
        </w:tc>
        <w:tc>
          <w:tcPr>
            <w:tcW w:w="146" w:type="dxa"/>
            <w:tcBorders/>
            <w:shd w:fill="CCEEFF" w:val="clear"/>
            <w:tcMar>
              <w:top w:w="0" w:type="dxa"/>
              <w:left w:w="0" w:type="dxa"/>
              <w:bottom w:w="0" w:type="dxa"/>
              <w:right w:w="0" w:type="dxa"/>
            </w:tcMar>
            <w:vAlign w:val="center"/>
          </w:tcPr>
          <w:p>
            <w:pPr>
              <w:pStyle w:val="TableContents"/>
              <w:bidi w:val="0"/>
              <w:spacing w:before="0" w:after="1"/>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1"/>
              <w:jc w:val="left"/>
              <w:rPr>
                <w:rFonts w:ascii="Times New Roman" w:hAnsi="Times New Roman"/>
                <w:color w:val="000000"/>
                <w:sz w:val="20"/>
              </w:rPr>
            </w:pPr>
            <w:r>
              <w:rPr>
                <w:rFonts w:ascii="Times New Roman" w:hAnsi="Times New Roman"/>
                <w:color w:val="000000"/>
                <w:sz w:val="20"/>
              </w:rPr>
              <w:t>$</w:t>
            </w:r>
          </w:p>
        </w:tc>
        <w:tc>
          <w:tcPr>
            <w:tcW w:w="571" w:type="dxa"/>
            <w:tcBorders/>
            <w:shd w:fill="CCEEFF" w:val="clear"/>
            <w:tcMar>
              <w:top w:w="0" w:type="dxa"/>
              <w:left w:w="0" w:type="dxa"/>
              <w:bottom w:w="0" w:type="dxa"/>
              <w:right w:w="0" w:type="dxa"/>
            </w:tcMar>
            <w:vAlign w:val="center"/>
          </w:tcPr>
          <w:p>
            <w:pPr>
              <w:pStyle w:val="TableContents"/>
              <w:bidi w:val="0"/>
              <w:spacing w:before="0" w:after="1"/>
              <w:jc w:val="right"/>
              <w:rPr>
                <w:rFonts w:ascii="Times New Roman" w:hAnsi="Times New Roman"/>
                <w:color w:val="000000"/>
                <w:sz w:val="20"/>
              </w:rPr>
            </w:pPr>
            <w:r>
              <w:rPr>
                <w:rFonts w:ascii="Times New Roman" w:hAnsi="Times New Roman"/>
                <w:color w:val="000000"/>
                <w:sz w:val="20"/>
              </w:rPr>
              <w:t>346</w:t>
            </w:r>
          </w:p>
        </w:tc>
        <w:tc>
          <w:tcPr>
            <w:tcW w:w="146" w:type="dxa"/>
            <w:tcBorders/>
            <w:shd w:fill="CCEEFF" w:val="clear"/>
            <w:tcMar>
              <w:top w:w="0" w:type="dxa"/>
              <w:left w:w="0" w:type="dxa"/>
              <w:bottom w:w="0" w:type="dxa"/>
              <w:right w:w="0" w:type="dxa"/>
            </w:tcMar>
            <w:vAlign w:val="center"/>
          </w:tcPr>
          <w:p>
            <w:pPr>
              <w:pStyle w:val="TableContents"/>
              <w:bidi w:val="0"/>
              <w:spacing w:before="0" w:after="1"/>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1"/>
              <w:jc w:val="left"/>
              <w:rPr>
                <w:rFonts w:ascii="Times New Roman" w:hAnsi="Times New Roman"/>
                <w:color w:val="000000"/>
                <w:sz w:val="20"/>
              </w:rPr>
            </w:pPr>
            <w:r>
              <w:rPr>
                <w:rFonts w:ascii="Times New Roman" w:hAnsi="Times New Roman"/>
                <w:color w:val="000000"/>
                <w:sz w:val="20"/>
              </w:rPr>
              <w:t>$</w:t>
            </w:r>
          </w:p>
        </w:tc>
        <w:tc>
          <w:tcPr>
            <w:tcW w:w="571" w:type="dxa"/>
            <w:tcBorders/>
            <w:shd w:fill="CCEEFF" w:val="clear"/>
            <w:tcMar>
              <w:top w:w="0" w:type="dxa"/>
              <w:left w:w="0" w:type="dxa"/>
              <w:bottom w:w="0" w:type="dxa"/>
              <w:right w:w="0" w:type="dxa"/>
            </w:tcMar>
            <w:vAlign w:val="center"/>
          </w:tcPr>
          <w:p>
            <w:pPr>
              <w:pStyle w:val="TableContents"/>
              <w:bidi w:val="0"/>
              <w:spacing w:before="0" w:after="1"/>
              <w:jc w:val="right"/>
              <w:rPr>
                <w:rFonts w:ascii="Times New Roman" w:hAnsi="Times New Roman"/>
                <w:color w:val="000000"/>
                <w:sz w:val="20"/>
              </w:rPr>
            </w:pPr>
            <w:r>
              <w:rPr>
                <w:rFonts w:ascii="Times New Roman" w:hAnsi="Times New Roman"/>
                <w:color w:val="000000"/>
                <w:sz w:val="20"/>
              </w:rPr>
              <w:t>1,316</w:t>
            </w:r>
          </w:p>
        </w:tc>
        <w:tc>
          <w:tcPr>
            <w:tcW w:w="146" w:type="dxa"/>
            <w:tcBorders/>
            <w:shd w:fill="CCEEFF" w:val="clear"/>
            <w:tcMar>
              <w:top w:w="0" w:type="dxa"/>
              <w:left w:w="0" w:type="dxa"/>
              <w:bottom w:w="0" w:type="dxa"/>
              <w:right w:w="0" w:type="dxa"/>
            </w:tcMar>
            <w:vAlign w:val="center"/>
          </w:tcPr>
          <w:p>
            <w:pPr>
              <w:pStyle w:val="TableContents"/>
              <w:bidi w:val="0"/>
              <w:spacing w:before="0" w:after="1"/>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1"/>
              <w:jc w:val="left"/>
              <w:rPr>
                <w:rFonts w:ascii="Times New Roman" w:hAnsi="Times New Roman"/>
                <w:color w:val="000000"/>
                <w:sz w:val="20"/>
              </w:rPr>
            </w:pPr>
            <w:r>
              <w:rPr>
                <w:rFonts w:ascii="Times New Roman" w:hAnsi="Times New Roman"/>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before="0" w:after="1"/>
              <w:jc w:val="right"/>
              <w:rPr>
                <w:rFonts w:ascii="Times New Roman" w:hAnsi="Times New Roman"/>
                <w:color w:val="000000"/>
                <w:sz w:val="20"/>
              </w:rPr>
            </w:pPr>
            <w:r>
              <w:rPr>
                <w:rFonts w:ascii="Times New Roman" w:hAnsi="Times New Roman"/>
                <w:color w:val="000000"/>
                <w:sz w:val="20"/>
              </w:rPr>
              <w:t>735</w:t>
            </w:r>
          </w:p>
        </w:tc>
      </w:tr>
      <w:tr>
        <w:trPr/>
        <w:tc>
          <w:tcPr>
            <w:tcW w:w="3811" w:type="dxa"/>
            <w:tcBorders/>
            <w:tcMar>
              <w:top w:w="0" w:type="dxa"/>
              <w:left w:w="0" w:type="dxa"/>
              <w:bottom w:w="0" w:type="dxa"/>
              <w:right w:w="0" w:type="dxa"/>
            </w:tcMar>
            <w:vAlign w:val="center"/>
          </w:tcPr>
          <w:p>
            <w:pPr>
              <w:pStyle w:val="TableContents"/>
              <w:bidi w:val="0"/>
              <w:spacing w:before="0" w:after="1"/>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tcMar>
              <w:top w:w="0" w:type="dxa"/>
              <w:left w:w="0" w:type="dxa"/>
              <w:bottom w:w="0" w:type="dxa"/>
              <w:right w:w="0" w:type="dxa"/>
            </w:tcMar>
            <w:vAlign w:val="center"/>
          </w:tcPr>
          <w:p>
            <w:pPr>
              <w:pStyle w:val="TableContents"/>
              <w:bidi w:val="0"/>
              <w:spacing w:before="0" w:after="1"/>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71" w:type="dxa"/>
            <w:tcBorders>
              <w:bottom w:val="single" w:sz="4" w:space="0" w:color="000000"/>
            </w:tcBorders>
            <w:tcMar>
              <w:top w:w="0" w:type="dxa"/>
              <w:left w:w="0" w:type="dxa"/>
              <w:right w:w="0" w:type="dxa"/>
            </w:tcMar>
            <w:vAlign w:val="center"/>
          </w:tcPr>
          <w:p>
            <w:pPr>
              <w:pStyle w:val="TableContents"/>
              <w:bidi w:val="0"/>
              <w:spacing w:before="0" w:after="1"/>
              <w:jc w:val="right"/>
              <w:rPr>
                <w:rFonts w:ascii="Times New Roman" w:hAnsi="Times New Roman"/>
                <w:color w:val="000000"/>
                <w:sz w:val="20"/>
              </w:rPr>
            </w:pPr>
            <w:r>
              <w:rPr>
                <w:rFonts w:ascii="Times New Roman" w:hAnsi="Times New Roman"/>
                <w:color w:val="000000"/>
                <w:sz w:val="20"/>
              </w:rPr>
              <w:t>1,074</w:t>
            </w:r>
          </w:p>
        </w:tc>
        <w:tc>
          <w:tcPr>
            <w:tcW w:w="146" w:type="dxa"/>
            <w:tcBorders>
              <w:bottom w:val="single" w:sz="4" w:space="0" w:color="000000"/>
            </w:tcBorders>
            <w:tcMar>
              <w:top w:w="0" w:type="dxa"/>
              <w:left w:w="0" w:type="dxa"/>
              <w:right w:w="0" w:type="dxa"/>
            </w:tcMar>
            <w:vAlign w:val="center"/>
          </w:tcPr>
          <w:p>
            <w:pPr>
              <w:pStyle w:val="TableContents"/>
              <w:bidi w:val="0"/>
              <w:spacing w:before="0" w:after="1"/>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71" w:type="dxa"/>
            <w:tcBorders>
              <w:bottom w:val="single" w:sz="4" w:space="0" w:color="000000"/>
            </w:tcBorders>
            <w:tcMar>
              <w:top w:w="0" w:type="dxa"/>
              <w:left w:w="0" w:type="dxa"/>
              <w:right w:w="0" w:type="dxa"/>
            </w:tcMar>
            <w:vAlign w:val="center"/>
          </w:tcPr>
          <w:p>
            <w:pPr>
              <w:pStyle w:val="TableContents"/>
              <w:bidi w:val="0"/>
              <w:spacing w:before="0" w:after="1"/>
              <w:jc w:val="right"/>
              <w:rPr>
                <w:rFonts w:ascii="Times New Roman" w:hAnsi="Times New Roman"/>
                <w:color w:val="000000"/>
                <w:sz w:val="20"/>
              </w:rPr>
            </w:pPr>
            <w:r>
              <w:rPr>
                <w:rFonts w:ascii="Times New Roman" w:hAnsi="Times New Roman"/>
                <w:color w:val="000000"/>
                <w:sz w:val="20"/>
              </w:rPr>
              <w:t>1,005</w:t>
            </w:r>
          </w:p>
        </w:tc>
        <w:tc>
          <w:tcPr>
            <w:tcW w:w="146" w:type="dxa"/>
            <w:tcBorders>
              <w:bottom w:val="single" w:sz="4" w:space="0" w:color="000000"/>
            </w:tcBorders>
            <w:tcMar>
              <w:top w:w="0" w:type="dxa"/>
              <w:left w:w="0" w:type="dxa"/>
              <w:right w:w="0" w:type="dxa"/>
            </w:tcMar>
            <w:vAlign w:val="center"/>
          </w:tcPr>
          <w:p>
            <w:pPr>
              <w:pStyle w:val="TableContents"/>
              <w:bidi w:val="0"/>
              <w:spacing w:before="0" w:after="1"/>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71" w:type="dxa"/>
            <w:tcBorders>
              <w:bottom w:val="single" w:sz="4" w:space="0" w:color="000000"/>
            </w:tcBorders>
            <w:tcMar>
              <w:top w:w="0" w:type="dxa"/>
              <w:left w:w="0" w:type="dxa"/>
              <w:right w:w="0" w:type="dxa"/>
            </w:tcMar>
            <w:vAlign w:val="center"/>
          </w:tcPr>
          <w:p>
            <w:pPr>
              <w:pStyle w:val="TableContents"/>
              <w:bidi w:val="0"/>
              <w:spacing w:before="0" w:after="1"/>
              <w:jc w:val="right"/>
              <w:rPr>
                <w:rFonts w:ascii="Times New Roman" w:hAnsi="Times New Roman"/>
                <w:color w:val="000000"/>
                <w:sz w:val="20"/>
              </w:rPr>
            </w:pPr>
            <w:r>
              <w:rPr>
                <w:rFonts w:ascii="Times New Roman" w:hAnsi="Times New Roman"/>
                <w:color w:val="000000"/>
                <w:sz w:val="20"/>
              </w:rPr>
              <w:t>2,493</w:t>
            </w:r>
          </w:p>
        </w:tc>
        <w:tc>
          <w:tcPr>
            <w:tcW w:w="146" w:type="dxa"/>
            <w:tcBorders>
              <w:bottom w:val="single" w:sz="4" w:space="0" w:color="000000"/>
            </w:tcBorders>
            <w:tcMar>
              <w:top w:w="0" w:type="dxa"/>
              <w:left w:w="0" w:type="dxa"/>
              <w:right w:w="0" w:type="dxa"/>
            </w:tcMar>
            <w:vAlign w:val="center"/>
          </w:tcPr>
          <w:p>
            <w:pPr>
              <w:pStyle w:val="TableContents"/>
              <w:bidi w:val="0"/>
              <w:spacing w:before="0" w:after="1"/>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76" w:type="dxa"/>
            <w:tcBorders>
              <w:bottom w:val="single" w:sz="4" w:space="0" w:color="000000"/>
            </w:tcBorders>
            <w:tcMar>
              <w:top w:w="0" w:type="dxa"/>
              <w:left w:w="0" w:type="dxa"/>
              <w:right w:w="0" w:type="dxa"/>
            </w:tcMar>
            <w:vAlign w:val="center"/>
          </w:tcPr>
          <w:p>
            <w:pPr>
              <w:pStyle w:val="TableContents"/>
              <w:bidi w:val="0"/>
              <w:spacing w:before="0" w:after="1"/>
              <w:ind w:left="0" w:right="0" w:firstLine="360"/>
              <w:jc w:val="right"/>
              <w:rPr>
                <w:rFonts w:ascii="Times New Roman" w:hAnsi="Times New Roman"/>
                <w:color w:val="000000"/>
                <w:sz w:val="20"/>
              </w:rPr>
            </w:pPr>
            <w:r>
              <w:rPr>
                <w:rFonts w:ascii="Times New Roman" w:hAnsi="Times New Roman"/>
                <w:color w:val="000000"/>
                <w:sz w:val="20"/>
              </w:rPr>
              <w:t>2,151</w:t>
            </w:r>
          </w:p>
        </w:tc>
      </w:tr>
      <w:tr>
        <w:trPr/>
        <w:tc>
          <w:tcPr>
            <w:tcW w:w="3811" w:type="dxa"/>
            <w:tcBorders/>
            <w:shd w:fill="CCEEFF" w:val="clear"/>
            <w:tcMar>
              <w:top w:w="0" w:type="dxa"/>
              <w:left w:w="0" w:type="dxa"/>
              <w:bottom w:w="0" w:type="dxa"/>
              <w:right w:w="0" w:type="dxa"/>
            </w:tcMar>
            <w:vAlign w:val="center"/>
          </w:tcPr>
          <w:p>
            <w:pPr>
              <w:pStyle w:val="TableContents"/>
              <w:bidi w:val="0"/>
              <w:spacing w:before="0" w:after="1"/>
              <w:ind w:left="0" w:right="0" w:firstLine="360"/>
              <w:jc w:val="left"/>
              <w:rPr>
                <w:rFonts w:ascii="Times New Roman" w:hAnsi="Times New Roman"/>
                <w:color w:val="000000"/>
                <w:sz w:val="20"/>
              </w:rPr>
            </w:pPr>
            <w:r>
              <w:rPr>
                <w:rFonts w:ascii="Times New Roman" w:hAnsi="Times New Roman"/>
                <w:color w:val="000000"/>
                <w:sz w:val="20"/>
              </w:rPr>
              <w:t>Total stock-based compensation expense</w:t>
            </w:r>
          </w:p>
        </w:tc>
        <w:tc>
          <w:tcPr>
            <w:tcW w:w="146" w:type="dxa"/>
            <w:tcBorders/>
            <w:shd w:fill="CCEEFF" w:val="clear"/>
            <w:tcMar>
              <w:top w:w="0" w:type="dxa"/>
              <w:left w:w="0" w:type="dxa"/>
              <w:bottom w:w="0" w:type="dxa"/>
              <w:right w:w="0" w:type="dxa"/>
            </w:tcMar>
            <w:vAlign w:val="center"/>
          </w:tcPr>
          <w:p>
            <w:pPr>
              <w:pStyle w:val="TableContents"/>
              <w:bidi w:val="0"/>
              <w:spacing w:before="0" w:after="1"/>
              <w:jc w:val="left"/>
              <w:rPr/>
            </w:pPr>
            <w:r>
              <w:rPr/>
              <w:t> </w:t>
            </w:r>
          </w:p>
        </w:tc>
        <w:tc>
          <w:tcPr>
            <w:tcW w:w="211" w:type="dxa"/>
            <w:tcBorders>
              <w:bottom w:val="double" w:sz="4" w:space="0" w:color="000000"/>
            </w:tcBorders>
            <w:shd w:fill="CCEEFF" w:val="clear"/>
            <w:tcMar>
              <w:top w:w="0" w:type="dxa"/>
              <w:left w:w="0" w:type="dxa"/>
              <w:right w:w="0" w:type="dxa"/>
            </w:tcMar>
            <w:vAlign w:val="center"/>
          </w:tcPr>
          <w:p>
            <w:pPr>
              <w:pStyle w:val="TableContents"/>
              <w:bidi w:val="0"/>
              <w:spacing w:before="0" w:after="1"/>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4" w:space="0" w:color="000000"/>
            </w:tcBorders>
            <w:shd w:fill="CCEEFF" w:val="clear"/>
            <w:tcMar>
              <w:top w:w="0" w:type="dxa"/>
              <w:left w:w="0" w:type="dxa"/>
              <w:right w:w="0" w:type="dxa"/>
            </w:tcMar>
            <w:vAlign w:val="center"/>
          </w:tcPr>
          <w:p>
            <w:pPr>
              <w:pStyle w:val="TableContents"/>
              <w:bidi w:val="0"/>
              <w:spacing w:before="0" w:after="1"/>
              <w:jc w:val="right"/>
              <w:rPr>
                <w:rFonts w:ascii="Times New Roman" w:hAnsi="Times New Roman"/>
                <w:color w:val="000000"/>
                <w:sz w:val="20"/>
              </w:rPr>
            </w:pPr>
            <w:r>
              <w:rPr>
                <w:rFonts w:ascii="Times New Roman" w:hAnsi="Times New Roman"/>
                <w:color w:val="000000"/>
                <w:sz w:val="20"/>
              </w:rPr>
              <w:t>1,598</w:t>
            </w:r>
          </w:p>
        </w:tc>
        <w:tc>
          <w:tcPr>
            <w:tcW w:w="146" w:type="dxa"/>
            <w:tcBorders>
              <w:bottom w:val="double" w:sz="4" w:space="0" w:color="000000"/>
            </w:tcBorders>
            <w:shd w:fill="CCEEFF" w:val="clear"/>
            <w:tcMar>
              <w:top w:w="0" w:type="dxa"/>
              <w:left w:w="0" w:type="dxa"/>
              <w:right w:w="0" w:type="dxa"/>
            </w:tcMar>
            <w:vAlign w:val="center"/>
          </w:tcPr>
          <w:p>
            <w:pPr>
              <w:pStyle w:val="TableContents"/>
              <w:bidi w:val="0"/>
              <w:spacing w:before="0" w:after="1"/>
              <w:jc w:val="left"/>
              <w:rPr/>
            </w:pPr>
            <w:r>
              <w:rPr/>
              <w:t> </w:t>
            </w:r>
          </w:p>
        </w:tc>
        <w:tc>
          <w:tcPr>
            <w:tcW w:w="211" w:type="dxa"/>
            <w:tcBorders>
              <w:bottom w:val="double" w:sz="4" w:space="0" w:color="000000"/>
            </w:tcBorders>
            <w:shd w:fill="CCEEFF" w:val="clear"/>
            <w:tcMar>
              <w:top w:w="0" w:type="dxa"/>
              <w:left w:w="0" w:type="dxa"/>
              <w:right w:w="0" w:type="dxa"/>
            </w:tcMar>
            <w:vAlign w:val="center"/>
          </w:tcPr>
          <w:p>
            <w:pPr>
              <w:pStyle w:val="TableContents"/>
              <w:bidi w:val="0"/>
              <w:spacing w:before="0" w:after="1"/>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4" w:space="0" w:color="000000"/>
            </w:tcBorders>
            <w:shd w:fill="CCEEFF" w:val="clear"/>
            <w:tcMar>
              <w:top w:w="0" w:type="dxa"/>
              <w:left w:w="0" w:type="dxa"/>
              <w:right w:w="0" w:type="dxa"/>
            </w:tcMar>
            <w:vAlign w:val="center"/>
          </w:tcPr>
          <w:p>
            <w:pPr>
              <w:pStyle w:val="TableContents"/>
              <w:bidi w:val="0"/>
              <w:spacing w:before="0" w:after="1"/>
              <w:jc w:val="right"/>
              <w:rPr>
                <w:rFonts w:ascii="Times New Roman" w:hAnsi="Times New Roman"/>
                <w:color w:val="000000"/>
                <w:sz w:val="20"/>
              </w:rPr>
            </w:pPr>
            <w:r>
              <w:rPr>
                <w:rFonts w:ascii="Times New Roman" w:hAnsi="Times New Roman"/>
                <w:color w:val="000000"/>
                <w:sz w:val="20"/>
              </w:rPr>
              <w:t>1,351</w:t>
            </w:r>
          </w:p>
        </w:tc>
        <w:tc>
          <w:tcPr>
            <w:tcW w:w="146" w:type="dxa"/>
            <w:tcBorders>
              <w:bottom w:val="double" w:sz="4" w:space="0" w:color="000000"/>
            </w:tcBorders>
            <w:shd w:fill="CCEEFF" w:val="clear"/>
            <w:tcMar>
              <w:top w:w="0" w:type="dxa"/>
              <w:left w:w="0" w:type="dxa"/>
              <w:right w:w="0" w:type="dxa"/>
            </w:tcMar>
            <w:vAlign w:val="center"/>
          </w:tcPr>
          <w:p>
            <w:pPr>
              <w:pStyle w:val="TableContents"/>
              <w:bidi w:val="0"/>
              <w:spacing w:before="0" w:after="1"/>
              <w:jc w:val="left"/>
              <w:rPr/>
            </w:pPr>
            <w:r>
              <w:rPr/>
              <w:t> </w:t>
            </w:r>
          </w:p>
        </w:tc>
        <w:tc>
          <w:tcPr>
            <w:tcW w:w="211" w:type="dxa"/>
            <w:tcBorders>
              <w:bottom w:val="double" w:sz="4" w:space="0" w:color="000000"/>
            </w:tcBorders>
            <w:shd w:fill="CCEEFF" w:val="clear"/>
            <w:tcMar>
              <w:top w:w="0" w:type="dxa"/>
              <w:left w:w="0" w:type="dxa"/>
              <w:right w:w="0" w:type="dxa"/>
            </w:tcMar>
            <w:vAlign w:val="center"/>
          </w:tcPr>
          <w:p>
            <w:pPr>
              <w:pStyle w:val="TableContents"/>
              <w:bidi w:val="0"/>
              <w:spacing w:before="0" w:after="1"/>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4" w:space="0" w:color="000000"/>
            </w:tcBorders>
            <w:shd w:fill="CCEEFF" w:val="clear"/>
            <w:tcMar>
              <w:top w:w="0" w:type="dxa"/>
              <w:left w:w="0" w:type="dxa"/>
              <w:right w:w="0" w:type="dxa"/>
            </w:tcMar>
            <w:vAlign w:val="center"/>
          </w:tcPr>
          <w:p>
            <w:pPr>
              <w:pStyle w:val="TableContents"/>
              <w:bidi w:val="0"/>
              <w:spacing w:before="0" w:after="1"/>
              <w:jc w:val="right"/>
              <w:rPr>
                <w:rFonts w:ascii="Times New Roman" w:hAnsi="Times New Roman"/>
                <w:color w:val="000000"/>
                <w:sz w:val="20"/>
              </w:rPr>
            </w:pPr>
            <w:r>
              <w:rPr>
                <w:rFonts w:ascii="Times New Roman" w:hAnsi="Times New Roman"/>
                <w:color w:val="000000"/>
                <w:sz w:val="20"/>
              </w:rPr>
              <w:t>3,809</w:t>
            </w:r>
          </w:p>
        </w:tc>
        <w:tc>
          <w:tcPr>
            <w:tcW w:w="146" w:type="dxa"/>
            <w:tcBorders>
              <w:bottom w:val="double" w:sz="4" w:space="0" w:color="000000"/>
            </w:tcBorders>
            <w:shd w:fill="CCEEFF" w:val="clear"/>
            <w:tcMar>
              <w:top w:w="0" w:type="dxa"/>
              <w:left w:w="0" w:type="dxa"/>
              <w:right w:w="0" w:type="dxa"/>
            </w:tcMar>
            <w:vAlign w:val="center"/>
          </w:tcPr>
          <w:p>
            <w:pPr>
              <w:pStyle w:val="TableContents"/>
              <w:bidi w:val="0"/>
              <w:spacing w:before="0" w:after="1"/>
              <w:jc w:val="left"/>
              <w:rPr/>
            </w:pPr>
            <w:r>
              <w:rPr/>
              <w:t> </w:t>
            </w:r>
          </w:p>
        </w:tc>
        <w:tc>
          <w:tcPr>
            <w:tcW w:w="211" w:type="dxa"/>
            <w:tcBorders>
              <w:bottom w:val="double" w:sz="4" w:space="0" w:color="000000"/>
            </w:tcBorders>
            <w:shd w:fill="CCEEFF" w:val="clear"/>
            <w:tcMar>
              <w:top w:w="0" w:type="dxa"/>
              <w:left w:w="0" w:type="dxa"/>
              <w:right w:w="0" w:type="dxa"/>
            </w:tcMar>
            <w:vAlign w:val="center"/>
          </w:tcPr>
          <w:p>
            <w:pPr>
              <w:pStyle w:val="TableContents"/>
              <w:bidi w:val="0"/>
              <w:spacing w:before="0" w:after="1"/>
              <w:jc w:val="left"/>
              <w:rPr>
                <w:rFonts w:ascii="Times New Roman" w:hAnsi="Times New Roman"/>
                <w:color w:val="000000"/>
                <w:sz w:val="20"/>
              </w:rPr>
            </w:pPr>
            <w:r>
              <w:rPr>
                <w:rFonts w:ascii="Times New Roman" w:hAnsi="Times New Roman"/>
                <w:color w:val="000000"/>
                <w:sz w:val="20"/>
              </w:rPr>
              <w:t>$</w:t>
            </w:r>
          </w:p>
        </w:tc>
        <w:tc>
          <w:tcPr>
            <w:tcW w:w="976" w:type="dxa"/>
            <w:tcBorders>
              <w:bottom w:val="double" w:sz="4" w:space="0" w:color="000000"/>
            </w:tcBorders>
            <w:shd w:fill="CCEEFF" w:val="clear"/>
            <w:tcMar>
              <w:top w:w="0" w:type="dxa"/>
              <w:left w:w="0" w:type="dxa"/>
              <w:right w:w="0" w:type="dxa"/>
            </w:tcMar>
            <w:vAlign w:val="center"/>
          </w:tcPr>
          <w:p>
            <w:pPr>
              <w:pStyle w:val="TableContents"/>
              <w:bidi w:val="0"/>
              <w:spacing w:before="0" w:after="1"/>
              <w:jc w:val="right"/>
              <w:rPr>
                <w:rFonts w:ascii="Times New Roman" w:hAnsi="Times New Roman"/>
                <w:color w:val="000000"/>
                <w:sz w:val="20"/>
              </w:rPr>
            </w:pPr>
            <w:r>
              <w:rPr>
                <w:rFonts w:ascii="Times New Roman" w:hAnsi="Times New Roman"/>
                <w:color w:val="000000"/>
                <w:sz w:val="20"/>
              </w:rPr>
              <w:t>2,886</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jc w:val="left"/>
        <w:rPr>
          <w:rFonts w:ascii="Times New Roman" w:hAnsi="Times New Roman"/>
          <w:color w:val="000000"/>
          <w:sz w:val="20"/>
        </w:rPr>
      </w:pPr>
      <w:r>
        <w:rPr>
          <w:rFonts w:ascii="Times New Roman" w:hAnsi="Times New Roman"/>
          <w:color w:val="000000"/>
          <w:sz w:val="20"/>
        </w:rPr>
        <w:t xml:space="preserve">Weighted average common shares outstanding, basic and diluted, includes prefunded warrants to purchase common stock, as the prefunded warrants are exercisable at any time for nominal cash consideration.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2774</Words>
  <Characters>15988</Characters>
  <CharactersWithSpaces>18761</CharactersWithSpaces>
  <Paragraphs>538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