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xlo-20260630.htm"/>
        <w:bookmarkStart w:id="1" w:name="ksxlo20260630"/>
        <w:bookmarkEnd w:id="0"/>
        <w:bookmarkEnd w:id="1"/>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FORM 10</w:t>
      </w:r>
      <w:r>
        <w:rPr>
          <w:rFonts w:ascii="Times New Roman" w:hAnsi="Times New Roman"/>
          <w:color w:val="000000"/>
          <w:sz w:val="28"/>
        </w:rPr>
        <w:t>-</w:t>
      </w:r>
      <w:r>
        <w:rPr>
          <w:rFonts w:ascii="Times New Roman" w:hAnsi="Times New Roman"/>
          <w:b/>
          <w:color w:val="000000"/>
          <w:sz w:val="28"/>
        </w:rPr>
        <w:t>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bidi w:val="0"/>
              <w:spacing w:before="20" w:after="283"/>
              <w:ind w:left="0" w:right="0" w:firstLine="490"/>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For the transition period from</w:t>
      </w:r>
      <w:r>
        <w:rPr>
          <w:rFonts w:ascii="Times New Roman" w:hAnsi="Times New Roman"/>
          <w:color w:val="000000"/>
          <w:sz w:val="20"/>
          <w:u w:val="single"/>
        </w:rPr>
        <w:t xml:space="preserve"> </w:t>
      </w:r>
      <w:r>
        <w:rPr>
          <w:rFonts w:ascii="Times New Roman" w:hAnsi="Times New Roman"/>
          <w:b/>
          <w:color w:val="000000"/>
          <w:sz w:val="16"/>
        </w:rPr>
        <w:t>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Commission File Number: 001-40925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Xilio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85-1623397</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both"/>
        <w:rPr/>
      </w:pPr>
      <w:r>
        <w:rPr/>
        <w:t> </w:t>
      </w:r>
    </w:p>
    <w:p>
      <w:pPr>
        <w:pStyle w:val="TextBody"/>
        <w:bidi w:val="0"/>
        <w:jc w:val="both"/>
        <w:rPr/>
      </w:pPr>
      <w:r>
        <w:rPr/>
        <w:t> </w:t>
      </w:r>
    </w:p>
    <w:tbl>
      <w:tblPr>
        <w:tblW w:w="3857" w:type="dxa"/>
        <w:jc w:val="left"/>
        <w:tblInd w:w="0" w:type="dxa"/>
        <w:tblLayout w:type="fixed"/>
        <w:tblCellMar>
          <w:top w:w="28" w:type="dxa"/>
          <w:left w:w="28" w:type="dxa"/>
          <w:bottom w:w="28" w:type="dxa"/>
          <w:right w:w="28" w:type="dxa"/>
        </w:tblCellMar>
      </w:tblPr>
      <w:tblGrid>
        <w:gridCol w:w="292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828 Winter Street,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(857) 524-2466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center"/>
        <w:rPr/>
      </w:pPr>
      <w:r>
        <w:rPr/>
        <w:t> </w:t>
      </w:r>
    </w:p>
    <w:tbl>
      <w:tblPr>
        <w:tblW w:w="8245" w:type="dxa"/>
        <w:jc w:val="left"/>
        <w:tblInd w:w="0" w:type="dxa"/>
        <w:tblLayout w:type="fixed"/>
        <w:tblCellMar>
          <w:top w:w="28" w:type="dxa"/>
          <w:left w:w="28" w:type="dxa"/>
          <w:bottom w:w="28" w:type="dxa"/>
          <w:right w:w="28" w:type="dxa"/>
        </w:tblCellMar>
      </w:tblPr>
      <w:tblGrid>
        <w:gridCol w:w="3211"/>
        <w:gridCol w:w="146"/>
        <w:gridCol w:w="1426"/>
        <w:gridCol w:w="146"/>
        <w:gridCol w:w="331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XLO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Capital Market</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Number of shares of the registrant's common stock, $0.0001 par value per share, outstanding on August 10, 2026: 6,580,153</w:t>
      </w:r>
    </w:p>
    <w:p>
      <w:pPr>
        <w:pStyle w:val="TextBody"/>
        <w:pBdr>
          <w:bottom w:val="double" w:sz="6" w:space="1" w:color="000000"/>
        </w:pBdr>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References to Xilio</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Unless otherwise stated, all references to “us,” “our,” “we,” “Xilio,” “Xilio Therapeutics,” “the Company” and similar references in this Quarterly Report on Form 10-Q refer to Xilio Therapeutics, Inc. and its consolidated subsidiaries. Xilio Therapeutics and its associated logos are registered trademarks of Xilio Therapeutics, Inc. Other brands, names and trademarks contained in this Quarterly Report on Form 10-Q are the property of their respective owners.</w:t>
      </w:r>
    </w:p>
    <w:p>
      <w:pPr>
        <w:pStyle w:val="TextBody"/>
        <w:bidi w:val="0"/>
        <w:jc w:val="center"/>
        <w:rPr/>
      </w:pPr>
      <w:r>
        <w:rPr/>
        <w:t> </w:t>
      </w:r>
    </w:p>
    <w:p>
      <w:pPr>
        <w:pStyle w:val="TextBody"/>
        <w:bidi w:val="0"/>
        <w:spacing w:before="0" w:after="240"/>
        <w:jc w:val="center"/>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the U.S. Private Securities Litigation Reform Act of 1995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“might,” “plan,” “potential,” “predict,” “project,” “should,” “target,” “would,” or the negative of these words or other comparable terminology, although not all forward-looking statements contain these identifying words.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in this Quarterly Report on Form 10-Q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timing, progress and results of our research and development programs, including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expenses, future revenue and capital requirements and our expectations regarding our ability to fund our operating expenses and capital expenditure requirements with our cash and cash equivalents;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and strategic partnerships and realize the expected benefits of such arrangements, including our collaboration agreement with AbbVie Group Holdings Limited, or AbbVie, and our license agreement with Gilead Sciences, Inc., or Gilead;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milestones, option-related fees and other contingent payments under our collaboration agreement with AbbVie and our license agreement with Gilead;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receipt of up to $36.2 million in additional gross proceeds in the second half of 2026 if all of the Series C common stock warrants issued in connection with our June 2025 follow-on offering are exercised at their current exercise price of $10.50 per warrant;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secure additional capital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advantages and benefits of our current and future product candidates, including our beliefs regarding the potential benefits of our current and future product candidates in combination with other agents;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plans to research, develop and, if approved, subsequently commercialize any product candidates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additional products, product candidates or technologies with significant potential that are consistent with our research, development and commercial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capabilities and strategy, including our reliance on third parties to manufacture our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our ability to obtain and maintain intellectual property protection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our ability to submit investigational new drug applications or biologic license applications for, and, if cleared or approved, maintain such regulatory applications or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strategy related to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the addressable patient population and potential market opportunity for our current and future product candidates;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relating to or impacting our competitors and our industry, including the impact of current or future government laws and regulations on us, third parties with whom we do business and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current or future government laws and regulations on us or third parties with whom we do business and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competitive position and expectations regarding developments and projections relating to our current or future competitors and any competing therapies that are or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or JOBS Act;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general economic conditions, including inflation and the imposition of new or revised global trade tariffs.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those described in the “Risk Factor Summary” and “Risk Factors” section in Part II, Item 1A of this Quarterly Report on Form 10-Q,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120"/>
        <w:jc w:val="center"/>
        <w:rPr>
          <w:rFonts w:ascii="Times New Roman" w:hAnsi="Times New Roman"/>
          <w:b/>
          <w:i/>
          <w:color w:val="000000"/>
          <w:sz w:val="20"/>
        </w:rPr>
      </w:pPr>
      <w:r>
        <w:rPr>
          <w:rFonts w:ascii="Times New Roman" w:hAnsi="Times New Roman"/>
          <w:b/>
          <w:i/>
          <w:color w:val="000000"/>
          <w:sz w:val="20"/>
        </w:rPr>
        <w:t>Risk Factor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numerous risks that, if realized, could materially and adversely affect our business, financial condition, results of operations and future growth prospects. These risks are discussed more fully in Part II, Item 1A. “Risk Factors” in this Quarterly Report on Form 10-Q. These risks include, but are not limited to, the following:</w:t>
      </w:r>
    </w:p>
    <w:p>
      <w:pPr>
        <w:pStyle w:val="TextBody"/>
        <w:bidi w:val="0"/>
        <w:spacing w:before="240" w:after="120"/>
        <w:jc w:val="both"/>
        <w:rPr>
          <w:color w:val="000000"/>
        </w:rPr>
      </w:pPr>
      <w:r>
        <w:rPr>
          <w:color w:val="00000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will need to obtain substantial additional capital in the future to finance our operations and complete the development of any current or future product candidates.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incurred significant operating losses since our inception and expect to incur significant losses for the foreseeable future.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business is highly dependent on the success of our current product candidates, which are in the early stages of development and will require significant additional preclinical and clinical development before we can seek regulatory approval for and commercially launch a product.</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approach to the discovery and development of product candidates based on our technological approaches is unproven, and we do not know whether we will be able to develop any products of commercial value.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expect to develop certain of our product candidates in combination with third-party drugs and we will have limited or no control over the safety, supply, regulatory status or regulatory approval of such drugs.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Manufacturing biologics is complex, and we may experience manufacturing problems that result in delays in our development or commercialization programs.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Certain of our research and development and manufacturing activities take place in China through WuXi Biologics (Hong Kong) Limited, or WuXi Biologics. A significant disruption in our ability to rely on WuXi Biologics could materially adversely affect our business, financial condition and results of operations.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expect to rely on third parties to conduct, supervise and monitor investigational new drug application enabling studies and clinical trials, and to perform other functions for us, and if these third parties perform in an unsatisfactory manner, it may harm our business, reputation and results of operations.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entered into, and may in the future seek to enter into, licenses, collaborations or similar arrangements with third parties for the research, development and commercialization of certain of our current or future product candidates. If any such arrangements are not successful, we may not be able to capitalize on the market potential of those product candidates.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120"/>
        <w:jc w:val="both"/>
        <w:rPr>
          <w:color w:val="000000"/>
        </w:rPr>
      </w:pPr>
      <w:r>
        <w:rPr>
          <w:color w:val="00000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we do.</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If we are unable to obtain and maintain patent protection for any product candidates we develop or for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rely on in-license agreements for patent rights with respect to our product candidates and may in the future acquire or in-license additional third-party intellectual property rights on which we may similarly rely. We face risks with respect to such reliance, including the risk that we could lose these rights that are important to our business if we fail to comply with our obligations under these licenses or that we may be unable to acquire or in-license third-party intellectual property that may be necessary or important to our business operations.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common stock may be subject to a low trading volume and volatile market price related or unrelated to our operations and purchasers of our common stock could have difficulty selling their shares or could suffer a decline in value.</w:t>
      </w:r>
    </w:p>
    <w:p>
      <w:pPr>
        <w:pStyle w:val="TextBody"/>
        <w:bidi w:val="0"/>
        <w:spacing w:before="120" w:after="120"/>
        <w:jc w:val="center"/>
        <w:rPr>
          <w:rFonts w:ascii="Times New Roman" w:hAnsi="Times New Roman"/>
          <w:sz w:val="20"/>
        </w:rPr>
      </w:pPr>
      <w:r>
        <w:rPr>
          <w:rFonts w:ascii="Times New Roman" w:hAnsi="Times New Roman"/>
          <w:b/>
          <w:i/>
          <w:color w:val="000000"/>
          <w:sz w:val="20"/>
        </w:rPr>
        <w:t>Availability of Other Information About Xilio Therapeutics, Inc.</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Investors and others should note that we communicate with our investors and the public using our company website (www.xiliotx.com), including but not limited to investor presentations and scientific presentations, filings with the U.S. Securities and Exchange Commission, press releases, public conference calls and webcasts. You can also connect with us on LinkedIn. The information that we post on these channels and websites could be deemed to be material information. As a result, we encourage investors, the media and others interested in our company to review the information that we post on these channels, including our investor relations website, on a regular basis. This list of channels may be updated from time to time on our investor relations website (ir.xiliotx.com) and may include other social media channels than the ones described above. The contents of our website or these channels, or any other website that may be accessed from our website or these channels, shall not be deemed incorporated by reference in any filing under the Securities Act of 1933, as amended.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216"/>
        <w:gridCol w:w="8283"/>
        <w:gridCol w:w="706"/>
      </w:tblGrid>
      <w:tr>
        <w:trPr/>
        <w:tc>
          <w:tcPr>
            <w:tcW w:w="1216" w:type="dxa"/>
            <w:tcBorders/>
            <w:vAlign w:val="center"/>
          </w:tcPr>
          <w:p>
            <w:pPr>
              <w:pStyle w:val="TableContents"/>
              <w:bidi w:val="0"/>
              <w:spacing w:before="0" w:after="283"/>
              <w:jc w:val="left"/>
              <w:rPr>
                <w:sz w:val="4"/>
                <w:szCs w:val="4"/>
              </w:rPr>
            </w:pPr>
            <w:r>
              <w:rPr>
                <w:sz w:val="4"/>
                <w:szCs w:val="4"/>
              </w:rPr>
            </w:r>
          </w:p>
        </w:tc>
        <w:tc>
          <w:tcPr>
            <w:tcW w:w="8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both"/>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1216" w:type="dxa"/>
            <w:tcBorders/>
            <w:tcMar>
              <w:top w:w="0" w:type="dxa"/>
              <w:left w:w="0" w:type="dxa"/>
              <w:bottom w:w="0" w:type="dxa"/>
              <w:right w:w="0" w:type="dxa"/>
            </w:tcMar>
            <w:vAlign w:val="center"/>
          </w:tcPr>
          <w:p>
            <w:pPr>
              <w:pStyle w:val="TableContents"/>
              <w:bidi w:val="0"/>
              <w:spacing w:before="0" w:after="283"/>
              <w:jc w:val="both"/>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ifinancialinformation_838368">
              <w:r>
                <w:rPr>
                  <w:rStyle w:val="InternetLink"/>
                  <w:rFonts w:ascii="Times New Roman" w:hAnsi="Times New Roman"/>
                  <w:b/>
                  <w:color w:val="000000"/>
                  <w:sz w:val="20"/>
                </w:rPr>
                <w:t>Part I</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partifinancialinformation_838368">
              <w:r>
                <w:rPr>
                  <w:rStyle w:val="InternetLink"/>
                  <w:rFonts w:ascii="Times New Roman" w:hAnsi="Times New Roman"/>
                  <w:b/>
                  <w:color w:val="000000"/>
                  <w:sz w:val="20"/>
                </w:rPr>
                <w:t>Financial Information</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1financialstatements_25264">
              <w:r>
                <w:rPr>
                  <w:rStyle w:val="InternetLink"/>
                  <w:rFonts w:ascii="Times New Roman" w:hAnsi="Times New Roman"/>
                  <w:color w:val="000000"/>
                  <w:sz w:val="20"/>
                </w:rPr>
                <w:t>Item 1.</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item1financialstatements_25264">
              <w:r>
                <w:rPr>
                  <w:rStyle w:val="InternetLink"/>
                  <w:rFonts w:ascii="Times New Roman" w:hAnsi="Times New Roman"/>
                  <w:color w:val="000000"/>
                  <w:sz w:val="20"/>
                </w:rPr>
                <w:t>Financial Statements (unaudited)</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condensedconsolidatedbalancesheets_37761">
              <w:r>
                <w:rPr>
                  <w:rStyle w:val="InternetLink"/>
                  <w:rFonts w:ascii="Times New Roman" w:hAnsi="Times New Roman"/>
                  <w:color w:val="000000"/>
                  <w:sz w:val="20"/>
                </w:rPr>
                <w:t>Condensed Consolidated Balance Sheets as of June 30, 2026 and December 31, 2025</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operati">
              <w:r>
                <w:rPr>
                  <w:rStyle w:val="InternetLink"/>
                  <w:rFonts w:ascii="Times New Roman" w:hAnsi="Times New Roman"/>
                  <w:color w:val="000000"/>
                  <w:sz w:val="20"/>
                </w:rPr>
                <w:t>Condensed Consolidated Statements of Operations and Comprehensive Loss for the three and six months ended June 30, 2026 and 2025</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shareho">
              <w:r>
                <w:rPr>
                  <w:rStyle w:val="InternetLink"/>
                  <w:rFonts w:ascii="Times New Roman" w:hAnsi="Times New Roman"/>
                  <w:color w:val="000000"/>
                  <w:sz w:val="20"/>
                </w:rPr>
                <w:t>Condensed Consolidated Statements of Stockholders’ Equity for the three and six months ended June 30, 2026 and 2025</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cashflo">
              <w:r>
                <w:rPr>
                  <w:rStyle w:val="InternetLink"/>
                  <w:rFonts w:ascii="Times New Roman" w:hAnsi="Times New Roman"/>
                  <w:color w:val="000000"/>
                  <w:sz w:val="20"/>
                </w:rPr>
                <w:t>Condensed Consolidated Statements of Cash Flows for the six months ended June 30, 2026 and 2025</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_stmt">
              <w:r>
                <w:rPr>
                  <w:rStyle w:val="InternetLink"/>
                  <w:rFonts w:ascii="Times New Roman" w:hAnsi="Times New Roman"/>
                  <w:color w:val="000000"/>
                  <w:sz w:val="20"/>
                </w:rPr>
                <w:t>Notes to Condensed Consolidated Financial Statements</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12</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2managementsdiscussionandanalysisoff">
              <w:r>
                <w:rPr>
                  <w:rStyle w:val="InternetLink"/>
                  <w:rFonts w:ascii="Times New Roman" w:hAnsi="Times New Roman"/>
                  <w:color w:val="000000"/>
                  <w:sz w:val="20"/>
                </w:rPr>
                <w:t>Item 2.</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00"/>
                  <w:sz w:val="20"/>
                </w:rPr>
                <w:t>Management’s Discussion and Analysis of Financial Condition and Results of Operations</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27</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3quantitativeandqualitativedisclosur">
              <w:r>
                <w:rPr>
                  <w:rStyle w:val="InternetLink"/>
                  <w:rFonts w:ascii="Times New Roman" w:hAnsi="Times New Roman"/>
                  <w:color w:val="000000"/>
                  <w:sz w:val="20"/>
                </w:rPr>
                <w:t>Item 3.</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00"/>
                  <w:sz w:val="20"/>
                </w:rPr>
                <w:t>Quantitative and Qualitative Disclosures about Market Risk</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4controlsandprocedures_598930">
              <w:r>
                <w:rPr>
                  <w:rStyle w:val="InternetLink"/>
                  <w:rFonts w:ascii="Times New Roman" w:hAnsi="Times New Roman"/>
                  <w:color w:val="000000"/>
                  <w:sz w:val="20"/>
                </w:rPr>
                <w:t>Item 4.</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item4controlsandprocedures_598930">
              <w:r>
                <w:rPr>
                  <w:rStyle w:val="InternetLink"/>
                  <w:rFonts w:ascii="Times New Roman" w:hAnsi="Times New Roman"/>
                  <w:color w:val="000000"/>
                  <w:sz w:val="20"/>
                </w:rPr>
                <w:t>Controls and Procedures</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b/>
                  <w:color w:val="000000"/>
                  <w:sz w:val="20"/>
                </w:rPr>
                <w:t>Part II</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00"/>
                  <w:sz w:val="20"/>
                </w:rPr>
                <w:t>Other Information</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00"/>
                  <w:sz w:val="20"/>
                </w:rPr>
                <w:t>Item 1A.</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00"/>
                  <w:sz w:val="20"/>
                </w:rPr>
                <w:t>Risk Factors</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41</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00"/>
                  <w:sz w:val="20"/>
                </w:rPr>
                <w:t>Item 5.</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00"/>
                  <w:sz w:val="20"/>
                </w:rPr>
                <w:t>Other Information</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105</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6exhibits_567780">
              <w:r>
                <w:rPr>
                  <w:rStyle w:val="InternetLink"/>
                  <w:rFonts w:ascii="Times New Roman" w:hAnsi="Times New Roman"/>
                  <w:color w:val="000000"/>
                  <w:sz w:val="20"/>
                </w:rPr>
                <w:t>Item 6.</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hyperlink w:anchor="item6exhibits_567780">
              <w:r>
                <w:rPr>
                  <w:rStyle w:val="InternetLink"/>
                  <w:rFonts w:ascii="Times New Roman" w:hAnsi="Times New Roman"/>
                  <w:color w:val="000000"/>
                  <w:sz w:val="20"/>
                </w:rPr>
                <w:t>Exhibits</w:t>
              </w:r>
            </w:hyperlink>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106</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2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_824733">
              <w:r>
                <w:rPr>
                  <w:rStyle w:val="InternetLink"/>
                  <w:rFonts w:ascii="Times New Roman" w:hAnsi="Times New Roman"/>
                  <w:color w:val="000000"/>
                  <w:sz w:val="20"/>
                </w:rPr>
                <w:t>Signatures</w:t>
              </w:r>
            </w:hyperlink>
          </w:p>
        </w:tc>
        <w:tc>
          <w:tcPr>
            <w:tcW w:w="8283"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center"/>
        <w:rPr>
          <w:rFonts w:ascii="Times New Roman" w:hAnsi="Times New Roman"/>
          <w:b/>
          <w:color w:val="000000"/>
          <w:sz w:val="20"/>
        </w:rPr>
      </w:pPr>
      <w:bookmarkStart w:id="3" w:name="partifinancialinformation_838368"/>
      <w:bookmarkEnd w:id="3"/>
      <w:r>
        <w:rPr>
          <w:rFonts w:ascii="Times New Roman" w:hAnsi="Times New Roman"/>
          <w:b/>
          <w:color w:val="000000"/>
          <w:sz w:val="20"/>
        </w:rPr>
        <w:t>PART I—FINANCIAL INFORMATION</w:t>
      </w:r>
    </w:p>
    <w:p>
      <w:pPr>
        <w:pStyle w:val="TextBody"/>
        <w:bidi w:val="0"/>
        <w:spacing w:before="0" w:after="240"/>
        <w:jc w:val="left"/>
        <w:rPr>
          <w:rFonts w:ascii="Times New Roman" w:hAnsi="Times New Roman"/>
          <w:b/>
          <w:color w:val="000000"/>
          <w:sz w:val="20"/>
        </w:rPr>
      </w:pPr>
      <w:bookmarkStart w:id="4" w:name="item1financialstatements_25264"/>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b/>
          <w:color w:val="000000"/>
          <w:sz w:val="20"/>
        </w:rPr>
      </w:pPr>
      <w:bookmarkStart w:id="5" w:name="condensedconsolidatedbalancesheets_37761"/>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0"/>
        <w:gridCol w:w="146"/>
        <w:gridCol w:w="211"/>
        <w:gridCol w:w="146"/>
        <w:gridCol w:w="841"/>
        <w:gridCol w:w="166"/>
        <w:gridCol w:w="146"/>
        <w:gridCol w:w="211"/>
        <w:gridCol w:w="146"/>
        <w:gridCol w:w="841"/>
        <w:gridCol w:w="411"/>
      </w:tblGrid>
      <w:tr>
        <w:trPr/>
        <w:tc>
          <w:tcPr>
            <w:tcW w:w="6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and license agreement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issue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5,000,000 shares authorized, no shares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600,000,000 shares authorized; 6,580,149 shares issued and outstanding at June 30, 2026; 4,530,641 shares issued and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454,062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(418,789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sz w:val="20"/>
        </w:rPr>
      </w:pPr>
      <w:bookmarkStart w:id="6" w:name="condensedconsolidatedstatementsofoperati"/>
      <w:bookmarkEnd w:id="6"/>
      <w:r>
        <w:rPr>
          <w:rFonts w:ascii="Times New Roman" w:hAnsi="Times New Roman"/>
          <w:b/>
          <w:color w:val="000000"/>
          <w:sz w:val="20"/>
        </w:rPr>
        <w:t>Condensed Consolidated Statements of Operations</w:t>
      </w:r>
      <w:r>
        <w:rPr>
          <w:rFonts w:ascii="Times New Roman" w:hAnsi="Times New Roman"/>
          <w:color w:val="000000"/>
          <w:sz w:val="20"/>
        </w:rPr>
        <w:t xml:space="preserve"> </w:t>
      </w:r>
      <w:r>
        <w:rPr>
          <w:rFonts w:ascii="Times New Roman" w:hAnsi="Times New Roman"/>
          <w:b/>
          <w:color w:val="000000"/>
          <w:sz w:val="20"/>
        </w:rPr>
        <w:t>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50"/>
        <w:gridCol w:w="146"/>
        <w:gridCol w:w="211"/>
        <w:gridCol w:w="146"/>
        <w:gridCol w:w="1036"/>
        <w:gridCol w:w="166"/>
        <w:gridCol w:w="146"/>
        <w:gridCol w:w="211"/>
        <w:gridCol w:w="146"/>
        <w:gridCol w:w="931"/>
        <w:gridCol w:w="166"/>
        <w:gridCol w:w="146"/>
        <w:gridCol w:w="211"/>
        <w:gridCol w:w="146"/>
        <w:gridCol w:w="1036"/>
        <w:gridCol w:w="166"/>
        <w:gridCol w:w="146"/>
        <w:gridCol w:w="211"/>
        <w:gridCol w:w="146"/>
        <w:gridCol w:w="931"/>
        <w:gridCol w:w="611"/>
      </w:tblGrid>
      <w:tr>
        <w:trPr/>
        <w:tc>
          <w:tcPr>
            <w:tcW w:w="3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19,404,688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17,884,542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6,116,721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b/>
          <w:color w:val="000000"/>
          <w:sz w:val="20"/>
        </w:rPr>
      </w:pPr>
      <w:bookmarkStart w:id="7" w:name="condensedconsolidatedstatementsofshareho"/>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3"/>
        <w:gridCol w:w="146"/>
        <w:gridCol w:w="146"/>
        <w:gridCol w:w="826"/>
        <w:gridCol w:w="146"/>
        <w:gridCol w:w="146"/>
        <w:gridCol w:w="196"/>
        <w:gridCol w:w="146"/>
        <w:gridCol w:w="349"/>
        <w:gridCol w:w="146"/>
        <w:gridCol w:w="146"/>
        <w:gridCol w:w="196"/>
        <w:gridCol w:w="146"/>
        <w:gridCol w:w="691"/>
        <w:gridCol w:w="146"/>
        <w:gridCol w:w="146"/>
        <w:gridCol w:w="196"/>
        <w:gridCol w:w="146"/>
        <w:gridCol w:w="751"/>
        <w:gridCol w:w="166"/>
        <w:gridCol w:w="146"/>
        <w:gridCol w:w="219"/>
        <w:gridCol w:w="163"/>
        <w:gridCol w:w="675"/>
        <w:gridCol w:w="212"/>
      </w:tblGrid>
      <w:tr>
        <w:trPr/>
        <w:tc>
          <w:tcPr>
            <w:tcW w:w="3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5,782,536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72,545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6,580,149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72,264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5"/>
        <w:gridCol w:w="146"/>
        <w:gridCol w:w="146"/>
        <w:gridCol w:w="826"/>
        <w:gridCol w:w="146"/>
        <w:gridCol w:w="146"/>
        <w:gridCol w:w="196"/>
        <w:gridCol w:w="146"/>
        <w:gridCol w:w="349"/>
        <w:gridCol w:w="146"/>
        <w:gridCol w:w="146"/>
        <w:gridCol w:w="196"/>
        <w:gridCol w:w="146"/>
        <w:gridCol w:w="691"/>
        <w:gridCol w:w="146"/>
        <w:gridCol w:w="146"/>
        <w:gridCol w:w="196"/>
        <w:gridCol w:w="146"/>
        <w:gridCol w:w="751"/>
        <w:gridCol w:w="166"/>
        <w:gridCol w:w="146"/>
        <w:gridCol w:w="205"/>
        <w:gridCol w:w="152"/>
        <w:gridCol w:w="697"/>
        <w:gridCol w:w="213"/>
      </w:tblGrid>
      <w:tr>
        <w:trPr/>
        <w:tc>
          <w:tcPr>
            <w:tcW w:w="3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3,698,205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in connection with a follow-on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(15,844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 and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both"/>
        <w:rPr/>
      </w:pPr>
      <w:r>
        <w:rPr/>
        <w:t> </w:t>
      </w:r>
    </w:p>
    <w:tbl>
      <w:tblPr>
        <w:tblW w:w="10205" w:type="dxa"/>
        <w:jc w:val="left"/>
        <w:tblInd w:w="0" w:type="dxa"/>
        <w:tblLayout w:type="fixed"/>
        <w:tblCellMar>
          <w:top w:w="28" w:type="dxa"/>
          <w:left w:w="28" w:type="dxa"/>
          <w:bottom w:w="28" w:type="dxa"/>
          <w:right w:w="28" w:type="dxa"/>
        </w:tblCellMar>
      </w:tblPr>
      <w:tblGrid>
        <w:gridCol w:w="3813"/>
        <w:gridCol w:w="146"/>
        <w:gridCol w:w="146"/>
        <w:gridCol w:w="826"/>
        <w:gridCol w:w="146"/>
        <w:gridCol w:w="146"/>
        <w:gridCol w:w="196"/>
        <w:gridCol w:w="146"/>
        <w:gridCol w:w="349"/>
        <w:gridCol w:w="146"/>
        <w:gridCol w:w="146"/>
        <w:gridCol w:w="196"/>
        <w:gridCol w:w="146"/>
        <w:gridCol w:w="691"/>
        <w:gridCol w:w="146"/>
        <w:gridCol w:w="146"/>
        <w:gridCol w:w="196"/>
        <w:gridCol w:w="146"/>
        <w:gridCol w:w="751"/>
        <w:gridCol w:w="166"/>
        <w:gridCol w:w="146"/>
        <w:gridCol w:w="205"/>
        <w:gridCol w:w="152"/>
        <w:gridCol w:w="698"/>
        <w:gridCol w:w="214"/>
      </w:tblGrid>
      <w:tr>
        <w:trPr/>
        <w:tc>
          <w:tcPr>
            <w:tcW w:w="3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4,530,641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in connection with a follow-on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to settle the liabilities to issue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708,223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6,580,149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72,264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6"/>
        <w:gridCol w:w="146"/>
        <w:gridCol w:w="146"/>
        <w:gridCol w:w="826"/>
        <w:gridCol w:w="146"/>
        <w:gridCol w:w="146"/>
        <w:gridCol w:w="196"/>
        <w:gridCol w:w="146"/>
        <w:gridCol w:w="349"/>
        <w:gridCol w:w="146"/>
        <w:gridCol w:w="146"/>
        <w:gridCol w:w="196"/>
        <w:gridCol w:w="146"/>
        <w:gridCol w:w="691"/>
        <w:gridCol w:w="146"/>
        <w:gridCol w:w="146"/>
        <w:gridCol w:w="196"/>
        <w:gridCol w:w="146"/>
        <w:gridCol w:w="751"/>
        <w:gridCol w:w="166"/>
        <w:gridCol w:w="146"/>
        <w:gridCol w:w="205"/>
        <w:gridCol w:w="152"/>
        <w:gridCol w:w="696"/>
        <w:gridCol w:w="213"/>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prefunded warrants in connection with a follow-on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AbbVie stock purchase agreement,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at-the-market offerings,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(29,109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3,701,952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b/>
          <w:color w:val="000000"/>
          <w:sz w:val="20"/>
        </w:rPr>
      </w:pPr>
      <w:bookmarkStart w:id="8" w:name="condensedconsolidatedstatementsofcashflo"/>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70"/>
        <w:gridCol w:w="146"/>
        <w:gridCol w:w="196"/>
        <w:gridCol w:w="146"/>
        <w:gridCol w:w="691"/>
        <w:gridCol w:w="166"/>
        <w:gridCol w:w="146"/>
        <w:gridCol w:w="196"/>
        <w:gridCol w:w="146"/>
        <w:gridCol w:w="691"/>
        <w:gridCol w:w="411"/>
      </w:tblGrid>
      <w:tr>
        <w:trPr/>
        <w:tc>
          <w:tcPr>
            <w:tcW w:w="7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fair value of 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costs allocated to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Collaboration and license agreement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prefunded warrants in connection with a follow-on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in connection with at-the-market offerings,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prefunded warrants and common stock warrants in connection with a follow-on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in connection with the AbbVie stock purchase agreement,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issuance costs included in accounts payable or accrued expenses at prior year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52,194</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66,272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123,345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Capital expenditures included in accounts payable or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Settlement of liabilities to issue common stock by issuing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to amounts within the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123,345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XILIO THERAPEUTICS, INC.</w:t>
      </w:r>
    </w:p>
    <w:p>
      <w:pPr>
        <w:pStyle w:val="TextBody"/>
        <w:bidi w:val="0"/>
        <w:jc w:val="center"/>
        <w:rPr>
          <w:rFonts w:ascii="Times New Roman" w:hAnsi="Times New Roman"/>
          <w:b/>
          <w:color w:val="000000"/>
          <w:sz w:val="20"/>
        </w:rPr>
      </w:pPr>
      <w:bookmarkStart w:id="9" w:name="notes_to_condensed_consolidated_fin_stmt"/>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(Dollars in thousands, unless otherwise stated)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Heading1"/>
        <w:bidi w:val="0"/>
        <w:spacing w:before="240" w:after="120"/>
        <w:jc w:val="both"/>
        <w:rPr>
          <w:rFonts w:ascii="Times New Roman" w:hAnsi="Times New Roman"/>
          <w:color w:val="000000"/>
          <w:sz w:val="20"/>
        </w:rPr>
      </w:pPr>
      <w:r>
        <w:rPr>
          <w:rFonts w:ascii="Times New Roman" w:hAnsi="Times New Roman"/>
          <w:color w:val="000000"/>
          <w:sz w:val="20"/>
        </w:rPr>
        <w:t>1. Description of Business and Liquidity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Xilio Therapeutics, Inc. (“Xilio” or the “Company”) is a clinical-stage biotechnology company dedicated to discovering and developing masked immuno-oncology (“I-O”) therapies with the goal of significantly improving outcomes for people living with cancer without the systemic side effects of current I-O treatments. The Company was incorporated in Delaware in June 2020, and its headquarters are located in Waltham, Massachusetts.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Since its inception, the Company has devoted substantially all of its financial resources and efforts to research and development activities. As of June 30, 2026, the Company had an accumulated deficit of $434.7 million and has incurred significant operating losses, including net losses of $15.9 million and $29.1 million for the six months ended June 30, 2026 and 2025, respectively. The Company expects its operating losses and negative operating cash flows to continue for the foreseeable future as it continues to advance its product candidates through clinical trials, maintains the infrastructure necessary to support these activities and continues to incur costs associated with operating as a public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June 30, 2026, the Company had cash and cash equivalents of $136.0 million. Based on its current operating plans, the Company anticipates that its existing cash and cash equivalents as of June 30, 2026 will be sufficient to enable it to fund its operating expenses and capital expenditure requirements for at least twelve months from the date of the issuance of these condensed consolidated financial statements.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However, the Company has based its estimates on assumptions that may prove to be wrong. If actual results differ from the Company’s estimates, the Company could exhaust its available capital resources sooner than it anticipates, in which case, the Company would be required to seek additional capital sooner or curtail planned activities to reduce operating expenses, which may have an adverse impact on the Company’s ability to achieve its business objectives.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Company’s unaudited interim condensed consolidated financial statements have been prepared in conformity with accounting principles generally accepted in the United States (“U.S. GAAP”), and pursuant to the rules and regulations of the U.S. Securities and Exchange Commission (the “SEC”). Any reference in these notes to applicable guidance is meant to refer to the authoritative U.S. GAAP as found in the Accounting Standards Codification (“ASC”) and Accounting Standards Updates (“ASUs”) of the Financial Accounting Standards Board (“FASB”). Certain information and footnote disclosures normally included in financial statements prepared in accordance with U.S. GAAP have been condensed or omitted from this report, as is permitted by such rules and regulations. Accordingly, these unaudited interim condensed consolidated financial statements should be read in conjunction with the audited financial statements as of and for the year ended December 31, 2025 and notes thereto, included in the Company’s Annual Report on Form 10-K filed with the SEC on March 23, 2026. The unaudited interim condensed consolidated financial statements have been prepared on the same basis as the audited financial statements. In the opinion of the Company’s management, the unaudited interim condensed consolidated financial statements contain all adjustments which are necessary to present fairly the Company’s financial position as of June 30, 2026 and the results of its operations for the three and six months ended June 30, 2026 and 2025 and cash flows for the six months ended June 30, 2026 and 2025. Such adjustments are of a normal and recurring nature. The results for the three and six months ended June 30, 2026 are not necessarily indicative of the results for the year ending December 31, 2026 or for any future period.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March 13, 2026, the Company effected a reverse stock split of its common stock at a ratio of 1-for-14. The reverse stock split did not impact the number of authorized shares of common stock or preferred stock or the par value per share of the common stock or preferred stock. All share and per share amounts in these condensed consolidated financial statements and notes thereto have been adjusted retroactively to reflect the reverse stock split for all periods presented.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Principles of Consolidation</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The accompanying condensed consolidated financial statements include the accounts of the Company and its wholly owned subsidiaries: Xilio Development, Inc. (“Xilio Development”), a Delaware corporation, and Xilio Securities Corporation, a Massachusetts security corporation. All intercompany accounts and transactions have been eliminated in consolidation.</w:t>
      </w:r>
      <w:r>
        <w:rPr>
          <w:rFonts w:ascii="Times New Roman" w:hAnsi="Times New Roman"/>
          <w:color w:val="000000"/>
          <w:sz w:val="20"/>
        </w:rPr>
        <w:t xml:space="preserve">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Significant Accounting Policies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The significant accounting policies used in preparation of the unaudited condensed consolidated financial statements are described in Note 2, “</w:t>
      </w:r>
      <w:r>
        <w:rPr>
          <w:rFonts w:ascii="Times New Roman" w:hAnsi="Times New Roman"/>
          <w:b w:val="false"/>
          <w:i/>
          <w:color w:val="000000"/>
          <w:sz w:val="20"/>
        </w:rPr>
        <w:t>Summary of Significant Accounting Policies</w:t>
      </w:r>
      <w:r>
        <w:rPr>
          <w:rFonts w:ascii="Times New Roman" w:hAnsi="Times New Roman"/>
          <w:color w:val="000000"/>
          <w:sz w:val="20"/>
        </w:rPr>
        <w:t xml:space="preserve">” </w:t>
      </w:r>
      <w:r>
        <w:rPr>
          <w:rFonts w:ascii="Times New Roman" w:hAnsi="Times New Roman"/>
          <w:b w:val="false"/>
          <w:color w:val="000000"/>
          <w:sz w:val="20"/>
        </w:rPr>
        <w:t>of the audited consolidated financial statements included in the Company’s Annual Report on Form 10-K for the year ended December 31, 2025. There have been no material changes to the significant accounting policies previously disclosed in the Company’s Annual Report on Form 10-K for the year ended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estimates and judgments that may affect the reported amounts of assets and liabilities and related disclosures of contingent assets and liabilities at the date of the financial statements and the related reporting of revenue and expenses during the reporting period. Management considers many factors in selecting appropriate financial accounting policies and controls and in developing the estimates and assumptions that are used in the preparation of these condensed consolidated financial statements. Factors that may affect estimates include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of accounting reflected in these condensed consolidated financial statements include, but are not limited to, estimates related to revenue recognition, accrued expenses, the valuation of the common stock warrant liabilities, the valuation of stock-based compensation, including stock options and restricted stock units, useful life of long-lived assets and income taxes. Actual results could differ from those estimates. </w:t>
      </w:r>
    </w:p>
    <w:p>
      <w:pPr>
        <w:pStyle w:val="TextBody"/>
        <w:bidi w:val="0"/>
        <w:spacing w:before="360" w:after="283"/>
        <w:jc w:val="both"/>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expose the Company to concentrations of credit risk consist primarily of cash and cash equivalents. The Company holds all cash and cash equivalents at accredited financial institutions. Bank accounts in the United States are generally insured by the Federal Deposit Insurance Corporation (“FDIC”) up to $250,000. Substantially all of the Company’s cash and cash equivalents are FDIC insured, including funds held through an insured cash sweep program. The Company has not experienced any losses in its cash and cash equivalents and does not believe that it is subject to unusual credit risk beyond the normal credit risk associated with commercial banking relationships.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one operating and reportable segment, the consolidated Company operations, reflecting the integrated nature of its business focused on discovering and developing masked I-O therapies. The Company’s chief operating decision maker (“CODM”) is its chief executive officer. The CODM allocates resources and assesses performance on a consolidated basis, focused on the Company’s cash resources and an assessment of the probability of success of its ongoing research and development activities. Resource allocation decisions are informed by forecasted cash expenditures and actual expenses incurred to date. The CODM is not regularly provided with disaggregated actual expense information, other than the actual expense information included in the consolidated statements of operations and comprehensive loss, as the Company’s integrated operating model emphasizes shared resources and centralized decision-making.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the Company’s collaboration and license revenue is generated in the United States and all of the Company’s long-lived assets are held in the United States.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Accounting Standards Update No.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which requires disclosure, in the notes to financial statements, of specified information about certain costs and expenses. The guidance is effective for annual reporting periods beginning after December 15, 2026, and interim reporting periods beginning after December 15, 2027. Early adoption is permitted. The Company is currently evaluating the potential impact of adopting this new guidance on its consolidated financial statements and related disclosures.</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3.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Liabilities measured at fair value on a recurring basis consist of the following as of June 30, 2026:</w:t>
      </w:r>
    </w:p>
    <w:p>
      <w:pPr>
        <w:pStyle w:val="TextBody"/>
        <w:bidi w:val="0"/>
        <w:jc w:val="both"/>
        <w:rPr/>
      </w:pPr>
      <w:r>
        <w:rPr/>
        <w:t> </w:t>
      </w:r>
    </w:p>
    <w:tbl>
      <w:tblPr>
        <w:tblW w:w="9154" w:type="dxa"/>
        <w:jc w:val="left"/>
        <w:tblInd w:w="0" w:type="dxa"/>
        <w:tblLayout w:type="fixed"/>
        <w:tblCellMar>
          <w:top w:w="28" w:type="dxa"/>
          <w:left w:w="28" w:type="dxa"/>
          <w:bottom w:w="28" w:type="dxa"/>
          <w:right w:w="28" w:type="dxa"/>
        </w:tblCellMar>
      </w:tblPr>
      <w:tblGrid>
        <w:gridCol w:w="3806"/>
        <w:gridCol w:w="146"/>
        <w:gridCol w:w="293"/>
        <w:gridCol w:w="202"/>
        <w:gridCol w:w="480"/>
        <w:gridCol w:w="146"/>
        <w:gridCol w:w="146"/>
        <w:gridCol w:w="278"/>
        <w:gridCol w:w="193"/>
        <w:gridCol w:w="460"/>
        <w:gridCol w:w="146"/>
        <w:gridCol w:w="146"/>
        <w:gridCol w:w="223"/>
        <w:gridCol w:w="154"/>
        <w:gridCol w:w="719"/>
        <w:gridCol w:w="146"/>
        <w:gridCol w:w="146"/>
        <w:gridCol w:w="211"/>
        <w:gridCol w:w="146"/>
        <w:gridCol w:w="676"/>
        <w:gridCol w:w="291"/>
      </w:tblGrid>
      <w:tr>
        <w:trPr/>
        <w:tc>
          <w:tcPr>
            <w:tcW w:w="3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A 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C 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Liabilities measured at fair value on a recurring basis consist of the following as of December 31, 2025:</w:t>
      </w:r>
    </w:p>
    <w:p>
      <w:pPr>
        <w:pStyle w:val="TextBody"/>
        <w:bidi w:val="0"/>
        <w:spacing w:before="120" w:after="283"/>
        <w:jc w:val="both"/>
        <w:rPr/>
      </w:pPr>
      <w:r>
        <w:rPr/>
        <w:t> </w:t>
      </w:r>
    </w:p>
    <w:tbl>
      <w:tblPr>
        <w:tblW w:w="9309" w:type="dxa"/>
        <w:jc w:val="left"/>
        <w:tblInd w:w="0" w:type="dxa"/>
        <w:tblLayout w:type="fixed"/>
        <w:tblCellMar>
          <w:top w:w="28" w:type="dxa"/>
          <w:left w:w="28" w:type="dxa"/>
          <w:bottom w:w="28" w:type="dxa"/>
          <w:right w:w="28" w:type="dxa"/>
        </w:tblCellMar>
      </w:tblPr>
      <w:tblGrid>
        <w:gridCol w:w="3961"/>
        <w:gridCol w:w="146"/>
        <w:gridCol w:w="293"/>
        <w:gridCol w:w="202"/>
        <w:gridCol w:w="480"/>
        <w:gridCol w:w="146"/>
        <w:gridCol w:w="146"/>
        <w:gridCol w:w="278"/>
        <w:gridCol w:w="193"/>
        <w:gridCol w:w="460"/>
        <w:gridCol w:w="146"/>
        <w:gridCol w:w="146"/>
        <w:gridCol w:w="223"/>
        <w:gridCol w:w="154"/>
        <w:gridCol w:w="719"/>
        <w:gridCol w:w="146"/>
        <w:gridCol w:w="146"/>
        <w:gridCol w:w="211"/>
        <w:gridCol w:w="146"/>
        <w:gridCol w:w="676"/>
        <w:gridCol w:w="2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Prices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A 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C 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fair value of the common stock warrant liabilities, which are described in more detail in Note 8, are calculated utilizing a Black-Scholes option pricing model for the Series A warrants and a Monte Carlo simulation model for the Series C warrants. The Black-Scholes option pricing model and the Monte Carlo simulation model both require the use of assumptions, certain of which are not observable in the market, which represent Level 3 measurements within the fair value hierarchy. The Black-Scholes pricing model and the Monte Carlo simulation model assumptions include the warrant exercise price, the expected term of the warrant, the current price of the Company’s common stock, expected volatility, the risk-free interest rate for the expected term of the warrant and expected dividend yield. The Monte Carlo simulation assumptions also include the potential impacts of the warrant strike price reset feature in the Series C warrants.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assumptions were used in determining the fair value of the Company’s common stock warrant liabilities as of June 30, 2026 and December 31, 2025:</w:t>
      </w:r>
    </w:p>
    <w:p>
      <w:pPr>
        <w:pStyle w:val="TextBody"/>
        <w:bidi w:val="0"/>
        <w:jc w:val="left"/>
        <w:rPr/>
      </w:pPr>
      <w:r>
        <w:rPr/>
        <w:t> </w:t>
      </w:r>
    </w:p>
    <w:tbl>
      <w:tblPr>
        <w:tblW w:w="6055" w:type="dxa"/>
        <w:jc w:val="left"/>
        <w:tblInd w:w="0" w:type="dxa"/>
        <w:tblLayout w:type="fixed"/>
        <w:tblCellMar>
          <w:top w:w="28" w:type="dxa"/>
          <w:left w:w="28" w:type="dxa"/>
          <w:bottom w:w="28" w:type="dxa"/>
          <w:right w:w="28" w:type="dxa"/>
        </w:tblCellMar>
      </w:tblPr>
      <w:tblGrid>
        <w:gridCol w:w="2656"/>
        <w:gridCol w:w="211"/>
        <w:gridCol w:w="198"/>
        <w:gridCol w:w="778"/>
        <w:gridCol w:w="146"/>
        <w:gridCol w:w="271"/>
        <w:gridCol w:w="146"/>
        <w:gridCol w:w="211"/>
        <w:gridCol w:w="198"/>
        <w:gridCol w:w="778"/>
        <w:gridCol w:w="146"/>
        <w:gridCol w:w="316"/>
      </w:tblGrid>
      <w:tr>
        <w:trPr/>
        <w:tc>
          <w:tcPr>
            <w:tcW w:w="2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price of common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exercise price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interest rate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0.42 - 3.93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0.92 - 4.43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summarizes the changes in the fair market value of the Company’s common stock warrant liabilities, which are classified within the Level 3 fair value hierarchy:</w:t>
      </w:r>
    </w:p>
    <w:p>
      <w:pPr>
        <w:pStyle w:val="TextBody"/>
        <w:bidi w:val="0"/>
        <w:jc w:val="both"/>
        <w:rPr/>
      </w:pPr>
      <w:r>
        <w:rPr/>
        <w:t> </w:t>
      </w:r>
    </w:p>
    <w:tbl>
      <w:tblPr>
        <w:tblW w:w="8816" w:type="dxa"/>
        <w:jc w:val="left"/>
        <w:tblInd w:w="0" w:type="dxa"/>
        <w:tblLayout w:type="fixed"/>
        <w:tblCellMar>
          <w:top w:w="28" w:type="dxa"/>
          <w:left w:w="28" w:type="dxa"/>
          <w:bottom w:w="28" w:type="dxa"/>
          <w:right w:w="28" w:type="dxa"/>
        </w:tblCellMar>
      </w:tblPr>
      <w:tblGrid>
        <w:gridCol w:w="4781"/>
        <w:gridCol w:w="146"/>
        <w:gridCol w:w="211"/>
        <w:gridCol w:w="146"/>
        <w:gridCol w:w="676"/>
        <w:gridCol w:w="146"/>
        <w:gridCol w:w="146"/>
        <w:gridCol w:w="211"/>
        <w:gridCol w:w="146"/>
        <w:gridCol w:w="571"/>
        <w:gridCol w:w="166"/>
        <w:gridCol w:w="146"/>
        <w:gridCol w:w="211"/>
        <w:gridCol w:w="146"/>
        <w:gridCol w:w="676"/>
        <w:gridCol w:w="291"/>
      </w:tblGrid>
      <w:tr>
        <w:trP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level 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1"/>
        <w:bidi w:val="0"/>
        <w:spacing w:before="160" w:after="283"/>
        <w:jc w:val="both"/>
        <w:rPr>
          <w:rFonts w:ascii="Times New Roman" w:hAnsi="Times New Roman"/>
          <w:color w:val="000000"/>
          <w:sz w:val="20"/>
        </w:rPr>
      </w:pPr>
      <w:r>
        <w:rPr>
          <w:rFonts w:ascii="Times New Roman" w:hAnsi="Times New Roman"/>
          <w:color w:val="000000"/>
          <w:sz w:val="20"/>
        </w:rPr>
        <w:t>4.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consists of the following as of June 30, 2026 and December 31, 2025:</w:t>
      </w:r>
    </w:p>
    <w:p>
      <w:pPr>
        <w:pStyle w:val="TextBody"/>
        <w:bidi w:val="0"/>
        <w:jc w:val="both"/>
        <w:rPr/>
      </w:pPr>
      <w:r>
        <w:rPr/>
        <w:t> </w:t>
      </w:r>
    </w:p>
    <w:tbl>
      <w:tblPr>
        <w:tblW w:w="5747" w:type="dxa"/>
        <w:jc w:val="left"/>
        <w:tblInd w:w="0" w:type="dxa"/>
        <w:tblLayout w:type="fixed"/>
        <w:tblCellMar>
          <w:top w:w="28" w:type="dxa"/>
          <w:left w:w="28" w:type="dxa"/>
          <w:bottom w:w="28" w:type="dxa"/>
          <w:right w:w="28" w:type="dxa"/>
        </w:tblCellMar>
      </w:tblPr>
      <w:tblGrid>
        <w:gridCol w:w="2751"/>
        <w:gridCol w:w="146"/>
        <w:gridCol w:w="211"/>
        <w:gridCol w:w="146"/>
        <w:gridCol w:w="676"/>
        <w:gridCol w:w="166"/>
        <w:gridCol w:w="146"/>
        <w:gridCol w:w="223"/>
        <w:gridCol w:w="154"/>
        <w:gridCol w:w="717"/>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The Company recognized depreciation and amortization expense related to property and equipment of $0.3 million and $0.4 million for the three months ended June 30, 2026 and 2025, respectively. The Company recognized depreciation and amortization expense related to property and equipment of $0.7 million and $0.9 million for the six months ended June 30, 2026 and 2025, respectively. </w:t>
      </w:r>
    </w:p>
    <w:p>
      <w:pPr>
        <w:pStyle w:val="Heading1"/>
        <w:bidi w:val="0"/>
        <w:spacing w:before="160" w:after="283"/>
        <w:jc w:val="both"/>
        <w:rPr>
          <w:rFonts w:ascii="Times New Roman" w:hAnsi="Times New Roman"/>
          <w:color w:val="000000"/>
          <w:sz w:val="20"/>
        </w:rPr>
      </w:pPr>
      <w:r>
        <w:rPr>
          <w:rFonts w:ascii="Times New Roman" w:hAnsi="Times New Roman"/>
          <w:color w:val="000000"/>
          <w:sz w:val="20"/>
        </w:rPr>
        <w:t>5.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consist of the following as of June 30, 2026 and December 31, 2025:</w:t>
      </w:r>
    </w:p>
    <w:p>
      <w:pPr>
        <w:pStyle w:val="TextBody"/>
        <w:bidi w:val="0"/>
        <w:jc w:val="both"/>
        <w:rPr/>
      </w:pPr>
      <w:r>
        <w:rPr/>
        <w:t> </w:t>
      </w:r>
    </w:p>
    <w:tbl>
      <w:tblPr>
        <w:tblW w:w="5722" w:type="dxa"/>
        <w:jc w:val="left"/>
        <w:tblInd w:w="0" w:type="dxa"/>
        <w:tblLayout w:type="fixed"/>
        <w:tblCellMar>
          <w:top w:w="28" w:type="dxa"/>
          <w:left w:w="28" w:type="dxa"/>
          <w:bottom w:w="28" w:type="dxa"/>
          <w:right w:w="28" w:type="dxa"/>
        </w:tblCellMar>
      </w:tblPr>
      <w:tblGrid>
        <w:gridCol w:w="2971"/>
        <w:gridCol w:w="146"/>
        <w:gridCol w:w="211"/>
        <w:gridCol w:w="146"/>
        <w:gridCol w:w="571"/>
        <w:gridCol w:w="146"/>
        <w:gridCol w:w="146"/>
        <w:gridCol w:w="223"/>
        <w:gridCol w:w="154"/>
        <w:gridCol w:w="717"/>
        <w:gridCol w:w="2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Heading1"/>
        <w:bidi w:val="0"/>
        <w:spacing w:before="160" w:after="283"/>
        <w:jc w:val="both"/>
        <w:rPr>
          <w:rFonts w:ascii="Times New Roman" w:hAnsi="Times New Roman"/>
          <w:color w:val="000000"/>
          <w:sz w:val="20"/>
        </w:rPr>
      </w:pPr>
      <w:r>
        <w:rPr>
          <w:rFonts w:ascii="Times New Roman" w:hAnsi="Times New Roman"/>
          <w:color w:val="000000"/>
          <w:sz w:val="20"/>
        </w:rPr>
        <w:t>6. Collaboration, License and Option Agreements</w:t>
      </w:r>
    </w:p>
    <w:p>
      <w:pPr>
        <w:pStyle w:val="Heading1"/>
        <w:bidi w:val="0"/>
        <w:spacing w:before="120" w:after="283"/>
        <w:jc w:val="both"/>
        <w:rPr>
          <w:rFonts w:ascii="Times New Roman" w:hAnsi="Times New Roman"/>
          <w:i/>
          <w:color w:val="000000"/>
          <w:sz w:val="20"/>
        </w:rPr>
      </w:pPr>
      <w:r>
        <w:rPr>
          <w:rFonts w:ascii="Times New Roman" w:hAnsi="Times New Roman"/>
          <w:i/>
          <w:color w:val="000000"/>
          <w:sz w:val="20"/>
        </w:rPr>
        <w:t>Collaboration, License and Option Agreement with AbbVie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2025, Xilio Development entered into a collaboration, license and option agreement (the “Collaboration Agreement”) with AbbVie Group Holdings Limited ("AbbVie") for up to four programs leveraging the Company’s proprietary masking technology and platform, consisting of (i) an exclusive license for a program to develop and commercialize a masked antibody-based immunotherapy (the “Collaboration Program”) and (ii) an exclusive option for (a) an initial program to discover, develop and commercialize masked T cell engager molecules for an agreed upon initial target and backup target (“Initial Option Program”), and (b) subject to the terms of the Collaboration Agreement, up to two additional programs (each, an “Additional Option Program” and together with the Initial Option Program, the “Option Programs”).</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 xml:space="preserve">In connection with the Collaboration Program, Xilio Development is responsible for conducting all preclinical development through lead generation (“Collaboration Program Services”). For the Initial Option Program, AbbVie’s option right is exercisable beginning on the effective date of the Collaboration Agreement, and for each Additional Option Program, AbbVie’s option right is exercisable following delivery of written notice of nomination of such Additional Option Program. During the </w:t>
      </w:r>
      <w:r>
        <w:rPr>
          <w:rFonts w:ascii="Times New Roman" w:hAnsi="Times New Roman"/>
          <w:color w:val="000000"/>
          <w:sz w:val="20"/>
        </w:rPr>
        <w:t xml:space="preserve">three-year </w:t>
      </w:r>
      <w:r>
        <w:rPr>
          <w:rFonts w:ascii="Times New Roman" w:hAnsi="Times New Roman"/>
          <w:b w:val="false"/>
          <w:color w:val="000000"/>
          <w:sz w:val="20"/>
        </w:rPr>
        <w:t>period following the effective date of the Collaboration Agreement, AbbVie has the right to initiate up to two</w:t>
      </w:r>
      <w:r>
        <w:rPr>
          <w:rFonts w:ascii="Times New Roman" w:hAnsi="Times New Roman"/>
          <w:color w:val="000000"/>
          <w:sz w:val="20"/>
        </w:rPr>
        <w:t xml:space="preserve"> </w:t>
      </w:r>
      <w:r>
        <w:rPr>
          <w:rFonts w:ascii="Times New Roman" w:hAnsi="Times New Roman"/>
          <w:b w:val="false"/>
          <w:color w:val="000000"/>
          <w:sz w:val="20"/>
        </w:rPr>
        <w:t>Additional Option Programs by (a) selecting an initial target and backup target for each such Additional Option Program (excluding the target known as prostate-specific membrane antigen and any other target for which Xilio Development has completed specified activities prior to lead selection) and (b) paying Xilio Development an additional program nomination fee for each Additional Option Program. For each Option Program, prior to option exercise, Xilio Development is responsible for conducting preclinical discovery and development up to the completion of investigational new drug application (“IND”) enabling studies, subject to AbbVie paying Xilio Development option extension fees upon completion of specified stages of preclinical discovery and development (“Option Program Services”). Unless AbbVie elects to extend preclinical development through the next stage and pays the applicable option extension fee, AbbVie’s option right terminates within a specified time period following completion of each stage of preclinical development. Upon exercising its option for an Option Program, AbbVie will be responsible for any remaining preclinical development, if applicable, and all clinical development, regulatory and commercialization activities with respect to licensed products under the applicable Option Program.</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In addition, on an Option Program-by-Option Program basis, prior to the initiation of specified activities related to lead optimization and selection for the initial target for such Option Program, AbbVie has a one-time right to substitute the initial target with the backup target agreed upon by the parties at the time of Option Program initiation, subject to the payment by AbbVie of a one-time substitution fee with respect to such substituted target and the other terms of the Collaboration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In connection with the execution of the Collaboration Agreement, in February 2025, the Company also entered into a stock purchase agreement with AbbVie Inc. pursuant to which the Company issued and sold 310,559</w:t>
      </w:r>
      <w:r>
        <w:rPr>
          <w:rFonts w:ascii="Times New Roman" w:hAnsi="Times New Roman"/>
          <w:color w:val="000000"/>
          <w:sz w:val="20"/>
        </w:rPr>
        <w:t xml:space="preserve"> </w:t>
      </w:r>
      <w:r>
        <w:rPr>
          <w:rFonts w:ascii="Times New Roman" w:hAnsi="Times New Roman"/>
          <w:b w:val="false"/>
          <w:color w:val="000000"/>
          <w:sz w:val="20"/>
        </w:rPr>
        <w:t>shares of its common stock to AbbVie Inc. in a private placement at a purchase price of $32.20</w:t>
      </w:r>
      <w:r>
        <w:rPr>
          <w:rFonts w:ascii="Times New Roman" w:hAnsi="Times New Roman"/>
          <w:color w:val="000000"/>
          <w:sz w:val="20"/>
        </w:rPr>
        <w:t xml:space="preserve"> </w:t>
      </w:r>
      <w:r>
        <w:rPr>
          <w:rFonts w:ascii="Times New Roman" w:hAnsi="Times New Roman"/>
          <w:b w:val="false"/>
          <w:color w:val="000000"/>
          <w:sz w:val="20"/>
        </w:rPr>
        <w:t>per share for an aggregate purchase price of $10.0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As of June 30, 2026, the Company has received $57.0</w:t>
      </w:r>
      <w:r>
        <w:rPr>
          <w:rFonts w:ascii="Times New Roman" w:hAnsi="Times New Roman"/>
          <w:color w:val="000000"/>
          <w:sz w:val="20"/>
        </w:rPr>
        <w:t xml:space="preserve"> </w:t>
      </w:r>
      <w:r>
        <w:rPr>
          <w:rFonts w:ascii="Times New Roman" w:hAnsi="Times New Roman"/>
          <w:b w:val="false"/>
          <w:color w:val="000000"/>
          <w:sz w:val="20"/>
        </w:rPr>
        <w:t>million in payments under the AbbVie agreements, consisting of a $42.0</w:t>
      </w:r>
      <w:r>
        <w:rPr>
          <w:rFonts w:ascii="Times New Roman" w:hAnsi="Times New Roman"/>
          <w:color w:val="000000"/>
          <w:sz w:val="20"/>
        </w:rPr>
        <w:t xml:space="preserve"> </w:t>
      </w:r>
      <w:r>
        <w:rPr>
          <w:rFonts w:ascii="Times New Roman" w:hAnsi="Times New Roman"/>
          <w:b w:val="false"/>
          <w:color w:val="000000"/>
          <w:sz w:val="20"/>
        </w:rPr>
        <w:t>million upfront cash payment under the Collaboration Agreement, $10.0</w:t>
      </w:r>
      <w:r>
        <w:rPr>
          <w:rFonts w:ascii="Times New Roman" w:hAnsi="Times New Roman"/>
          <w:color w:val="000000"/>
          <w:sz w:val="20"/>
        </w:rPr>
        <w:t xml:space="preserve"> </w:t>
      </w:r>
      <w:r>
        <w:rPr>
          <w:rFonts w:ascii="Times New Roman" w:hAnsi="Times New Roman"/>
          <w:b w:val="false"/>
          <w:color w:val="000000"/>
          <w:sz w:val="20"/>
        </w:rPr>
        <w:t>million in gross proceeds from the private placement under the stock purchase agreement and a $5.0</w:t>
      </w:r>
      <w:r>
        <w:rPr>
          <w:rFonts w:ascii="Times New Roman" w:hAnsi="Times New Roman"/>
          <w:color w:val="000000"/>
          <w:sz w:val="20"/>
        </w:rPr>
        <w:t xml:space="preserve"> </w:t>
      </w:r>
      <w:r>
        <w:rPr>
          <w:rFonts w:ascii="Times New Roman" w:hAnsi="Times New Roman"/>
          <w:b w:val="false"/>
          <w:color w:val="000000"/>
          <w:sz w:val="20"/>
        </w:rPr>
        <w:t>million development milestone related to the Collaboration Program.</w:t>
      </w:r>
      <w:r>
        <w:rPr>
          <w:rFonts w:ascii="Times New Roman" w:hAnsi="Times New Roman"/>
          <w:color w:val="000000"/>
          <w:sz w:val="20"/>
        </w:rPr>
        <w:t xml:space="preserve"> </w:t>
      </w:r>
      <w:r>
        <w:rPr>
          <w:rFonts w:ascii="Times New Roman" w:hAnsi="Times New Roman"/>
          <w:b w:val="false"/>
          <w:color w:val="000000"/>
          <w:sz w:val="20"/>
        </w:rPr>
        <w:t>In the second quarter of 2026, the Company achieved an additional $6.0</w:t>
      </w:r>
      <w:r>
        <w:rPr>
          <w:rFonts w:ascii="Times New Roman" w:hAnsi="Times New Roman"/>
          <w:color w:val="000000"/>
          <w:sz w:val="20"/>
        </w:rPr>
        <w:t xml:space="preserve"> </w:t>
      </w:r>
      <w:r>
        <w:rPr>
          <w:rFonts w:ascii="Times New Roman" w:hAnsi="Times New Roman"/>
          <w:b w:val="false"/>
          <w:color w:val="000000"/>
          <w:sz w:val="20"/>
        </w:rPr>
        <w:t>million development milestone related to the Collaboration Program, which was recorded as a receivable on the condensed consolidated balance sheet as of June 30, 2026 and was received in the third quarter of 2026.</w:t>
      </w:r>
      <w:r>
        <w:rPr>
          <w:rFonts w:ascii="Times New Roman" w:hAnsi="Times New Roman"/>
          <w:color w:val="000000"/>
          <w:sz w:val="20"/>
        </w:rPr>
        <w:t xml:space="preserve"> </w:t>
      </w:r>
      <w:r>
        <w:rPr>
          <w:rFonts w:ascii="Times New Roman" w:hAnsi="Times New Roman"/>
          <w:b w:val="false"/>
          <w:color w:val="000000"/>
          <w:sz w:val="20"/>
        </w:rPr>
        <w:t>The Company is eligible to receive up to approximately $2.1</w:t>
      </w:r>
      <w:r>
        <w:rPr>
          <w:rFonts w:ascii="Times New Roman" w:hAnsi="Times New Roman"/>
          <w:color w:val="000000"/>
          <w:sz w:val="20"/>
        </w:rPr>
        <w:t xml:space="preserve"> </w:t>
      </w:r>
      <w:r>
        <w:rPr>
          <w:rFonts w:ascii="Times New Roman" w:hAnsi="Times New Roman"/>
          <w:b w:val="false"/>
          <w:color w:val="000000"/>
          <w:sz w:val="20"/>
        </w:rPr>
        <w:t>billion in additional contingent payments under the Collaboration Agreement, consisting of (i) up to $305.0</w:t>
      </w:r>
      <w:r>
        <w:rPr>
          <w:rFonts w:ascii="Times New Roman" w:hAnsi="Times New Roman"/>
          <w:color w:val="000000"/>
          <w:sz w:val="20"/>
        </w:rPr>
        <w:t xml:space="preserve"> </w:t>
      </w:r>
      <w:r>
        <w:rPr>
          <w:rFonts w:ascii="Times New Roman" w:hAnsi="Times New Roman"/>
          <w:b w:val="false"/>
          <w:color w:val="000000"/>
          <w:sz w:val="20"/>
        </w:rPr>
        <w:t>million in aggregate program nomination fees, preclinical development option extension fees and option fees for the Option Programs and (ii) up to $1.8</w:t>
      </w:r>
      <w:r>
        <w:rPr>
          <w:rFonts w:ascii="Times New Roman" w:hAnsi="Times New Roman"/>
          <w:color w:val="000000"/>
          <w:sz w:val="20"/>
        </w:rPr>
        <w:t xml:space="preserve"> </w:t>
      </w:r>
      <w:r>
        <w:rPr>
          <w:rFonts w:ascii="Times New Roman" w:hAnsi="Times New Roman"/>
          <w:b w:val="false"/>
          <w:color w:val="000000"/>
          <w:sz w:val="20"/>
        </w:rPr>
        <w:t>billion in aggregate development, regulatory and sales-based milestones for all Option Programs and the Collaboration Program. In addition, the Company is eligible to receive tiered royalties ranging in the high single digits on annual global net product sales for the Option Program and is eligible to receive tiered royalties ranging in the mid-single digits on annual global net product sales for the Collaboration Program.</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 xml:space="preserve">The Company considered the criteria of ASC 606, </w:t>
      </w:r>
      <w:r>
        <w:rPr>
          <w:rFonts w:ascii="Times New Roman" w:hAnsi="Times New Roman"/>
          <w:b w:val="false"/>
          <w:i/>
          <w:color w:val="000000"/>
          <w:sz w:val="20"/>
        </w:rPr>
        <w:t xml:space="preserve">Revenue from Contracts with Customers </w:t>
      </w:r>
      <w:r>
        <w:rPr>
          <w:rFonts w:ascii="Times New Roman" w:hAnsi="Times New Roman"/>
          <w:b w:val="false"/>
          <w:color w:val="000000"/>
          <w:sz w:val="20"/>
        </w:rPr>
        <w:t>(“ASC 606”) for combining contracts and determined the Collaboration Agreement and the stock purchase agreement should be combined into a single contract because they were negotiated and entered into in contemplation of one another. The Company accounted for the common stock issued to AbbVie Inc. based on the fair market value of the common stock on the date of issuance. The fair market value of the common stock issued to AbbVie</w:t>
      </w:r>
      <w:r>
        <w:rPr>
          <w:rFonts w:ascii="Times New Roman" w:hAnsi="Times New Roman"/>
          <w:color w:val="000000"/>
          <w:sz w:val="20"/>
        </w:rPr>
        <w:t xml:space="preser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Inc. was $2.9</w:t>
      </w:r>
      <w:r>
        <w:rPr>
          <w:rFonts w:ascii="Times New Roman" w:hAnsi="Times New Roman"/>
          <w:color w:val="000000"/>
          <w:sz w:val="20"/>
        </w:rPr>
        <w:t xml:space="preserve"> </w:t>
      </w:r>
      <w:r>
        <w:rPr>
          <w:rFonts w:ascii="Times New Roman" w:hAnsi="Times New Roman"/>
          <w:b w:val="false"/>
          <w:color w:val="000000"/>
          <w:sz w:val="20"/>
        </w:rPr>
        <w:t>million, based on the closing price of the Company’s common stock on the date of issuance, resulting in a $7.1</w:t>
      </w:r>
      <w:r>
        <w:rPr>
          <w:rFonts w:ascii="Times New Roman" w:hAnsi="Times New Roman"/>
          <w:color w:val="000000"/>
          <w:sz w:val="20"/>
        </w:rPr>
        <w:t xml:space="preserve"> </w:t>
      </w:r>
      <w:r>
        <w:rPr>
          <w:rFonts w:ascii="Times New Roman" w:hAnsi="Times New Roman"/>
          <w:b w:val="false"/>
          <w:color w:val="000000"/>
          <w:sz w:val="20"/>
        </w:rPr>
        <w:t>million premium. The Company determined that the premium paid by AbbVie Inc. for the common stock purchased should be attributed to the transaction price of the Collaboration Agreement.</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determined that the Collaboration Agreement represents a contract with a customer within the scope of ASC 606 and identified the following promises under the Collaboration Agreement: (i) the exclusive license granted to AbbVie related to the Collaboration Program, (ii) the Collaboration Program Services and (iii) the Option Program Services for the Initial Option Program. In addition, the Company identified several customer options that were evaluated to determine if such options represented material rights, each of which would be considered a performance obligation at contract inception only if the option provides a material right to AbbVie that it would not receive without entering into that contract.</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The Company determined that the exclusive license and development services related to the Collaboration Program Services were not capable of being distinct on the basis that the services to be provided by Xilio Development are specialized in nature, specifically with respect to its specialized expertise in developing masked antibody-based immunotherapies and the Company’s proprietary platform for masked biologics. Accordingly, the Company concluded that these promises should be a combined performance obligation consisting of the exclusive license and the development services for the Collaboration Program Services. As such, the Company identified the following performance obligations at contract inception: (i) the performance obligation consisting of the exclusive license and the Collaboration Program Services (the “Collaboration Program Performance Obligation”); (ii) the Option Program Services for the Initial Option Program (the “Initial Option Program Performance Obligation”); (iii) a material right to receive an exclusive license to the Initial Option Program; (iv) a material right to receive additional services related to the Initial Option Program; and (v) a material right related to AbbVie’s one-time right to substitute the initial target with the backup target for the Initial Option Program.</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For purposes of ASC 606, the transaction price at the outset of the arrangement was determined to be $49.1</w:t>
      </w:r>
      <w:r>
        <w:rPr>
          <w:rFonts w:ascii="Times New Roman" w:hAnsi="Times New Roman"/>
          <w:color w:val="000000"/>
          <w:sz w:val="20"/>
        </w:rPr>
        <w:t xml:space="preserve"> </w:t>
      </w:r>
      <w:r>
        <w:rPr>
          <w:rFonts w:ascii="Times New Roman" w:hAnsi="Times New Roman"/>
          <w:b w:val="false"/>
          <w:color w:val="000000"/>
          <w:sz w:val="20"/>
        </w:rPr>
        <w:t>million, which consisted of the upfront cash payment of $42.0</w:t>
      </w:r>
      <w:r>
        <w:rPr>
          <w:rFonts w:ascii="Times New Roman" w:hAnsi="Times New Roman"/>
          <w:color w:val="000000"/>
          <w:sz w:val="20"/>
        </w:rPr>
        <w:t xml:space="preserve"> </w:t>
      </w:r>
      <w:r>
        <w:rPr>
          <w:rFonts w:ascii="Times New Roman" w:hAnsi="Times New Roman"/>
          <w:b w:val="false"/>
          <w:color w:val="000000"/>
          <w:sz w:val="20"/>
        </w:rPr>
        <w:t>million under the Collaboration Agreement and the $7.1</w:t>
      </w:r>
      <w:r>
        <w:rPr>
          <w:rFonts w:ascii="Times New Roman" w:hAnsi="Times New Roman"/>
          <w:color w:val="000000"/>
          <w:sz w:val="20"/>
        </w:rPr>
        <w:t xml:space="preserve"> </w:t>
      </w:r>
      <w:r>
        <w:rPr>
          <w:rFonts w:ascii="Times New Roman" w:hAnsi="Times New Roman"/>
          <w:b w:val="false"/>
          <w:color w:val="000000"/>
          <w:sz w:val="20"/>
        </w:rPr>
        <w:t>million premium on the sale of common stock to AbbVie Inc. The Company used the most likely amount method to estimate variable consideration. During the year ended December 31, 2025, the overall transaction price was adjusted to include the achievement of a $5.0</w:t>
      </w:r>
      <w:r>
        <w:rPr>
          <w:rFonts w:ascii="Times New Roman" w:hAnsi="Times New Roman"/>
          <w:color w:val="000000"/>
          <w:sz w:val="20"/>
        </w:rPr>
        <w:t xml:space="preserve"> </w:t>
      </w:r>
      <w:r>
        <w:rPr>
          <w:rFonts w:ascii="Times New Roman" w:hAnsi="Times New Roman"/>
          <w:b w:val="false"/>
          <w:color w:val="000000"/>
          <w:sz w:val="20"/>
        </w:rPr>
        <w:t>million development milestone related to the Collaboration Program in the fourth quarter of 2025. During the three and six months ended June 30, 2026, the overall transaction price was adjusted to include the achievement of a $6.0</w:t>
      </w:r>
      <w:r>
        <w:rPr>
          <w:rFonts w:ascii="Times New Roman" w:hAnsi="Times New Roman"/>
          <w:color w:val="000000"/>
          <w:sz w:val="20"/>
        </w:rPr>
        <w:t xml:space="preserve"> </w:t>
      </w:r>
      <w:r>
        <w:rPr>
          <w:rFonts w:ascii="Times New Roman" w:hAnsi="Times New Roman"/>
          <w:b w:val="false"/>
          <w:color w:val="000000"/>
          <w:sz w:val="20"/>
        </w:rPr>
        <w:t>million development milestone related to the Collaboration Program in the second quarter of 2026. All additional contingent payments are fully constrained as of June 30, 2026, as the achievement of the milestones underlying such contingent payments is based on either the Company or AbbVie’s ability to execute under the development plan which is not certain at contract inception. Accordingly, all such contingent payments are excluded from the transaction price. The Company reevaluates the transaction price at the end of each reporting period and as uncertain events are resolved or other changes in circumstances occur and may adjust the transaction price as necessary. Sales-based royalties, including milestone payments based on the level of sales, were also excluded from the transaction price, as the license is deemed to be the predominant item to which the royalties relate. The Company plans to recognize such revenue at the later of (i) when the related sales occur or (ii) when the performance obligation to which some or all of the royalty has been allocated has been satisfied (or partially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allocated the transaction price at the outset of the arrangements to the performance obligations on a relative selling price basis as follows: (i) $32.4 million related to the Collaboration Program Performance Obligation; (ii) $6.9 million related to the Initial Option Program Performance Obligation; (iii) $8.2 million related to the material right to receive an exclusive license to the Initial Option Program; (iv) $1.1 million related to the material right to receive additional services related to the Initial Option Program; and (v) $0.5 million related to the material right for AbbVie’s one-time right to substitute the initial target with the backup target for the Initial Option Program. The Company determined the estimated standalone selling price for the licenses using an adjusted market assessment approach, whereby the Company adjusted a comparable transaction previously entered into by the Company and comparable third-party transactions to reflect the stage of development of the Company’s assets under the Collaboration Agreement. The Company determined the estimated standalone selling price for services based on estimated costs to be incurred plus a reasonable margin. The Company determined the estimated standalone selling price for material rights by estimating the standalone selling price of the underlying performance obligations included in the material right and estimating the probability that AbbVie will exercise such material right.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Revenue associated with the Collaboration Program Performance Obligation and the Initial Option Program Performance Obligation is recognized as the underlying services are provided as control is transferred over time. The Company measures progress based on the amount of costs incurred relative to the total costs expected to fulfill the combined performance obligation. In management’s judgment, this input method is the best measure of progress towards satisfying the combined performance obligation and reflects a faithful depiction</w:t>
      </w:r>
      <w:r>
        <w:rPr>
          <w:rFonts w:ascii="Times New Roman" w:hAnsi="Times New Roman"/>
          <w:color w:val="000000"/>
          <w:sz w:val="20"/>
        </w:rPr>
        <w:t xml:space="preser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of the transfer of goods and services. Revenue associated with the material rights will be recognized upon expiry if the option is not exercised. If the material right is exercised, the Company will evaluate the performance obligations underlying the option exercised and recognize the amount allocated to the material right and any additional consideration over the appropriate recognition period associated with the underlying performance obligations.</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For the three months ended June 30, 2026 and 2025, the Company recognized collaboration and license revenue of $12.7</w:t>
      </w:r>
      <w:r>
        <w:rPr>
          <w:rFonts w:ascii="Times New Roman" w:hAnsi="Times New Roman"/>
          <w:color w:val="000000"/>
          <w:sz w:val="20"/>
        </w:rPr>
        <w:t xml:space="preserve"> </w:t>
      </w:r>
      <w:r>
        <w:rPr>
          <w:rFonts w:ascii="Times New Roman" w:hAnsi="Times New Roman"/>
          <w:b w:val="false"/>
          <w:color w:val="000000"/>
          <w:sz w:val="20"/>
        </w:rPr>
        <w:t>million and $4.8</w:t>
      </w:r>
      <w:r>
        <w:rPr>
          <w:rFonts w:ascii="Times New Roman" w:hAnsi="Times New Roman"/>
          <w:color w:val="000000"/>
          <w:sz w:val="20"/>
        </w:rPr>
        <w:t xml:space="preserve"> </w:t>
      </w:r>
      <w:r>
        <w:rPr>
          <w:rFonts w:ascii="Times New Roman" w:hAnsi="Times New Roman"/>
          <w:b w:val="false"/>
          <w:color w:val="000000"/>
          <w:sz w:val="20"/>
        </w:rPr>
        <w:t>million, respectively, under the Collaboration Agreement and the stock purchase agreement with AbbVie. For the six months ended June 30, 2026 and 2025, the Company recognized collaboration and license revenue of $20.7</w:t>
      </w:r>
      <w:r>
        <w:rPr>
          <w:rFonts w:ascii="Times New Roman" w:hAnsi="Times New Roman"/>
          <w:color w:val="000000"/>
          <w:sz w:val="20"/>
        </w:rPr>
        <w:t xml:space="preserve"> </w:t>
      </w:r>
      <w:r>
        <w:rPr>
          <w:rFonts w:ascii="Times New Roman" w:hAnsi="Times New Roman"/>
          <w:b w:val="false"/>
          <w:color w:val="000000"/>
          <w:sz w:val="20"/>
        </w:rPr>
        <w:t>million and $5.6</w:t>
      </w:r>
      <w:r>
        <w:rPr>
          <w:rFonts w:ascii="Times New Roman" w:hAnsi="Times New Roman"/>
          <w:color w:val="000000"/>
          <w:sz w:val="20"/>
        </w:rPr>
        <w:t xml:space="preserve"> </w:t>
      </w:r>
      <w:r>
        <w:rPr>
          <w:rFonts w:ascii="Times New Roman" w:hAnsi="Times New Roman"/>
          <w:b w:val="false"/>
          <w:color w:val="000000"/>
          <w:sz w:val="20"/>
        </w:rPr>
        <w:t>million, respectively, under the Collaboration Agreement and the stock purchase agreement with AbbVie. As of June 30, 2026, the Company recorded deferred revenue of $19.3</w:t>
      </w:r>
      <w:r>
        <w:rPr>
          <w:rFonts w:ascii="Times New Roman" w:hAnsi="Times New Roman"/>
          <w:color w:val="000000"/>
          <w:sz w:val="20"/>
        </w:rPr>
        <w:t xml:space="preserve"> </w:t>
      </w:r>
      <w:r>
        <w:rPr>
          <w:rFonts w:ascii="Times New Roman" w:hAnsi="Times New Roman"/>
          <w:b w:val="false"/>
          <w:color w:val="000000"/>
          <w:sz w:val="20"/>
        </w:rPr>
        <w:t>million, of which $9.4</w:t>
      </w:r>
      <w:r>
        <w:rPr>
          <w:rFonts w:ascii="Times New Roman" w:hAnsi="Times New Roman"/>
          <w:color w:val="000000"/>
          <w:sz w:val="20"/>
        </w:rPr>
        <w:t xml:space="preserve"> </w:t>
      </w:r>
      <w:r>
        <w:rPr>
          <w:rFonts w:ascii="Times New Roman" w:hAnsi="Times New Roman"/>
          <w:b w:val="false"/>
          <w:color w:val="000000"/>
          <w:sz w:val="20"/>
        </w:rPr>
        <w:t>million was recorded as a current liability on the Company’s condensed consolidated balance sheet. The deferred revenue is expected to be recognized as collaboration and license revenue through at least 2026 depending on (i) the timing of services being provided for the Collaboration Program and the Initial Option Program and (ii) the timing of AbbVie’s exercise or expiration of the material rights.</w:t>
      </w:r>
    </w:p>
    <w:p>
      <w:pPr>
        <w:pStyle w:val="Heading1"/>
        <w:bidi w:val="0"/>
        <w:spacing w:before="360" w:after="283"/>
        <w:jc w:val="both"/>
        <w:rPr>
          <w:rFonts w:ascii="Times New Roman" w:hAnsi="Times New Roman"/>
          <w:i/>
          <w:color w:val="000000"/>
          <w:sz w:val="20"/>
        </w:rPr>
      </w:pPr>
      <w:r>
        <w:rPr>
          <w:rFonts w:ascii="Times New Roman" w:hAnsi="Times New Roman"/>
          <w:i/>
          <w:color w:val="000000"/>
          <w:sz w:val="20"/>
        </w:rPr>
        <w:t>License Agreement with Gilead Sciences,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2024, Xilio Development entered into a license agreement (the "License Agreement") with Gilead Sciences, Inc. ("Gilead"), pursuant to which it granted Gilead an exclusive global license to develop and commercialize efarindodekin alfa, the Company’s masked IL-12 product candidate, and specified other molecules directed to IL-12. Xilio Development is responsible for conducting clinical development for efarindodekin alfa through an initial Phase 2 clinical trial. Following the delivery by Xilio Development of a specified clinical data package for efarindodekin alfa related to the Phase 1 clinical trial and the initial Phase 2 clinical trial, Gilead can elect to transition responsibilities for the development and commercialization of efarindodekin alfa to Gilead, subject to the terms of the License Agreement and payment by Gilead of a $75.0 million transition fee.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connection with the execution of the License Agreement, in March 2024, the Company also entered into a stock purchase agreement with Gilead. Under the stock purchase agreement, Gilead purchased $25.0 million of the Company’s common stock and prefunded warrants in three private placements, consisting of an aggregate of 650,387 shares of common stock and prefunded warrants to purchase up to an aggregate of 712,514 shares of its common stock. The prefunded warrants are exercisable any time at an exercise price of $0.0014 per share, subject to Gilead not being deemed a beneficial owner of greater than 19.9% of the Company’s common stock upon the exercise of the prefunded warrants.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received $72.5 million in payments under the Gilead agreements, consisting of the $30.0 million upfront cash payment under the License Agreement, $25.0 million in gross proceeds from private placements under the stock purchase agreement and a $17.5 million development milestone. As of June 30, 2026, the Company is eligible to receive up to $575.0 million in additional contingent payments, which consist of a $75.0 million transition fee if Gilead exercises its option for the IL-12 program and up to $500.0 million in specified development, regulatory and sales-based milestones after opt-in. In addition, the Company is eligible to receive tiered royalties ranging from high single digits to mid-teens on annual global net product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considered the ASC 606 criteria for combining contracts and determined the License Agreement and the stock purchase agreement should be combined into a single contract because they were negotiated and entered into in contemplation of one another. The Company concluded the initial private placement and the additional private placements do not represent freestanding financial instruments as such instruments are not legally detachable due to contractual transfer restrictions. The Company accounted for the common stock issued to Gilead in the initial private placement based on the fair market value of the common stock on the date of issuance. The fair market value of the common stock issued to Gilead in the initial private placement was $4.4 million, based on the closing price of the Company’s common stock on the date of issuance, resulting in a $9.1 million premium. The Company determined that the premium paid by Gilead for the common stock purchased in the initial private placement should be attributed to the transaction price of the License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determined that the License Agreement represents a contract with a customer within the scope of ASC 606 and identified two promises under the License Agreement: (i) the exclusive licenses granted to Gilead related to the Company’s IL-12 program and (ii) the provision by Xilio Development and its affiliates of development services related to ongoing and planned clinical trials for efarindodekin alfa through an initial Phase 2 clinical trial. The Company determined that the exclusive license and development services were not capable of being distinct on the basis that the development services to be provided by Xilio Development are specialized in nature, specifically with respect to its specialized expertise related to efarindodekin alfa, the IL-12 program and the Company’s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proprietary platform for masked biologics. Accordingly, the Company concluded that there is a single identified combined performance obligation consisting of the exclusive license and the development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ASC 606, the transaction price of the License Agreement at the outset of the arrangement was determined to be $39.1 million, which consisted of the upfront cash payment of $30.0 million under the License Agreement and the $9.1 million premium on the sale of common stock to Gilead in the initial private placement, which was allocated to the single combined performance obligation. The Company used the most likely amount method to estimate variable consideration. During the year ended December 31, 2025, the overall transaction price was adjusted to include the achievement of the $17.5 million development milestone in the third quarter of 2025. All additional contingent payments are fully constrained as of June 30, 2026, as the achievement of the milestones underlying such contingent payments are uncertain and highly susceptible to factors outside of the Company’s control. Accordingly, all such additional contingent payments are excluded from the transaction price. The Company reevaluates the transaction price at the end of each reporting period and as uncertain events are resolved or other changes in circumstances occur and may adjust the transaction price as necessary. Sales-based royalties, including milestone payments based on the level of sales, were also excluded from the transaction price, as the license is deemed to be the predominant item to which the royalties relate. The Company plans to recognize such revenue at the later of (i) when the related sales occur or (ii) when the performance obligation to which some or all of the royalty has been allocated has been satisfied (or partially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associated with the combined performance obligation is recognized as services are provided as control is transferred over time. The Company measures progress based on the amount of costs incurred relative to the total costs expected to fulfill the combined performance obligation. In management’s judgment, this input method is the best measure of progress towards satisfying the combined performance obligation and reflects a faithful depiction of the transfer of goods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June 30, 2026 and 2025, the Company recognized collaboration and license revenue of $6.0 million and $3.3 million, respectively, under the License Agreement and the stock purchase agreement with Gilead. For the six months ended June 30, 2026 and 2025, the Company recognized collaboration and license revenue of $10.6 million and $5.5 million, respectively, under the License Agreement and the stock purchase agreement with Gilead. As of June 30, 2026, the Company recorded deferred revenue under the License Agreement and the stock purchase agreement of $16.0 million, of which $13.2 million was recorded as a current liability on the Company’s condensed consolidated balance sheet. The deferred revenue is expected to be recognized as collaboration and license revenue through at least 2027 depending on the timing of certain clinical development activities.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Summary of Contract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changes in the balances of the Company's contract liabilities:</w:t>
      </w:r>
    </w:p>
    <w:p>
      <w:pPr>
        <w:pStyle w:val="TextBody"/>
        <w:bidi w:val="0"/>
        <w:jc w:val="both"/>
        <w:rPr/>
      </w:pPr>
      <w:r>
        <w:rPr/>
        <w:t> </w:t>
      </w:r>
    </w:p>
    <w:tbl>
      <w:tblPr>
        <w:tblW w:w="8116" w:type="dxa"/>
        <w:jc w:val="left"/>
        <w:tblInd w:w="0" w:type="dxa"/>
        <w:tblLayout w:type="fixed"/>
        <w:tblCellMar>
          <w:top w:w="28" w:type="dxa"/>
          <w:left w:w="28" w:type="dxa"/>
          <w:bottom w:w="28" w:type="dxa"/>
          <w:right w:w="28" w:type="dxa"/>
        </w:tblCellMar>
      </w:tblPr>
      <w:tblGrid>
        <w:gridCol w:w="3856"/>
        <w:gridCol w:w="146"/>
        <w:gridCol w:w="211"/>
        <w:gridCol w:w="146"/>
        <w:gridCol w:w="736"/>
        <w:gridCol w:w="166"/>
        <w:gridCol w:w="146"/>
        <w:gridCol w:w="211"/>
        <w:gridCol w:w="146"/>
        <w:gridCol w:w="736"/>
        <w:gridCol w:w="166"/>
        <w:gridCol w:w="146"/>
        <w:gridCol w:w="211"/>
        <w:gridCol w:w="146"/>
        <w:gridCol w:w="736"/>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Gilead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AbbVie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license 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160" w:after="283"/>
        <w:jc w:val="both"/>
        <w:rPr>
          <w:rFonts w:ascii="Times New Roman" w:hAnsi="Times New Roman"/>
          <w:i/>
          <w:color w:val="000000"/>
          <w:sz w:val="20"/>
        </w:rPr>
      </w:pPr>
      <w:r>
        <w:rPr>
          <w:rFonts w:ascii="Times New Roman" w:hAnsi="Times New Roman"/>
          <w:i/>
          <w:color w:val="000000"/>
          <w:sz w:val="20"/>
        </w:rPr>
        <w:t>Clinical Trial Collaboration with F. Hoffmann-La Roche Ltd</w:t>
      </w:r>
    </w:p>
    <w:p>
      <w:pPr>
        <w:pStyle w:val="Heading1"/>
        <w:bidi w:val="0"/>
        <w:spacing w:before="120" w:after="283"/>
        <w:jc w:val="both"/>
        <w:rPr>
          <w:rFonts w:ascii="Times New Roman" w:hAnsi="Times New Roman"/>
          <w:sz w:val="20"/>
        </w:rPr>
      </w:pPr>
      <w:r>
        <w:rPr>
          <w:rFonts w:ascii="Times New Roman" w:hAnsi="Times New Roman"/>
          <w:b w:val="false"/>
          <w:color w:val="000000"/>
          <w:sz w:val="20"/>
        </w:rPr>
        <w:t>In July 2023, the Company and F. Hoffmann-La Roche Ltd (“Roche”) entered into a clinical trial collaboration pursuant to a clinical supply agreement to evaluate vilastobart in combination with atezolizumab (Tecentriq®) in a Phase 1/2 clinical trial in patients with microsatellite stable metastatic colorectal cancer.</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Under the clinical supply agreement, the Company is eligible to receive specified cost-sharing payments from Roche. As of June 30, 2026, the Company has received $8.0</w:t>
      </w:r>
      <w:r>
        <w:rPr>
          <w:rFonts w:ascii="Times New Roman" w:hAnsi="Times New Roman"/>
          <w:color w:val="000000"/>
          <w:sz w:val="20"/>
        </w:rPr>
        <w:t xml:space="preserve"> </w:t>
      </w:r>
      <w:r>
        <w:rPr>
          <w:rFonts w:ascii="Times New Roman" w:hAnsi="Times New Roman"/>
          <w:b w:val="false"/>
          <w:color w:val="000000"/>
          <w:sz w:val="20"/>
        </w:rPr>
        <w:t>million in total cost-sharing payments from Roche. The Company is responsible for conducting the Phase 1/2 clinical trial and retains global development and commercialization rights to vilastobart.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The Company concluded that the cost-sharing payments under the clinical supply agreement are not in the scope of ASC 606 because the Company does not consider performing research and development services for reimbursement to be part of its ongoing major or central operations. Therefore, the Company applied a reasonable, rational, and consistently applied accounting policy election to record the cost-sharing payments under the clinical supply agreement as a reduction of research and development expenses in the condensed</w:t>
      </w:r>
      <w:r>
        <w:rPr>
          <w:rFonts w:ascii="Times New Roman" w:hAnsi="Times New Roman"/>
          <w:color w:val="000000"/>
          <w:sz w:val="20"/>
        </w:rPr>
        <w:t xml:space="preser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0"/>
        </w:rPr>
        <w:t>consolidated statements of operations and comprehensive loss for the period in which a study development event is achieved. For each of the three months ended June 30, 2026 and 2025 and for the six months ended June 30, 2026, the Company did not recognize a reduction of research and development expenses under the clinical supply agreement. For the six months ended June 30, 2025, the Company recognized a reduction of research and development expenses of $2.0</w:t>
      </w:r>
      <w:r>
        <w:rPr>
          <w:rFonts w:ascii="Times New Roman" w:hAnsi="Times New Roman"/>
          <w:color w:val="000000"/>
          <w:sz w:val="20"/>
        </w:rPr>
        <w:t xml:space="preserve"> </w:t>
      </w:r>
      <w:r>
        <w:rPr>
          <w:rFonts w:ascii="Times New Roman" w:hAnsi="Times New Roman"/>
          <w:b w:val="false"/>
          <w:color w:val="000000"/>
          <w:sz w:val="20"/>
        </w:rPr>
        <w:t>million under the clinical supply agreement.</w:t>
      </w:r>
      <w:r>
        <w:rPr>
          <w:rFonts w:ascii="Times New Roman" w:hAnsi="Times New Roman"/>
          <w:color w:val="000000"/>
          <w:sz w:val="20"/>
        </w:rPr>
        <w:t xml:space="preserve"> </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7. Commitments and Contingencies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The Company has an operating lease for its headquarters and a finance lease for certain lab equipment. In August 2019, the Company entered into a facility lease agreement with a landlord providing funding for tenant improvements and occupancy of approximately 27,830</w:t>
      </w:r>
      <w:r>
        <w:rPr>
          <w:rFonts w:ascii="Times New Roman" w:hAnsi="Times New Roman"/>
          <w:color w:val="000000"/>
          <w:sz w:val="20"/>
        </w:rPr>
        <w:t xml:space="preserve"> </w:t>
      </w:r>
      <w:r>
        <w:rPr>
          <w:rFonts w:ascii="Times New Roman" w:hAnsi="Times New Roman"/>
          <w:b w:val="false"/>
          <w:color w:val="000000"/>
          <w:sz w:val="20"/>
        </w:rPr>
        <w:t xml:space="preserve">square feet of office and laboratory space (the “premises”) at 828 Winter Street, Waltham, Massachusetts. The initial term of the lease expires in March 2030, unless terminated earlier in accordance with the terms of the lease. The Company has an option </w:t>
      </w:r>
      <w:r>
        <w:rPr>
          <w:rFonts w:ascii="Times New Roman" w:hAnsi="Times New Roman"/>
          <w:color w:val="000000"/>
          <w:sz w:val="20"/>
        </w:rPr>
        <w:t xml:space="preserve">to extend </w:t>
      </w:r>
      <w:r>
        <w:rPr>
          <w:rFonts w:ascii="Times New Roman" w:hAnsi="Times New Roman"/>
          <w:b w:val="false"/>
          <w:color w:val="000000"/>
          <w:sz w:val="20"/>
        </w:rPr>
        <w:t xml:space="preserve">the lease for an additional term of </w:t>
      </w:r>
      <w:r>
        <w:rPr>
          <w:rFonts w:ascii="Times New Roman" w:hAnsi="Times New Roman"/>
          <w:color w:val="000000"/>
          <w:sz w:val="20"/>
        </w:rPr>
        <w:t xml:space="preserve">five years </w:t>
      </w:r>
      <w:r>
        <w:rPr>
          <w:rFonts w:ascii="Times New Roman" w:hAnsi="Times New Roman"/>
          <w:b w:val="false"/>
          <w:color w:val="000000"/>
          <w:sz w:val="20"/>
        </w:rPr>
        <w:t>at then-market rates. The Company is obligated to pay its portion of real estate taxes and costs related to the premises, including costs of operations, maintenance, repair, replacement, and management of the leased premises, which it began paying simultaneous with the rent commencement date in March 2020. As of June 30, 2026 and December 31, 2025, the Company had a letter of credit for the benefit of its landlord in the amount of $1.8</w:t>
      </w:r>
      <w:r>
        <w:rPr>
          <w:rFonts w:ascii="Times New Roman" w:hAnsi="Times New Roman"/>
          <w:color w:val="000000"/>
          <w:sz w:val="20"/>
        </w:rPr>
        <w:t xml:space="preserve"> </w:t>
      </w:r>
      <w:r>
        <w:rPr>
          <w:rFonts w:ascii="Times New Roman" w:hAnsi="Times New Roman"/>
          <w:b w:val="false"/>
          <w:color w:val="000000"/>
          <w:sz w:val="20"/>
        </w:rPr>
        <w:t>million, collateralized by a money market account, which is recorded as restricted cash on the condensed consolidated balance sheets.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8. Preferred Stock and Common Stock</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Undesignated Preferred Stock</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As of June 30, 2026 and December 31, 2025, the Company’s restated certificate of incorporation, as amended, authorizes the Company to issue up to 5,000,000</w:t>
      </w:r>
      <w:r>
        <w:rPr>
          <w:rFonts w:ascii="Times New Roman" w:hAnsi="Times New Roman"/>
          <w:color w:val="000000"/>
          <w:sz w:val="20"/>
        </w:rPr>
        <w:t xml:space="preserve"> </w:t>
      </w:r>
      <w:r>
        <w:rPr>
          <w:rFonts w:ascii="Times New Roman" w:hAnsi="Times New Roman"/>
          <w:b w:val="false"/>
          <w:color w:val="000000"/>
          <w:sz w:val="20"/>
        </w:rPr>
        <w:t>shares of undesignated preferred stock at $0.0001</w:t>
      </w:r>
      <w:r>
        <w:rPr>
          <w:rFonts w:ascii="Times New Roman" w:hAnsi="Times New Roman"/>
          <w:color w:val="000000"/>
          <w:sz w:val="20"/>
        </w:rPr>
        <w:t xml:space="preserve"> </w:t>
      </w:r>
      <w:r>
        <w:rPr>
          <w:rFonts w:ascii="Times New Roman" w:hAnsi="Times New Roman"/>
          <w:b w:val="false"/>
          <w:color w:val="000000"/>
          <w:sz w:val="20"/>
        </w:rPr>
        <w:t>par value per share. As of June 30, 2026 and December 31, 2025, there were no</w:t>
      </w:r>
      <w:r>
        <w:rPr>
          <w:rFonts w:ascii="Times New Roman" w:hAnsi="Times New Roman"/>
          <w:color w:val="000000"/>
          <w:sz w:val="20"/>
        </w:rPr>
        <w:t xml:space="preserve"> </w:t>
      </w:r>
      <w:r>
        <w:rPr>
          <w:rFonts w:ascii="Times New Roman" w:hAnsi="Times New Roman"/>
          <w:b w:val="false"/>
          <w:color w:val="000000"/>
          <w:sz w:val="20"/>
        </w:rPr>
        <w:t>shares of preferred stock issued or outstanding.</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Company’s restated certificate of incorporation, as amended, authorized the Company to issue up to 600,000,000 shares of common stock, $0.0001 par value per share.</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February 2026 Follow-On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February 2026, the Company closed a follow-on offering of prefunded warrants and received net proceeds of $37.3 million. In connection with the offering, the Company issued prefunded warrants to purchase 5,341,404 shares of its common stock. Each prefunded warrant is exercisable for one share of the Company's common stock. The purchase price of each prefunded warrant was $7.4886. Each prefunded warrant has an exercise price of $0.0014 per share and is exercisable from the date of issuance until fully exercised, subject to beneficial ownership limitations for each holder. During the three months ended June 30, 2026, a total of 200,298 prefunded warrants related to the February 2026 follow-on offering were exercised and 5,141,106 prefunded warrants remained outstanding as of June 30, 2026.</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June 2025 Follow-On Offering</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June 2025, the Company closed a follow-on offering of prefunded warrants and accompanying common stock warrants and received net proceeds of $47.0 million. In connection with the offering, the Company issued prefunded warrants to purchase 4,762,533 shares of common stock, accompanied by Series A warrants to purchase 4,762,533 shares of common stock (or prefunded warrants in lieu of common stock) (the “Series A warrants”), Series B warrants to purchase 4,762,533 shares of common stock (or prefunded warrants in lieu of common stock) (the “Series B warrants”), and Series C warrants to purchase 4,762,533 shares of common stock (or prefunded warrants in lieu of common stock) (the “Series C warrants”). The combined public offering price of one prefunded warrant, one Series A warrant, one Series B warrant and one Series C warrant, which were sold together but are immediately separable, was $10.4986, which was equal to the combined offering price of the prefunded warrants, Series A warrants, Series B warrants and Series C warrants, less the $0.0014 per share exercise price of the 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event of certain fundamental transactions, each holder of the prefunded warrants and the common stock warrants has the right to receive, upon exercise of such warrant, the same amount and kind of securities, cash or property as such holder would have been entitled to receive upon the occurrence of such fundamental transaction if it had been, immediately prior to such fundamental transaction,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holder of the number of shares of common stock underlying such holder’s warrant without regard to any limitations on exercise contained in such holder’s warrant. The holders of Series A warrants are alternatively entitled to elect to receive consideration in an amount equal to the Black Scholes value of the unexercised portion of such holder’s Series A warrants and if the fundamental transaction is within the Company’s control, the Series A warrant holders can require the Black Scholes value to be paid in cash.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for each dollar of non-dilutive capital received by the Company prior to the exercise or expiration of the remaining outstanding Series C warrants, the Company may elect to cancel a number of warrant shares equal to $14.00 divided by the $10.50 warrant exercise price (or one and one-third warrants) without any compensation paid by the Company to the warrant holders. Subject to certain specified exceptions, non-dilutive capital includes: upfront payments under any future collaboration, license or similar agreement; milestone payments and option fees under any current or future collaboration, license or similar agreement; and net proceeds pursuant to any equity issuance where the purchase price per share is above $21.00.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June 2025 issuance date, the Company concluded that the prefunded warrants, the Series A warrants, the Series B warrants and the Series C warrants are freestanding financial instruments because each of these instruments can be transferred or assigned by the holder subject to compliance with the applicable securities laws and are legally detachable and separately exercisable. The Company determined the classification of each warrant based on the guidance in ASC 480 and ASC 815. As part of this assessment under ASC 815, the Company was required to allocate its available authorized shares of common stock to its outstanding contracts and commitments. The Company applied an accounting policy to first allocate available authorized shares of common stock based on the earliest issuance date of the contract. To the extent more than one contract or commitment made was issued on the same date, the available shares of common stock were allocated first to the contract with the earliest potential exercise date. The Company concluded that the prefunded warrants are classified as equity. The Company concluded the Series A warrants, the Series B warrants and the Series C warrants are required to be initially classified as liabilities as a result of their settlement provisions. The Series B warrants that were exercised for common stock and prefunded warrants in lieu of shares of common stock were reclassified to equity on the later of the date of each exercise, or December 2, 2025, the date the remaining outstanding Series B warrants qualified for equity classification due to the settlement of the exercise price reset feature. The Series A warrants and the remaining outstanding Series C warrants will continue to be classified as liabilities until such time as the applicable warrant is exercised, expires, or qualifies for equity classification.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received initial gross proceeds from the offering of $50.0 million, before deducting approximately $3.0 million in underwriting discounts and commissions and offering expenses payable by the Company. The Company allocated the initial gross proceeds as follows: $26.8 million to the Series A warrants, $6.6 million to the Series B warrants and $5.1 million to the Series C warrants, in each case, based on the fair value of each instrument on the date of issuance with the remaining $11.5 million allocated to the prefunded warrants. The Company allocated the issuance costs to the financial instruments in a manner consistent with the allocation of the proceeds.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months ended June 30, 2026 and 2025, the Company recognized a loss of $3.9 million and a loss of less than $0.1 million, respectively, related to the change in fair value of the common stock warrants. For the six months ended June 30, 2026 and 2025, the Company recognized a loss of $0.6 million and a loss of less than $0.1 million, respectively, related to the change in fair value of the common stock warrants.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exercisability of the prefunded warrants and common stock warrants is subject to limitations on exercise. Specifically, a holder will be prohibited from exercising any portion of any warrant if immediately prior to or following such exercise such holder (together with its affiliates) would beneficially own more than 4.99% (or up to 19.99% at the election of the holder) of the Company’s issued and outstanding common stock immediately after giving effect to the exercise, as such percentage ownership is determined in accordance with the terms of the warrant. However, any holder of any warrant may increase or decrease such percentage to any other percentage not in excess of 19.99%, provided that any such increase will not be effective until the 61st day after notice from the holder is delivered to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year ended December 31, 2025, a total of 524,033 prefunded warrants related to the June 2025 follow-on offering were exercised and 4,238,500 prefunded warrants remained outstanding as of December 31, 2025. No additional prefunded warrants related to the June 2025 follow-on offering were exercised during the three and six months ended June 30,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Series A warrant became exercisable on December 1, 2025, with an exercise price of $10.50 per share of common stock, and will expire on June 5, 2030. Through June 30, 2026, no Series A warrants have been exercised and 4,762,533 Series A warrants remain outstanding.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Each Series B warrant became exercisable on November 1, 2025 and was exercisable through December 31, 2025. During the year ended December 31, 2025, 3,443,388 of the Series B warrants were exercised for 1,008,415 shares of common stock and 2,434,973 prefunded warrants in lieu of shares of common stock. The Company received net proceeds of $34.3 million from the exercise of the Series B warrants, after deducting underwriting discounts and commissions and offering expenses payable by the Company. The remaining 1,319,145 Series B warrants were not exercised and expired on December 31, 2025. In addition, 1,319,145 Series C warrants expired according to their terms on December 31, 2025 in connection with the expiration of unexercised Series B warrants, and 3,443,388 of the Series C warrants remained outstanding as of December 31, 2025. Through June 30, 2026, none of the Series B warrants that were exercised for prefunded warrants in lieu of shares of common stock have been exercised for shares of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remaining Series C warrant became exercisable on June 1, 2026, with an exercise price of $10.50 per share of common stock, and will expire on December 2, 2026; provided that, if the closing sale price of the Company's common stock is below the exercise price on December 2, 2026, the exercise price will reset to the closing sale price on December 1, 2026 and the expiration time will be extended to December 31, 2026. As of June 30, 2026, no Series C warrants had been exercised and 3,443,388 Series C warrants remained outstanding.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prefunded warrants and Series A warrants may be exercised for cash or on a net exercise or “cashless” basis, and the Series C warrants may be exercised for cash or on a net exercise or “cashless” basis in the event there is no effective registration statement or prospectus available which covers the Series C warrants and shares of common stock issuable upon exercise of the Series C warrants. There can be no assurance that any of the warrants that remain outstanding as of June 30, 2026 will be exercised for cash or at all, and it is possible that the common stock warrants may expire without being exercised. If all of the outstanding Series C warrants are exercised in cash at their current exercise price of $10.50 per warrant, the Company will receive up to $36.2 million in additional total gross proceeds by the end of 2026, before deducting underwriting discounts and commissions and any offering expenses.</w:t>
      </w:r>
    </w:p>
    <w:p>
      <w:pPr>
        <w:pStyle w:val="TextBody"/>
        <w:bidi w:val="0"/>
        <w:jc w:val="both"/>
        <w:rPr>
          <w:rFonts w:ascii="Times New Roman" w:hAnsi="Times New Roman"/>
          <w:i/>
          <w:color w:val="000000"/>
          <w:sz w:val="20"/>
        </w:rPr>
      </w:pPr>
      <w:r>
        <w:rPr>
          <w:rFonts w:ascii="Times New Roman" w:hAnsi="Times New Roman"/>
          <w:i/>
          <w:color w:val="000000"/>
          <w:sz w:val="20"/>
        </w:rPr>
        <w:t>Sales Agreement and “At-The-Market” Facility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March 2025, the Company entered into an “at-the-market” (“ATM”) facility with Leerink Partners, LLC (“Leerink”) pursuant to which the Company could initially issue and sell shares of its common stock from time to time at an aggregate offering price of up to $50.0 million through Leerink as sales agent. In May 2026, the Company filed a prospectus supplement to cover the offering, issuance and sale of up to a maximum of $14.5 million of the Company's common stock that may be issued and sold from time to time under the sales agreement with Leerink. During the three months ended June 30, 2026, the Company issued and sold 592,300 shares of its common stock pursuant to the sales agreement with Leerink at a weighted average price of $7.76 per share for aggregate gross proceeds of $4.6 million, before deducting underwriting discounts and commissions and any offering expenses.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Shares Reserved for Future Issuance</w:t>
      </w:r>
    </w:p>
    <w:p>
      <w:pPr>
        <w:pStyle w:val="TextBody"/>
        <w:bidi w:val="0"/>
        <w:jc w:val="both"/>
        <w:rPr>
          <w:rFonts w:ascii="Times New Roman" w:hAnsi="Times New Roman"/>
          <w:color w:val="000000"/>
          <w:sz w:val="20"/>
        </w:rPr>
      </w:pPr>
      <w:r>
        <w:rPr>
          <w:rFonts w:ascii="Times New Roman" w:hAnsi="Times New Roman"/>
          <w:color w:val="000000"/>
          <w:sz w:val="20"/>
        </w:rPr>
        <w:t>Shares of common stock reserved for future issuance consists of the following as of June 30, 2026 and December 31, 2025:</w:t>
      </w:r>
    </w:p>
    <w:p>
      <w:pPr>
        <w:pStyle w:val="TextBody"/>
        <w:bidi w:val="0"/>
        <w:spacing w:before="120" w:after="283"/>
        <w:jc w:val="both"/>
        <w:rPr/>
      </w:pPr>
      <w:r>
        <w:rPr/>
        <w:t> </w:t>
      </w:r>
    </w:p>
    <w:tbl>
      <w:tblPr>
        <w:tblW w:w="7604" w:type="dxa"/>
        <w:jc w:val="left"/>
        <w:tblInd w:w="0" w:type="dxa"/>
        <w:tblLayout w:type="fixed"/>
        <w:tblCellMar>
          <w:top w:w="28" w:type="dxa"/>
          <w:left w:w="28" w:type="dxa"/>
          <w:bottom w:w="28" w:type="dxa"/>
          <w:right w:w="28" w:type="dxa"/>
        </w:tblCellMar>
      </w:tblPr>
      <w:tblGrid>
        <w:gridCol w:w="4411"/>
        <w:gridCol w:w="146"/>
        <w:gridCol w:w="146"/>
        <w:gridCol w:w="1036"/>
        <w:gridCol w:w="146"/>
        <w:gridCol w:w="146"/>
        <w:gridCol w:w="146"/>
        <w:gridCol w:w="1036"/>
        <w:gridCol w:w="3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and 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2,963,086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in process of settlement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13,107,620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8,502,224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8,205,921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8,206,109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24,590,394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20,469,237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eading1"/>
        <w:bidi w:val="0"/>
        <w:spacing w:before="160" w:after="120"/>
        <w:jc w:val="both"/>
        <w:rPr>
          <w:rFonts w:ascii="Times New Roman" w:hAnsi="Times New Roman"/>
          <w:color w:val="000000"/>
          <w:sz w:val="20"/>
        </w:rPr>
      </w:pPr>
      <w:r>
        <w:rPr>
          <w:rFonts w:ascii="Times New Roman" w:hAnsi="Times New Roman"/>
          <w:color w:val="000000"/>
          <w:sz w:val="20"/>
        </w:rPr>
        <w:t>9. Stock-Based Compensation</w:t>
      </w:r>
    </w:p>
    <w:p>
      <w:pPr>
        <w:pStyle w:val="Heading2"/>
        <w:bidi w:val="0"/>
        <w:jc w:val="both"/>
        <w:rPr>
          <w:rFonts w:ascii="Times New Roman" w:hAnsi="Times New Roman"/>
          <w:i/>
          <w:color w:val="000000"/>
          <w:sz w:val="20"/>
        </w:rPr>
      </w:pPr>
      <w:r>
        <w:rPr>
          <w:rFonts w:ascii="Times New Roman" w:hAnsi="Times New Roman"/>
          <w:i/>
          <w:color w:val="000000"/>
          <w:sz w:val="20"/>
        </w:rPr>
        <w:t>Equity Incentive Plans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2020 Stock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2020 Stock Incentive Plan (as amended, the “2020 Plan”), the Company was authorized to issue shares of common stock to the Company’s employees, officers, directors, consultants and advisors in the form of options, restricted stock awards or other stock-based awards.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2021 Stock Incentive Plan</w:t>
      </w:r>
    </w:p>
    <w:p>
      <w:pPr>
        <w:pStyle w:val="TextBody"/>
        <w:bidi w:val="0"/>
        <w:jc w:val="both"/>
        <w:rPr>
          <w:rFonts w:ascii="Times New Roman" w:hAnsi="Times New Roman"/>
          <w:color w:val="000000"/>
          <w:sz w:val="20"/>
        </w:rPr>
      </w:pPr>
      <w:r>
        <w:rPr>
          <w:rFonts w:ascii="Times New Roman" w:hAnsi="Times New Roman"/>
          <w:color w:val="000000"/>
          <w:sz w:val="20"/>
        </w:rPr>
        <w:t>In September 2021, the Company’s board of directors and stockholders adopted the 2021 Stock Incentive Plan (the “2021 Plan”), which became effective immediately prior to the Company’s initial public offering of common stock (“IPO”) in October 2021. Upon effectiveness of the 2021 Plan, the Company ceased granting awards under the 2020 Plan. The 2021 Plan provides for the grant of incentive stock options, nonstatutory stock options, stock appreciation rights, restricted stock awards, restricted stock units and other stock-based awards. The Company initially reserved 469,929 shares of common stock under the 2021 Plan. The 2021 Plan initially provided that the number of shares reserved and available for issuance under the 2021 Plan would be cumulatively increased on January 1 of each calendar year by 5% of the number of shares of common stock outstanding on such date or such lesser amount determined by the Company’s board of directors. In June 2026, the Company's stockholders approved an amendment to the 2021 Plan (as amended, the “Amended and Restated 2021 Plan”), which had previously been adopted by the Company's board of directors subject to stockholder approval, to provide that, beginning on January 1, 2027 and continuing for each calendar year through January 1, 2031, the number of shares reserved and available for issuance under the Amended and Restated 2021 Plan will be cumulatively increased on January 1 of each calendar year in an amount equal to 5% of the sum of (i) the total number of shares of common stock outstanding and (ii) the total number of shares of common stock subject to prefunded warrants issued by the Company and outstanding on such date, or such lesser amount determined by the Company's board of directors. As of June 30, 2026, there were 354,198 shares of common stock available for future issuance under the Amended and Restated 2021 Plan.</w:t>
      </w:r>
    </w:p>
    <w:p>
      <w:pPr>
        <w:pStyle w:val="TextBody"/>
        <w:bidi w:val="0"/>
        <w:spacing w:before="240" w:after="120"/>
        <w:jc w:val="both"/>
        <w:rPr>
          <w:rFonts w:ascii="Times New Roman" w:hAnsi="Times New Roman"/>
          <w:i/>
          <w:color w:val="000000"/>
          <w:sz w:val="20"/>
        </w:rPr>
      </w:pPr>
      <w:r>
        <w:rPr>
          <w:rFonts w:ascii="Times New Roman" w:hAnsi="Times New Roman"/>
          <w:i/>
          <w:color w:val="000000"/>
          <w:sz w:val="20"/>
        </w:rPr>
        <w:t>2025 Stock Incentive Plan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November 2025, the Company’s stockholders adopted the 2025 Stock Incentive Plan (the “2025 Plan”), which had previously been adopted by the Company’s board of directors subject to stockholder approval. The 2025 Plan provides for the grant of stock options to employees for 2,285,592 shares of common stock, divided into four equal tranches of 571,398 total shares per tranche, with the vesting of each tranche of stock options tied to a tranche of the June 2025 warrants, which are further described in Note 8.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stock options granted under the 2025 Plan vest as follows: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first tranche of stock options vests in equal monthly installments over a period of three years, subject to the employee continuing to provide services to the Company on each vesting date.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second tranche of stock options ("Tranche 2 Stock Options") will become eligible to vest based on the portion of such stock options that equals the percentage of the Series A warrants that are exercised by December 31 of each of 2025, 2026, 2027, 2028, and 2029 and on June 30, 2030 (each, a “measurement date”). Any Tranche 2 Stock Options will vest in three equal installments with one-third vesting on the applicable measurement date and the remaining two-thirds vesting in equal annual installments on each of the subsequent two anniversaries thereafter.</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third tranche of stock options ("Tranche 3 Stock Options") became eligible to vest based on the portion of such stock options that equaled the percentage of Series B warrants that were exercised by December 31, 2025. The Tranche 3 Stock Options vest in three equal installments with one-third vesting on December 31, 2025 and the remaining two-thirds vesting in equal annual installments on each of the subsequent two anniversaries thereafter.</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fourth tranche of stock options ("Tranche 4 Stock Options") will become eligible to vest based on the portion of such stock options that equal the percentage of the Series C warrants that are exercised or are cancelled due to the Company’s receipt of non-dilutive capital by December 31, 2026. Any Tranche 4 Stock Options that become eligible for vesting will vest in three equal installments with one-third vesting on December 31, 2026 and the remaining two-thirds vesting in equal annual installments on each of the subsequent two anniversaries thereafter.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June 30, 2026, there were 324,098 shares of common stock available for future issuance under the 2025 Plan.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June 30, 2026, the Tranche 2 and Tranche 4 Stock Options contain outstanding performance conditions for which the likelihood of satisfying each of the performance conditions is considered probable.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240" w:after="283"/>
        <w:jc w:val="both"/>
        <w:rPr>
          <w:rFonts w:ascii="Times New Roman" w:hAnsi="Times New Roman"/>
          <w:b w:val="false"/>
          <w:i/>
          <w:color w:val="000000"/>
          <w:sz w:val="20"/>
        </w:rPr>
      </w:pPr>
      <w:r>
        <w:rPr>
          <w:rFonts w:ascii="Times New Roman" w:hAnsi="Times New Roman"/>
          <w:b w:val="false"/>
          <w:i/>
          <w:color w:val="000000"/>
          <w:sz w:val="20"/>
        </w:rPr>
        <w:t>2022 Inducement Plan</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In 2022, the Company’s board of directors adopted the 2022 Inducement Stock Incentive Plan pursuant to Nasdaq Rule 5635(c)(4)</w:t>
      </w:r>
      <w:r>
        <w:rPr>
          <w:rFonts w:ascii="Times New Roman" w:hAnsi="Times New Roman"/>
          <w:color w:val="000000"/>
          <w:sz w:val="20"/>
        </w:rPr>
        <w:t xml:space="preserve"> </w:t>
      </w:r>
      <w:r>
        <w:rPr>
          <w:rFonts w:ascii="Times New Roman" w:hAnsi="Times New Roman"/>
          <w:b w:val="false"/>
          <w:color w:val="000000"/>
          <w:sz w:val="20"/>
        </w:rPr>
        <w:t>(the “2022 Inducement Plan”). In accordance with Nasdaq Rule 5635(c)(4), stock-based incentive awards under the 2022 Inducement Plan may only be made to a newly hired employee who has not previously been a member of the Company’s board of directors, or an employee who is being rehired following a bona fide period of non-employment by the Company as a material inducement to the employee’s entering into employment with the Company. The Company initially reserved 19,642</w:t>
      </w:r>
      <w:r>
        <w:rPr>
          <w:rFonts w:ascii="Times New Roman" w:hAnsi="Times New Roman"/>
          <w:color w:val="000000"/>
          <w:sz w:val="20"/>
        </w:rPr>
        <w:t xml:space="preserve"> </w:t>
      </w:r>
      <w:r>
        <w:rPr>
          <w:rFonts w:ascii="Times New Roman" w:hAnsi="Times New Roman"/>
          <w:b w:val="false"/>
          <w:color w:val="000000"/>
          <w:sz w:val="20"/>
        </w:rPr>
        <w:t>shares of the Company’s common stock for issuance under the 2022 Inducement Plan. The Company's board of directors approved amendments to the 2022 Inducement Plan to increase the number of shares of common stock reserved for issuance under the 2022 Inducement Plan by 35,714</w:t>
      </w:r>
      <w:r>
        <w:rPr>
          <w:rFonts w:ascii="Times New Roman" w:hAnsi="Times New Roman"/>
          <w:color w:val="000000"/>
          <w:sz w:val="20"/>
        </w:rPr>
        <w:t xml:space="preserve"> </w:t>
      </w:r>
      <w:r>
        <w:rPr>
          <w:rFonts w:ascii="Times New Roman" w:hAnsi="Times New Roman"/>
          <w:b w:val="false"/>
          <w:color w:val="000000"/>
          <w:sz w:val="20"/>
        </w:rPr>
        <w:t>shares in each of November 2024 and March 2025, an additional 32,485</w:t>
      </w:r>
      <w:r>
        <w:rPr>
          <w:rFonts w:ascii="Times New Roman" w:hAnsi="Times New Roman"/>
          <w:color w:val="000000"/>
          <w:sz w:val="20"/>
        </w:rPr>
        <w:t xml:space="preserve"> </w:t>
      </w:r>
      <w:r>
        <w:rPr>
          <w:rFonts w:ascii="Times New Roman" w:hAnsi="Times New Roman"/>
          <w:b w:val="false"/>
          <w:color w:val="000000"/>
          <w:sz w:val="20"/>
        </w:rPr>
        <w:t>shares in January 2026, and an additional 250,000</w:t>
      </w:r>
      <w:r>
        <w:rPr>
          <w:rFonts w:ascii="Times New Roman" w:hAnsi="Times New Roman"/>
          <w:color w:val="000000"/>
          <w:sz w:val="20"/>
        </w:rPr>
        <w:t xml:space="preserve"> </w:t>
      </w:r>
      <w:r>
        <w:rPr>
          <w:rFonts w:ascii="Times New Roman" w:hAnsi="Times New Roman"/>
          <w:b w:val="false"/>
          <w:color w:val="000000"/>
          <w:sz w:val="20"/>
        </w:rPr>
        <w:t>shares in June 2026. As of June 30, 2026, there were 318,692</w:t>
      </w:r>
      <w:r>
        <w:rPr>
          <w:rFonts w:ascii="Times New Roman" w:hAnsi="Times New Roman"/>
          <w:color w:val="000000"/>
          <w:sz w:val="20"/>
        </w:rPr>
        <w:t xml:space="preserve"> </w:t>
      </w:r>
      <w:r>
        <w:rPr>
          <w:rFonts w:ascii="Times New Roman" w:hAnsi="Times New Roman"/>
          <w:b w:val="false"/>
          <w:color w:val="000000"/>
          <w:sz w:val="20"/>
        </w:rPr>
        <w:t>shares of common stock available for future issuance under the 2022 Inducement Plan.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2021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2021, the Company’s board of directors and stockholders adopted the 2021 Employee Stock Purchase Plan (the “2021 ESPP”), which became effective immediately prior to the IPO in October 2021. The Company initially reserved 20,859 shares of common stock for issuance under the 2021 ESPP. The 2021 ESPP provides that the number of shares of common stock reserved for issuance under the 2021 ESPP will be cumulatively increased on January 1 of each calendar year by 1% of the number of shares of the Company’s common stock outstanding on such date or such lesser amount determined by the Company’s board of directors (up to a maximum increase of 41,718 shares of common stock per year). On January 1, 2026, the number of shares reserved for issuance under the 2021 ESPP was increased by 41,718 shares. During the three and six months ended June 30, 2026 and 2025, the Company issued 4,973 and 3,240 shares of common stock, respectively, under the 2021 ESPP. As of June 30, 2026, there were 136,294 shares available for future issuance under the 2021 ESPP.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and six months ended June 30, 2026 and 2025, the Company recorded compensation expense related to stock options, restricted stock units and restricted common stock for employees and non-employees and share purchases under the 2021 ESPP for employees, which was allocated as follows in the condensed consolidated statements of operations and comprehensive loss: </w:t>
      </w:r>
    </w:p>
    <w:p>
      <w:pPr>
        <w:pStyle w:val="TextBody"/>
        <w:bidi w:val="0"/>
        <w:spacing w:before="120" w:after="283"/>
        <w:jc w:val="both"/>
        <w:rPr/>
      </w:pPr>
      <w:r>
        <w:rPr/>
        <w:t> </w:t>
      </w:r>
    </w:p>
    <w:tbl>
      <w:tblPr>
        <w:tblW w:w="8692" w:type="dxa"/>
        <w:jc w:val="left"/>
        <w:tblInd w:w="0" w:type="dxa"/>
        <w:tblLayout w:type="fixed"/>
        <w:tblCellMar>
          <w:top w:w="28" w:type="dxa"/>
          <w:left w:w="28" w:type="dxa"/>
          <w:bottom w:w="28" w:type="dxa"/>
          <w:right w:w="28" w:type="dxa"/>
        </w:tblCellMar>
      </w:tblPr>
      <w:tblGrid>
        <w:gridCol w:w="3551"/>
        <w:gridCol w:w="146"/>
        <w:gridCol w:w="222"/>
        <w:gridCol w:w="154"/>
        <w:gridCol w:w="602"/>
        <w:gridCol w:w="154"/>
        <w:gridCol w:w="154"/>
        <w:gridCol w:w="222"/>
        <w:gridCol w:w="154"/>
        <w:gridCol w:w="602"/>
        <w:gridCol w:w="146"/>
        <w:gridCol w:w="146"/>
        <w:gridCol w:w="211"/>
        <w:gridCol w:w="146"/>
        <w:gridCol w:w="571"/>
        <w:gridCol w:w="146"/>
        <w:gridCol w:w="146"/>
        <w:gridCol w:w="211"/>
        <w:gridCol w:w="146"/>
        <w:gridCol w:w="57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16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stock option activity under the Company’s 2020 Plan, Amended and Restated 2021 Plan, 2025 Plan and 2022 Inducement Plan is as follows:</w:t>
      </w:r>
    </w:p>
    <w:p>
      <w:pPr>
        <w:pStyle w:val="TextBody"/>
        <w:bidi w:val="0"/>
        <w:jc w:val="both"/>
        <w:rPr/>
      </w:pPr>
      <w:r>
        <w:rPr/>
        <w:t> </w:t>
      </w:r>
    </w:p>
    <w:tbl>
      <w:tblPr>
        <w:tblW w:w="8880" w:type="dxa"/>
        <w:jc w:val="left"/>
        <w:tblInd w:w="0" w:type="dxa"/>
        <w:tblLayout w:type="fixed"/>
        <w:tblCellMar>
          <w:top w:w="28" w:type="dxa"/>
          <w:left w:w="28" w:type="dxa"/>
          <w:bottom w:w="28" w:type="dxa"/>
          <w:right w:w="28" w:type="dxa"/>
        </w:tblCellMar>
      </w:tblPr>
      <w:tblGrid>
        <w:gridCol w:w="3166"/>
        <w:gridCol w:w="146"/>
        <w:gridCol w:w="152"/>
        <w:gridCol w:w="973"/>
        <w:gridCol w:w="166"/>
        <w:gridCol w:w="146"/>
        <w:gridCol w:w="256"/>
        <w:gridCol w:w="177"/>
        <w:gridCol w:w="692"/>
        <w:gridCol w:w="146"/>
        <w:gridCol w:w="146"/>
        <w:gridCol w:w="284"/>
        <w:gridCol w:w="707"/>
        <w:gridCol w:w="146"/>
        <w:gridCol w:w="146"/>
        <w:gridCol w:w="309"/>
        <w:gridCol w:w="213"/>
        <w:gridCol w:w="618"/>
        <w:gridCol w:w="2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Outstanding as of June 30, 2026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Exercisable as of June 30, 2026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the end of the period.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20"/>
        </w:rPr>
      </w:pPr>
      <w:r>
        <w:rPr>
          <w:rFonts w:ascii="Times New Roman" w:hAnsi="Times New Roman"/>
          <w:color w:val="000000"/>
          <w:sz w:val="20"/>
        </w:rPr>
        <w:t>The weighted-average exercise price per share of the options outstanding and exercisable as of June 30, 2026 includes the impact of the stock option repricing described below.</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June 30, 2026, the Company had unrecognized stock-based compensation expense of $12.4 million related to stock options issued to employees and directors, including $7.1 million of unrecognized stock-based compensation expense related to awards with performance conditions for which the likelihood of satisfying such performance conditions are considered probable, which is expected to be recognized over a weighted-average period of 2.7 years.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Using the Black-Scholes option pricing model, the weighted average fair value of options granted to employees and directors during the six months ended June 30, 2026 and 2025 was $6.50 per share and $10.08 per share, respectively. The following assumptions were used in determining the fair value of options granted during the six months ended June 30, 2026 and 2025:</w:t>
      </w:r>
    </w:p>
    <w:p>
      <w:pPr>
        <w:pStyle w:val="TextBody"/>
        <w:bidi w:val="0"/>
        <w:jc w:val="left"/>
        <w:rPr/>
      </w:pPr>
      <w:r>
        <w:rPr/>
        <w:t> </w:t>
      </w:r>
    </w:p>
    <w:tbl>
      <w:tblPr>
        <w:tblW w:w="5708" w:type="dxa"/>
        <w:jc w:val="left"/>
        <w:tblInd w:w="0" w:type="dxa"/>
        <w:tblLayout w:type="fixed"/>
        <w:tblCellMar>
          <w:top w:w="28" w:type="dxa"/>
          <w:left w:w="28" w:type="dxa"/>
          <w:bottom w:w="28" w:type="dxa"/>
          <w:right w:w="28" w:type="dxa"/>
        </w:tblCellMar>
      </w:tblPr>
      <w:tblGrid>
        <w:gridCol w:w="2131"/>
        <w:gridCol w:w="484"/>
        <w:gridCol w:w="702"/>
        <w:gridCol w:w="163"/>
        <w:gridCol w:w="304"/>
        <w:gridCol w:w="163"/>
        <w:gridCol w:w="163"/>
        <w:gridCol w:w="441"/>
        <w:gridCol w:w="640"/>
        <w:gridCol w:w="163"/>
        <w:gridCol w:w="354"/>
      </w:tblGrid>
      <w:tr>
        <w:trPr/>
        <w:tc>
          <w:tcPr>
            <w:tcW w:w="213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3.6 - 4.2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3.9 - 4.4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5.5 - 6.1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100.2 - 103.0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94.5 - 100.2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i/>
          <w:color w:val="000000"/>
          <w:sz w:val="20"/>
        </w:rPr>
        <w:t>Stock Option Repricing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October 2025, the Company's board of directors approved a stock option repricing (the “Option Repricing”), which was effective upon stockholder approval on November 21, 2025 (the “Repricing Date”). The Option Repricing applied to all outstanding options to purchase shares of common stock of the Company granted to employees under the Company’s 2020 Plan, Amended and Restated 2021 Plan and 2022 Inducement Plan with an exercise price greater than $21.00 for members of the Company's executive team and $14.00 for all other employees (the “underwater options”) with grant dates prior to January 1, 2025 (the “Eligible Options”). The total number of shares of common stock underlying all Eligible Options was 354,200. Non-employee members of the Company’s board of directors were not eligible to participate in the Option Repricing. If such Eligible Options are exercised prior to the one-year anniversary of the Repricing Date (the "Retention Period"), the original exercise price must be paid.</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repricing of the Eligible Options was accounted for as a modification under ASC 718. Accordingly, the Company calculated incremental compensation cost on the modification date in an amount equal to the difference between the fair value of the awards before and after modification. The total amount of the incremental compensation expense to be recognized was determined to be $0.6 million, which is being recognized over the Retention Period.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2024, the Company awarded 34,389 restricted stock units to certain employees of the Company. The restricted stock units vest in four equal annual installments beginning on the first anniversary of the grant date. The restricted stock units are generally forfeited if the individual’s service relationship with the Company or any subsidiary terminates prior to vesting.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the Company’s restricted stock unit activity and related information is as follows:</w:t>
      </w:r>
    </w:p>
    <w:p>
      <w:pPr>
        <w:pStyle w:val="TextBody"/>
        <w:bidi w:val="0"/>
        <w:jc w:val="both"/>
        <w:rPr/>
      </w:pPr>
      <w:r>
        <w:rPr/>
        <w:t> </w:t>
      </w:r>
    </w:p>
    <w:tbl>
      <w:tblPr>
        <w:tblW w:w="5654" w:type="dxa"/>
        <w:jc w:val="left"/>
        <w:tblInd w:w="0" w:type="dxa"/>
        <w:tblLayout w:type="fixed"/>
        <w:tblCellMar>
          <w:top w:w="28" w:type="dxa"/>
          <w:left w:w="28" w:type="dxa"/>
          <w:bottom w:w="28" w:type="dxa"/>
          <w:right w:w="28" w:type="dxa"/>
        </w:tblCellMar>
      </w:tblPr>
      <w:tblGrid>
        <w:gridCol w:w="2926"/>
        <w:gridCol w:w="146"/>
        <w:gridCol w:w="183"/>
        <w:gridCol w:w="852"/>
        <w:gridCol w:w="166"/>
        <w:gridCol w:w="146"/>
        <w:gridCol w:w="242"/>
        <w:gridCol w:w="167"/>
        <w:gridCol w:w="535"/>
        <w:gridCol w:w="2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Restricted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For each of the six months ended June 30, 2026 and 2025, the Company recognized less than $0.1 million of stock-based compensation expense related to these awards. As of June 30, 2026, the Company had unrecognized stock-based compensation expense of $0.1 million related to these restricted stock units, which is expected to be recognized over 1.5 years.</w:t>
      </w:r>
    </w:p>
    <w:p>
      <w:pPr>
        <w:pStyle w:val="Heading1"/>
        <w:bidi w:val="0"/>
        <w:jc w:val="both"/>
        <w:rPr/>
      </w:pPr>
      <w:r>
        <w:rPr/>
        <w:t> </w:t>
      </w:r>
    </w:p>
    <w:p>
      <w:pPr>
        <w:pStyle w:val="Heading1"/>
        <w:bidi w:val="0"/>
        <w:jc w:val="both"/>
        <w:rPr>
          <w:rFonts w:ascii="Times New Roman" w:hAnsi="Times New Roman"/>
          <w:color w:val="000000"/>
          <w:sz w:val="20"/>
        </w:rPr>
      </w:pPr>
      <w:r>
        <w:rPr>
          <w:rFonts w:ascii="Times New Roman" w:hAnsi="Times New Roman"/>
          <w:color w:val="000000"/>
          <w:sz w:val="20"/>
        </w:rPr>
        <w:t>10.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calculates basic net loss per share by dividing net loss by the weighted average number of shares of common stock outstanding. The weighted average number of shares of common stock used in the basic and diluted net loss per share calculation includes prefunded warrants to purchase common stock, as the prefunded warrants are exercisable at any time for nominal cash consideration. As of June 30, 2026, 1,260,041 prefunded warrants have been exercised for common stock and 13,107,620 prefunded warrants are outstanding.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 outstanding shares of common stock equivalents, presented based on amounts outstanding at each period end, that were excluded from the calculation of diluted net loss per share for the periods indicated because including them would have been anti-dilutive: </w:t>
      </w:r>
    </w:p>
    <w:p>
      <w:pPr>
        <w:pStyle w:val="TextBody"/>
        <w:bidi w:val="0"/>
        <w:spacing w:before="240" w:after="283"/>
        <w:jc w:val="both"/>
        <w:rPr/>
      </w:pPr>
      <w:r>
        <w:rPr/>
        <w:t> </w:t>
      </w:r>
    </w:p>
    <w:tbl>
      <w:tblPr>
        <w:tblW w:w="6909" w:type="dxa"/>
        <w:jc w:val="left"/>
        <w:tblInd w:w="0" w:type="dxa"/>
        <w:tblLayout w:type="fixed"/>
        <w:tblCellMar>
          <w:top w:w="28" w:type="dxa"/>
          <w:left w:w="28" w:type="dxa"/>
          <w:bottom w:w="28" w:type="dxa"/>
          <w:right w:w="28" w:type="dxa"/>
        </w:tblCellMar>
      </w:tblPr>
      <w:tblGrid>
        <w:gridCol w:w="3916"/>
        <w:gridCol w:w="146"/>
        <w:gridCol w:w="146"/>
        <w:gridCol w:w="1036"/>
        <w:gridCol w:w="146"/>
        <w:gridCol w:w="146"/>
        <w:gridCol w:w="146"/>
        <w:gridCol w:w="1036"/>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14,287,787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employee stock purchase plan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10,678,844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15,134,279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jc w:val="both"/>
        <w:rPr>
          <w:rFonts w:ascii="Times New Roman" w:hAnsi="Times New Roman"/>
          <w:color w:val="000000"/>
          <w:sz w:val="20"/>
        </w:rPr>
      </w:pPr>
      <w:bookmarkStart w:id="10" w:name="item2managementsdiscussionandanalysisoff"/>
      <w:bookmarkEnd w:id="10"/>
      <w:r>
        <w:rPr>
          <w:rFonts w:ascii="Times New Roman" w:hAnsi="Times New Roman"/>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appearing elsewhere in this Quarterly Report on Form 10-Q and in our Annual Report on Form 10-K for the year ended December 31,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Some of the information contained in this discussion and analysis or set forth elsewhere in this Quarterly Report on Form 10-Q includes forward-looking statements that involve risks and uncertainties. As a result of many factors, including those factors set forth in the section entitled “Risk Factors” in Part II, Item 1A of this Quarterly Report on Form 10-Q,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Overview</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We are a clinical-stage biotechnology company discovering and developing masked immuno-oncology, or I-O, therapies with the goal of significantly improving outcomes for people living with cancer. Leveraging our clinically-validated masking technology and capabilities, we are developing I-O therapies designed to selectively activate within the tumor microenvironment to achieve durable efficacy without the severe side effects associated with systemically active I-O agents. Our integrated biology and protein engineering approach enables us to design and develop highly potent, masked biologics that are activated, or unmasked, by tumor-specific proteases within the tumor microenvironment. We are currently advancing multiple programs in preclinical and clinical development, including: XTX501, a bispecific PD-1 / masked IL-2; multi-specific masked T cell engagers, or TCEs; and efarindodekin alfa, a masked IL-12. Our clinically-validated masking technology has enabled us to establish top-tier strategic partnerships, including with AbbVie Group Holdings Limited, or AbbVie, and Gilead Sciences, Inc., or Gilead.</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XTX501: bispecific PD-1 / masked IL-2</w:t>
      </w:r>
    </w:p>
    <w:p>
      <w:pPr>
        <w:pStyle w:val="TextBody"/>
        <w:bidi w:val="0"/>
        <w:jc w:val="both"/>
        <w:rPr>
          <w:rFonts w:ascii="Times New Roman" w:hAnsi="Times New Roman"/>
          <w:color w:val="000000"/>
          <w:sz w:val="20"/>
        </w:rPr>
      </w:pPr>
      <w:r>
        <w:rPr>
          <w:rFonts w:ascii="Times New Roman" w:hAnsi="Times New Roman"/>
          <w:color w:val="000000"/>
          <w:sz w:val="20"/>
        </w:rPr>
        <w:t>XTX501 is a novel bispecific PD-1 / masked IL-2 that has the potential to be a foundational backbone therapy for solid tumors, including in combination with other agents. XTX501 is designed to selectively stimulate PD-1 positive, antigen-experienced T cells and enhance their function while overcoming IL-2 receptor-mediated clearance, peripheral activity and tolerability issues associated with non-masked IL-2 agents. We received clearance from the U.S. Food and Drug Administration, or FDA, for our investigational new drug application, or IND, to proceed to a first-in-human, multi-center, open-label Phase 1/2 clinical trial for XTX501. We expect to initiate dosing in the Phase 1 portion of the trial in patients with metastatic non-small cell lung cancer, or NSCLC, and select advanced solid tumors in the second half of 2026, and we plan to report initial Phase 1 data in patients with metastatic NSCLC in the second half of 2027.</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Masked T Cell Engager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leveraging our proprietary, clinically-validated masking technology and modular TCE architectures to advance two wholly-owned masked TCE programs, as well as an additional masked TCE program in collaboration with AbbVie. Our masked TCEs are designed with a masked CD3 targeting domain and one or more tumor-associated antigen, or TAA, binding domains as part of the core molecule design. In addition, our modular architecture enables the incorporation of a co-stimulatory domain designed to further enhance potency and durability of T cell response, as well as the potential to mask the TAA binding domain(s) and/or mask the co-stimulatory signaling domain. Upon tumor-selective activation, our TCE molecules are designed to release a potent, short half-life TCE in the tumor microenvironment.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advancing IND-enabling studies for a potential first-in-class masked TCE program targeting CLDN18.2 and a potential first-in-class multi-specific, masked TCE program targeting PSMA and STEAP1 with built-in co-stimulatory signaling. CLDN18.2 is a TAA expressed in gastrointestinal cancers (gastric, pancreatic and esophageal), and PSMA and STEAP1 are TAAs expressed in prostate cancer. We plan to submit INDs for our CLDN18.2 and PSMA+STEAP1 programs in the second half of 2027.</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Efarindodekin alfa: masked IL-12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evaluating efarindodekin alfa as a monotherapy in an ongoing Phase 2 clinical trial in patients with advanced solid tumors under our license agreement with Gilead and expect to deliver an option data package to Gilead in the first half of 2027.</w:t>
      </w:r>
    </w:p>
    <w:p>
      <w:pPr>
        <w:pStyle w:val="TextBody"/>
        <w:bidi w:val="0"/>
        <w:spacing w:before="240" w:after="283"/>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financed our operations primarily from proceeds raised through private placements of equity securities; sales of common stock in our initial public offering, or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F. Hoffmann-La Roche Ltd., or Roche; and upfront payments and milestone payments under our collaboration and license agreements with AbbVie and Gilead. All of our programs are in early clinical or preclinical development. As a result, we have not generated any revenue from product sales and do not expect to generate any revenue from product sales for at least the next several years, if at all. Our ability to generate product revenue sufficient to achieve profitability will depend heavily on the successful development and eventual commercialization of one or more of our product candidates, if approved. Because of the numerous risks and uncertainties associated with product development, we are unable to predict the timing or amount of increased expenses or when or if we will be able to achieve profitability. Even if we are able to generate revenue from product sales, we may not become profitable.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we have incurred significant operating losses, including net losses of $15.9 million and $29.1 million for the six months ended June 30, 2026 and 2025, respectively, and a net loss of $35.0 million for the year ended December 31, 2025. As of June 30, 2026, we had an accumulated deficit of $434.7 million. We expect to continue to incur significant expenses and operating losses for the foreseeable future, particularly to the extent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current research programs and conduct additional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current product candidates and any future product candidates we may develop into preclinical and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marketing approvals for product candidates that successfully complete clinical trials,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expand, maintain, defend and enforce our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discover, validate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manufacture increasing quantities of our current or future product candidates for use in preclinical studies, clinical trials and for any potential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acquire or in-license other product candidates, technologies or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personnel to support current or future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commercial and distribution infrastructure to commercialize products for which we may obtain marketing approval, if 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costs associated with current and future research, development and commercialization efforts and operations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we will need substantial additional capital to support our continuing operations and pursue our strategy. As of June 30, 2026, we had cash and cash equivalents of $136.0 million. In the second quarter of 2026, we achieved a $6.0 million development milestone related to the collaboration agreement with AbbVie, which we received in the third quarter of 2026. Based on our current operating plans, we anticipate that our existing cash and cash equivalents as of June 30, 2026, together with the $6.0 million development milestone achieved under the AbbVie collaboration in the second quarter of 2026, will be sufficient to enable us to fund our operating expenses and capital expenditure requirements into the first quarter of 2028. This estimate excludes up to $36.2 million in additional gross proceeds in the second half of 2026 if all outstanding Series C warrants are exercised at their current exercise price and any potential additional milestone payments, option-related fees or other contingent payments under our collaboration and license agreements with AbbVie and Gilead, including up to $31.0 million in near-term milestones and option extension fees that could be achieved under the AbbVie collaboration through the first half of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have based our estimates on assumptions that may prove to be wrong, and we could exhaust our available capital resources sooner than we anticipate. We expect our operating losses and negative operating cash flows to continue for the foreseeable future as we continue to advance our pipeline of novel, masked I-O molecules through preclinical and clinical development, maintain the infrastructure necessary to support these activities and continue to incur costs associated with operating as a public company.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Financial Operations Overview</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from the sale of products since inception and do not expect to generate any revenue from the sale of products for at least the next several years, if at all. If our development efforts for our current or future product candidates are successful and result in regulatory approval, we may generate revenue in the future from product sales. For the foreseeable future, we expect substantially all of our revenue, if any, would be generated from our collaboration and license agreements with AbbVie and Gilead. For more information on our collaboration, license and option agreement with AbbVie and our license agreement with Gilead, please see Note 6 to our condensed consolidated financial statements included elsewhere in this Quarterly Report on Form 10-Q.</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discovery efforts, research activities and development and testing of our programs and product candidates. These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personnel-related expenses, including salaries, bonuses, benefits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with third-party contract development and manufacturing organizations, or CDMOs, to acquire, develop and manufacture materials for both preclinical studies and current or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funding research performed by third parties that conduct research and development and preclinical activities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with third-party contract research organizations, or CROs, and other third parties in connection with the conduct of our current or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sponsored research agreements and outside consultants, including their fees and related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to maintain 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for maintaining licenses and other amounts due under our third-party licensing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for the procurement of materials, laboratory supplies and non-capital equipment used in the research and development process;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amortization and other direct and allocated expenses, including rent, maintenance of facilities and other operating costs, incurred as a result of our research and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expense research and development costs as incurred. We recognize external development costs based on an evaluation of the progress to completion of specific deliverables using information provided to us by our vendors. Payments for these activities are based on the terms of the individual agreements, which may differ from the pattern of costs incurred, and are reflected in our condensed consolidated balance sheets as prepaid expenses or accrued research and development expenses. We record cost-sharing payments under our clinical trial collaboration with Roche as a reduction of research and development costs upon the achievement of each study development event specified in the clinical supply agreement. Non-refundable advance payments for goods or services to be received in the future for use in research and development activities are capitalized as assets, even when there is no alternative future use for the research and development. The capitalized amounts are expensed as the related goods are delivered or the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use our personnel and infrastructure resources for our discovery efforts, including the advancement of our platform technology, developing programs and product candidates and managing external research efforts. A significant portion of our research and development costs have been, and will continue to be, external costs. We track these external costs, such as fees paid to CDMOs, CROs, preclinical study vendors and other third parties in connection with our manufacturing and manufacturing process development, clinical trials, preclinical studies and other research activities by program. Due to the number of ongoing programs and our ability to use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resources across several projects, personnel-related expenses and indirect or shared operating costs incurred for our research and development programs are not recorded or maintained on a program-by-program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remain approximately the same or will continue to increase for the foreseeable future as we advance our programs and our current or future product candidates into and through the development phase. We expect our discovery research efforts and our related personnel costs to remain consistent with historical levels. In addition, as we progress our most advanced product candidates in clinical development, we may incur additional expenses related to milestone and royalty payments payable to third parties with whom we have entered into, or may enter into license, acquisition, option or other agreements to acquire the rights to future products and product candidates. In the event we are unable to raise sufficient additional capital to fund our operations in the future, we may need to implement cost reduction strategies that seek to maintain our ability to continue the development of our most advanced product candidates in clinical development while otherwise reducing our overall research and development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this time, we cannot reasonably estimate or know the nature, timing and projected costs of the efforts that will be necessary to complete the development of, and obtain regulatory approval for, any of our product candidates or programs. This is due to the numerous risks and uncertainties associated with drug development, including the uncertainty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costs and progress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scope of preclinical and clinical programs we decide to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implement and maintain cost reduction strategies, as well as the timing of such cost reductions;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current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 appropriate safety profile for our product candidates with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hire and retain key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development of any additional product candidates we acquire or develop through collaborations, partnerships, licenses or similar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successful enrollment in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complete clinical trials with safety, potency and purity profiles that are satisfactory to the FDA or any comparable foreign regulatory authority;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develop, obtain regulatory approval for, and then successfully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commercialize products,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continued acceptable safety profiles of the product candidates following approval,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agreements with third-party manufacturers for clinical supply for our clinical trials and commercial manufacturing, if any of our product candidates are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collaboration, license or other arrangement, including the terms and timing of any milestone payments thereunder,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patent, trade secret and other intellectual property protection and regulatory exclusivity for our product candidates if and when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including inflation and the imposition of new or revised global trade tariffs.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any of these variables with respect to the development of any of our product candidates would significantly change the costs, timing and viability associated with the development of that product candidate. We may never succeed in obtaining regulatory approval for any product candidate we may develop.</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recruiting and stock-based compensation, for personnel in our executive, finance, legal, business development, human resources and other administrative functions. General and administrative expenses also include legal fees relating to corporate matters; professional and consulting fees for accounting, auditing, tax, human resources and administrative consulting services; board of directors’ fees; insurance costs; and facility-related expenses, which include depreciation costs and other allocated expenses for rent, maintenance of facilities and other general administrative costs. These costs relate to the operation of the business and are in support of but separate from the research and development function and our individual development programs. Costs to secure and defend our intellectual property are expensed as incurred and are classified as 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anticipate that our general and administrative expenses will remain consistent with historical levels as we maintain our infrastructure to support our research and development activities. We also expect to continue to incur significant expenses associated with operating as a public company, including increased costs for accounting, audit, legal, regulatory and tax-related services attributable to maintaining compliance with exchange listing standards and U.S. Securities and Exchange Commission, or SEC, requirements, directors’ and officers’ liability insurance costs and investor and public relations costs. We also expect to continue to incur additional expenses related to intellectual property as we file patent applications to protect intellectual property arising from our research and development activities. In the event we are unable to obtain sufficient additional capital in the future, we may need to implement cost reduction strategies that seek to reduce our general and administrative expenses while maintaining sufficient infrastructure to support our planned research and development activities and operations as a public company. </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 in Fair Value of Common Stock Warrant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 in fair value of common stock warrant liabilities consists of the gain or loss recorded upon the revaluation at each reporting period of the common stock warrant liabilities in connection with the June 2025 follow-on offering.</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consists primarily of interest income earned from our cash and cash equivalents, and for the three and six months ended June 30, 2025 also consists of the portion of the issuance costs we incurred in connection with the June 2025 follow-on offering, which were allocated to the common stock warrant liabilities.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Results of Operations</w:t>
      </w:r>
    </w:p>
    <w:p>
      <w:pPr>
        <w:pStyle w:val="Heading2"/>
        <w:bidi w:val="0"/>
        <w:spacing w:before="120" w:after="283"/>
        <w:jc w:val="both"/>
        <w:rPr>
          <w:rFonts w:ascii="Times New Roman" w:hAnsi="Times New Roman"/>
          <w:sz w:val="20"/>
        </w:rPr>
      </w:pPr>
      <w:r>
        <w:rPr>
          <w:rFonts w:ascii="Times New Roman" w:hAnsi="Times New Roman"/>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 (in thousands):</w:t>
      </w:r>
    </w:p>
    <w:p>
      <w:pPr>
        <w:pStyle w:val="TextBody"/>
        <w:bidi w:val="0"/>
        <w:jc w:val="both"/>
        <w:rPr/>
      </w:pPr>
      <w:r>
        <w:rPr/>
        <w:t> </w:t>
      </w:r>
    </w:p>
    <w:tbl>
      <w:tblPr>
        <w:tblW w:w="9401" w:type="dxa"/>
        <w:jc w:val="left"/>
        <w:tblInd w:w="0" w:type="dxa"/>
        <w:tblLayout w:type="fixed"/>
        <w:tblCellMar>
          <w:top w:w="28" w:type="dxa"/>
          <w:left w:w="28" w:type="dxa"/>
          <w:bottom w:w="28" w:type="dxa"/>
          <w:right w:w="28" w:type="dxa"/>
        </w:tblCellMar>
      </w:tblPr>
      <w:tblGrid>
        <w:gridCol w:w="4881"/>
        <w:gridCol w:w="146"/>
        <w:gridCol w:w="211"/>
        <w:gridCol w:w="146"/>
        <w:gridCol w:w="676"/>
        <w:gridCol w:w="166"/>
        <w:gridCol w:w="146"/>
        <w:gridCol w:w="211"/>
        <w:gridCol w:w="146"/>
        <w:gridCol w:w="736"/>
        <w:gridCol w:w="166"/>
        <w:gridCol w:w="146"/>
        <w:gridCol w:w="211"/>
        <w:gridCol w:w="146"/>
        <w:gridCol w:w="676"/>
        <w:gridCol w:w="5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Collaboration and License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 and license revenue increased by $10.6 million from $8.1 million for the three months ended June 30, 2025 to $18.7 million for the three months ended June 30, 2026. The increase was due to an increase in collaboration and license revenue recognized under our collaboration and license agreements with AbbVie and Gilead.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 (in thousands):</w:t>
      </w:r>
    </w:p>
    <w:p>
      <w:pPr>
        <w:pStyle w:val="TextBody"/>
        <w:bidi w:val="0"/>
        <w:jc w:val="both"/>
        <w:rPr/>
      </w:pPr>
      <w:r>
        <w:rPr/>
        <w:t> </w:t>
      </w:r>
    </w:p>
    <w:tbl>
      <w:tblPr>
        <w:tblW w:w="8991" w:type="dxa"/>
        <w:jc w:val="left"/>
        <w:tblInd w:w="0" w:type="dxa"/>
        <w:tblLayout w:type="fixed"/>
        <w:tblCellMar>
          <w:top w:w="28" w:type="dxa"/>
          <w:left w:w="28" w:type="dxa"/>
          <w:bottom w:w="28" w:type="dxa"/>
          <w:right w:w="28" w:type="dxa"/>
        </w:tblCellMar>
      </w:tblPr>
      <w:tblGrid>
        <w:gridCol w:w="4996"/>
        <w:gridCol w:w="146"/>
        <w:gridCol w:w="211"/>
        <w:gridCol w:w="146"/>
        <w:gridCol w:w="676"/>
        <w:gridCol w:w="146"/>
        <w:gridCol w:w="146"/>
        <w:gridCol w:w="211"/>
        <w:gridCol w:w="146"/>
        <w:gridCol w:w="676"/>
        <w:gridCol w:w="146"/>
        <w:gridCol w:w="146"/>
        <w:gridCol w:w="211"/>
        <w:gridCol w:w="146"/>
        <w:gridCol w:w="631"/>
        <w:gridCol w:w="21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XTX501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efarindodekin alfa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vilastobart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early programs and indirect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Research and development expenses decreased by $0.8 million from $15.3 million for the three months ended June 30, 2025 to $14.6 million for the three months ended June 30, 2026. The changes in research and development expenses were primarily due to the following:</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early programs and indirect research and development costs increased by $1.7 million, primarily driven by an increase in external expenses related to preclinical research and development activities, including costs related to our masked TCE programs targeting CLDN18.2 and PSMA+STEAP1 and our AbbVie collaboration;</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personnel-related costs increased by $0.8 million, primarily driven by a $0.6 million increase in salaries, bonuses and benefits due to higher research and development headcount and a $0.2 million increase in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efarindodekin alfa costs decreased by $0.2 million, primarily driven by a decrease in clinical development activities related to our ongoing Phase 2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XTX501 costs decreased by $0.3 million, primarily driven by a $0.3 million decrease in manufacturing activities related to IND-enabling studies and a $0.2 million decrease in preclinical development activities, partially offset by a $0.2 million increase in clinical trial startup activities related to our Phase 1/2 clinical trial for XTX501;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vilastobart costs decreased by $2.8 million, primarily driven by a decrease in clinical development activities related to our Phase 1/2 clinical trial evaluating vilastobart in combination with atezolizumab.</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three months ended June 30, 2026 and 2025 (in thousands):</w:t>
      </w:r>
    </w:p>
    <w:p>
      <w:pPr>
        <w:pStyle w:val="TextBody"/>
        <w:bidi w:val="0"/>
        <w:jc w:val="both"/>
        <w:rPr/>
      </w:pPr>
      <w:r>
        <w:rPr/>
        <w:t> </w:t>
      </w:r>
    </w:p>
    <w:tbl>
      <w:tblPr>
        <w:tblW w:w="8716" w:type="dxa"/>
        <w:jc w:val="left"/>
        <w:tblInd w:w="0" w:type="dxa"/>
        <w:tblLayout w:type="fixed"/>
        <w:tblCellMar>
          <w:top w:w="28" w:type="dxa"/>
          <w:left w:w="28" w:type="dxa"/>
          <w:bottom w:w="28" w:type="dxa"/>
          <w:right w:w="28" w:type="dxa"/>
        </w:tblCellMar>
      </w:tblPr>
      <w:tblGrid>
        <w:gridCol w:w="5161"/>
        <w:gridCol w:w="146"/>
        <w:gridCol w:w="211"/>
        <w:gridCol w:w="146"/>
        <w:gridCol w:w="571"/>
        <w:gridCol w:w="146"/>
        <w:gridCol w:w="146"/>
        <w:gridCol w:w="211"/>
        <w:gridCol w:w="146"/>
        <w:gridCol w:w="571"/>
        <w:gridCol w:w="146"/>
        <w:gridCol w:w="146"/>
        <w:gridCol w:w="211"/>
        <w:gridCol w:w="146"/>
        <w:gridCol w:w="421"/>
        <w:gridCol w:w="1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General and administrative expenses increased by $0.5 million from $7.1 million for the three months ended June 30, 2025 to $7.6 million for the three months ended June 30, 2026. The changes in general and administrative expenses were primarily due to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personnel-related costs increased by $0.3 million, primarily driven by an increase in salary, severance and recruiting costs, partially offset by a decrease in discretionary bonus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professional and consulting fees increased by $0.2 million, primarily driven by an increase in other professional costs.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Change in Fair Value of Common Stock Warrant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 in fair value of common stock warrant liabilities for the three months ended June 30, 2026 was due to a loss of $3.9 million resulting from the increase in the fair value of the common stock warrant liabilities between March 31, 2026 and June 30, 2026, which was primarily driven by an, increase in the price per share of our common stock.</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increased by $2.5 million from other expense of $1.4 million for the three months ended June 30, 2025 to other income of $1.1 million for the three months ended June 30, 2026. The increase in other income (expense), net was primarily due to an increase in interest income due to a higher average cash balance and the $2.3 million in issuance costs we incurred in connection with the June 2025 follow-on offering, which were allocated to the common stock warrant liabilities, for which there was no comparable cost for the three months ended June 30, 2026.</w:t>
      </w:r>
    </w:p>
    <w:p>
      <w:pPr>
        <w:pStyle w:val="Heading2"/>
        <w:bidi w:val="0"/>
        <w:spacing w:before="120" w:after="283"/>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 (in thousands):</w:t>
      </w:r>
    </w:p>
    <w:p>
      <w:pPr>
        <w:pStyle w:val="TextBody"/>
        <w:bidi w:val="0"/>
        <w:spacing w:before="120" w:after="283"/>
        <w:jc w:val="both"/>
        <w:rPr/>
      </w:pPr>
      <w:r>
        <w:rPr/>
        <w:t> </w:t>
      </w:r>
    </w:p>
    <w:tbl>
      <w:tblPr>
        <w:tblW w:w="9461" w:type="dxa"/>
        <w:jc w:val="left"/>
        <w:tblInd w:w="0" w:type="dxa"/>
        <w:tblLayout w:type="fixed"/>
        <w:tblCellMar>
          <w:top w:w="28" w:type="dxa"/>
          <w:left w:w="28" w:type="dxa"/>
          <w:bottom w:w="28" w:type="dxa"/>
          <w:right w:w="28" w:type="dxa"/>
        </w:tblCellMar>
      </w:tblPr>
      <w:tblGrid>
        <w:gridCol w:w="4881"/>
        <w:gridCol w:w="146"/>
        <w:gridCol w:w="211"/>
        <w:gridCol w:w="146"/>
        <w:gridCol w:w="736"/>
        <w:gridCol w:w="166"/>
        <w:gridCol w:w="146"/>
        <w:gridCol w:w="211"/>
        <w:gridCol w:w="146"/>
        <w:gridCol w:w="736"/>
        <w:gridCol w:w="166"/>
        <w:gridCol w:w="146"/>
        <w:gridCol w:w="211"/>
        <w:gridCol w:w="146"/>
        <w:gridCol w:w="676"/>
        <w:gridCol w:w="591"/>
      </w:tblGrid>
      <w:tr>
        <w:trPr/>
        <w:tc>
          <w:tcPr>
            <w:tcW w:w="4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Collaboration and License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 and license revenue increased by $20.3 million from $11.0 million for the six months ended June 30, 2025 to $31.3 million for the six months ended June 30, 2026. The increase was due to an increase in collaboration and license revenue recognized under our collaboration and license agreements with AbbVie and Gilead.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 (in thousands):</w:t>
      </w:r>
    </w:p>
    <w:p>
      <w:pPr>
        <w:pStyle w:val="TextBody"/>
        <w:bidi w:val="0"/>
        <w:spacing w:before="120" w:after="283"/>
        <w:jc w:val="both"/>
        <w:rPr/>
      </w:pPr>
      <w:r>
        <w:rPr/>
        <w:t> </w:t>
      </w:r>
    </w:p>
    <w:tbl>
      <w:tblPr>
        <w:tblW w:w="9036" w:type="dxa"/>
        <w:jc w:val="left"/>
        <w:tblInd w:w="0" w:type="dxa"/>
        <w:tblLayout w:type="fixed"/>
        <w:tblCellMar>
          <w:top w:w="28" w:type="dxa"/>
          <w:left w:w="28" w:type="dxa"/>
          <w:bottom w:w="28" w:type="dxa"/>
          <w:right w:w="28" w:type="dxa"/>
        </w:tblCellMar>
      </w:tblPr>
      <w:tblGrid>
        <w:gridCol w:w="4996"/>
        <w:gridCol w:w="146"/>
        <w:gridCol w:w="211"/>
        <w:gridCol w:w="146"/>
        <w:gridCol w:w="676"/>
        <w:gridCol w:w="146"/>
        <w:gridCol w:w="146"/>
        <w:gridCol w:w="211"/>
        <w:gridCol w:w="146"/>
        <w:gridCol w:w="676"/>
        <w:gridCol w:w="146"/>
        <w:gridCol w:w="146"/>
        <w:gridCol w:w="211"/>
        <w:gridCol w:w="146"/>
        <w:gridCol w:w="676"/>
        <w:gridCol w:w="21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XTX501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efarindodekin alfa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vilastobart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early programs and indirect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Research and development expenses increased by $10.8 million from $23.6 million for the six months ended June 30, 2025 to $34.4 million for the six months ended June 30, 2026. The changes in research and development expenses were primarily due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XTX501 costs increased by $5.4 million, primarily driven by a $2.6 million increase in manufacturing activities related to IND-enabling studies, a $1.6 million increase related to clinical trial startup activities for our Phase 1/2 clinical trial for XTX501 and a $1.0 million increase in preclinical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early programs and indirect research and development costs increased by $4.5 million, primarily driven by an increase in external expenses related to preclinical research and development activities, including costs related to our masked TCE programs targeting CLDN18.2 and PSMA+STEAP1 and our AbbVie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personnel-related costs increased by $2.2 million, primarily driven by a $1.6 million increase in salaries, bonuses and benefits due to higher research and development headcount and a $0.6 million increase in stock-based compensation;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efarindodekin alfa costs increased by $0.2 million, primarily driven by an increase in clinical development activities related to our ongoing Phase 2 clinical trial;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vilastobart costs decreased by $1.5 million, primarily driven by a decrease in clinical development activities related to our Phase 1/2 clinical trial evaluating vilastobart in combination with atezolizumab.</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general and administrative expenses for the six months ended June 30, 2026 and 2025 (in thousands):</w:t>
      </w:r>
    </w:p>
    <w:p>
      <w:pPr>
        <w:pStyle w:val="TextBody"/>
        <w:bidi w:val="0"/>
        <w:spacing w:before="120" w:after="283"/>
        <w:jc w:val="both"/>
        <w:rPr/>
      </w:pPr>
      <w:r>
        <w:rPr/>
        <w:t> </w:t>
      </w:r>
    </w:p>
    <w:tbl>
      <w:tblPr>
        <w:tblW w:w="9156" w:type="dxa"/>
        <w:jc w:val="left"/>
        <w:tblInd w:w="0" w:type="dxa"/>
        <w:tblLayout w:type="fixed"/>
        <w:tblCellMar>
          <w:top w:w="28" w:type="dxa"/>
          <w:left w:w="28" w:type="dxa"/>
          <w:bottom w:w="28" w:type="dxa"/>
          <w:right w:w="28" w:type="dxa"/>
        </w:tblCellMar>
      </w:tblPr>
      <w:tblGrid>
        <w:gridCol w:w="5161"/>
        <w:gridCol w:w="146"/>
        <w:gridCol w:w="211"/>
        <w:gridCol w:w="146"/>
        <w:gridCol w:w="676"/>
        <w:gridCol w:w="146"/>
        <w:gridCol w:w="146"/>
        <w:gridCol w:w="211"/>
        <w:gridCol w:w="146"/>
        <w:gridCol w:w="676"/>
        <w:gridCol w:w="146"/>
        <w:gridCol w:w="146"/>
        <w:gridCol w:w="211"/>
        <w:gridCol w:w="146"/>
        <w:gridCol w:w="631"/>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Facility-related and 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General and administrative expenses decreased by $1.1 million from $15.6 million for the six months ended June 30, 2025 to $14.6 million for the six months ended June 30, 2026. The changes in general and administrative expenses were primarily due to a decrease of $1.0 million in legal fees and other professional costs.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Change in Fair Value of Common Stock Warrant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 in fair value of common stock warrant liabilities for the six months ended June 30, 2026 was due to a loss of $0.6 million resulting from the increase in the fair value of the common stock warrant liabilities between December 31, 2025 and June 30, 2026, which was primarily driven by an increase in the price per share of our common stock.</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net, increased by $3.2 million from other expense of $0.8 million for the six months ended June 30, 2025 to other income of $2.3 million for the six months ended June 30, 2026. The increase in other income (expense), net was primarily due to an increase in interest income due to a higher average cash balance, partially offset by the $2.3 million in issuance costs we incurred in connection with the June 2025 follow-on offering, which were allocated to the common stock warrant liabilities, for which there was no comparable cost for the three months ended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Heading2"/>
        <w:bidi w:val="0"/>
        <w:spacing w:before="12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Since our inception, we have incurred significant operating losses and negative cash flows from operations. We have not yet commercialized any of our product candidates, which are in preclinical or early clinical development, and we do not expect to generate revenue from sales of any products for several years, if at all. To date, we have financed our operations primarily from proceeds raised through private placements of equity securities; sales of common stock in our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Roche for vilastobart; and upfront and milestone payments under our collaboration and license agreements with AbbVie and Gilead. All of our programs are in early clinical or preclinical development. As a result, we have not generated any revenue from product sales and do not expect to generate any revenue from product sales for at least the next several years, if at all. Our ability to generate product revenue sufficient to achieve profitability will depend heavily on the successful development and eventual commercialization of one or more of our product candidates, if approved. Because of the numerous risks and uncertainties associated with product development, we are unable to predict the timing or amount of increased expenses or when or if we will be able to achieve profitability. Even if we are able to generate revenue from product sales, we may not become profitable.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240" w:after="120"/>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March 2025, we filed a universal shelf registration statement on Form S-3 with the SEC to register for sale up to $250.0 million of our common stock, preferred stock, debt securities, units and warrants, which we may issue and sell from time to time in one or more offerings, which became effective on May 8, 2025 (333-285703). In March 2025, we entered into a sales agreement with Leerink Partners, LLC, under which we could initially issue and sell shares of our common stock from time to time at an aggregate offering price of up to $50.0 million. In February 2026, we filed a prospectus supplement to our prospectus dated May 8, 2025 (333-285793) to reduce the amount of common stock we may offer and sell under the sales agreement to an aggregate offering price of up to $9.5 million.</w:t>
      </w:r>
    </w:p>
    <w:p>
      <w:pPr>
        <w:pStyle w:val="TextBody"/>
        <w:bidi w:val="0"/>
        <w:jc w:val="both"/>
        <w:rPr>
          <w:rFonts w:ascii="Times New Roman" w:hAnsi="Times New Roman"/>
          <w:color w:val="000000"/>
          <w:sz w:val="20"/>
        </w:rPr>
      </w:pPr>
      <w:r>
        <w:rPr>
          <w:rFonts w:ascii="Times New Roman" w:hAnsi="Times New Roman"/>
          <w:color w:val="000000"/>
          <w:sz w:val="20"/>
        </w:rPr>
        <w:t>In May 2026, we filed a universal shelf registration statement on Form S-3 with the SEC to register for sale up to $250.0 million of our common stock, preferred stock, debt securities, units and warrants, which we may issue and sell from time to time in one or more offerings, which became effective on May 29, 2026 (333-295785), or the 2026 Form S-3. In May 2026, we filed a prospectus supplement to our prospectus in the 2026 Form S-3 to cover the offering, issuance and sale by us of up to a maximum of $14.5 million of our common stock that may be issued and sold from time to time under our sales agreement with Leerink.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we issued and sold 592,300 shares of our common stock pursuant to the sales agreement with Leerink at a weighted average price of $7.76 per share for aggregate gross proceeds of $4.6 million, before deducting underwriting discounts and commissions and any offering expenses.</w:t>
      </w:r>
    </w:p>
    <w:p>
      <w:pPr>
        <w:pStyle w:val="Heading2"/>
        <w:bidi w:val="0"/>
        <w:spacing w:before="24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regarding our cash flows for each period presented (in thousands):</w:t>
      </w:r>
    </w:p>
    <w:p>
      <w:pPr>
        <w:pStyle w:val="TextBody"/>
        <w:bidi w:val="0"/>
        <w:jc w:val="both"/>
        <w:rPr/>
      </w:pPr>
      <w:r>
        <w:rPr/>
        <w:t> </w:t>
      </w:r>
    </w:p>
    <w:tbl>
      <w:tblPr>
        <w:tblW w:w="8361" w:type="dxa"/>
        <w:jc w:val="left"/>
        <w:tblInd w:w="0" w:type="dxa"/>
        <w:tblLayout w:type="fixed"/>
        <w:tblCellMar>
          <w:top w:w="28" w:type="dxa"/>
          <w:left w:w="28" w:type="dxa"/>
          <w:bottom w:w="28" w:type="dxa"/>
          <w:right w:w="28" w:type="dxa"/>
        </w:tblCellMar>
      </w:tblPr>
      <w:tblGrid>
        <w:gridCol w:w="5566"/>
        <w:gridCol w:w="146"/>
        <w:gridCol w:w="211"/>
        <w:gridCol w:w="146"/>
        <w:gridCol w:w="736"/>
        <w:gridCol w:w="166"/>
        <w:gridCol w:w="146"/>
        <w:gridCol w:w="211"/>
        <w:gridCol w:w="146"/>
        <w:gridCol w:w="67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flows from operating activities are greatly influenced by our use of cash for operating expenses and working capital requirements to support our business. We have historically experienced negative cash flows from operating activities as we invested in research and development of our product candidates, including preclinical studies, clinical trials, manufacturing and manufacturing process development. The cash used in operating activities resulted primarily from our net losses adjusted for non-cash charges, which are generally due to stock-based compensation, depreciation and amortization, as well as changes in components of operating assets and liabilities, which are generally due to increased expenses and timing of vendor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net cash used in operating activities of $41.1 million was primarily driven by net changes in operating assets and liabilities of $30.3 million and our net loss of $15.9 million, partially offset by $3.8 million of stock-based compensation expense, the $0.6 million loss recorded on the change in fair value of our common stock warrant liabilities and $0.6 million of depreciation and amortization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net cash provided by operating activities of $14.5 million was primarily driven by net changes in operating assets and liabilities of $37.5 million, which includes the $49.1 million recorded as deferred revenue in connection with our collaboration, license and option agreement and stock purchase agreement with AbbVie, and net non-cash expenses of $6.1 million, partially offset by our net loss of $29.1 million.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and 2025, net cash used in investing activities consisted of purchases of property and equipment.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six months ended June 30, 2026, net cash provided by financing activities of $40.2 million primarily consisted of proceeds from the sale of prefunded warrants through a follow-on offering and proceeds from the sale and issuance of common stock through our ATM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2025, net cash provided by financing activities of $52.2 million consisted of proceeds from the sale of prefunded warrants and common stock warrants through our June 2025 follow-on offering, proceeds from the sale and issuance of common stock to AbbVie in a private placement and proceeds from the sale and issuance of common stock through our ATM program.</w:t>
      </w:r>
    </w:p>
    <w:p>
      <w:pPr>
        <w:pStyle w:val="Heading2"/>
        <w:bidi w:val="0"/>
        <w:spacing w:before="360" w:after="283"/>
        <w:jc w:val="both"/>
        <w:rPr>
          <w:rFonts w:ascii="Times New Roman" w:hAnsi="Times New Roman"/>
          <w:i/>
          <w:color w:val="000000"/>
          <w:sz w:val="20"/>
        </w:rPr>
      </w:pPr>
      <w:r>
        <w:rPr>
          <w:rFonts w:ascii="Times New Roman" w:hAnsi="Times New Roman"/>
          <w:i/>
          <w:color w:val="000000"/>
          <w:sz w:val="20"/>
        </w:rPr>
        <w:t>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future capital requirements to increase substantially over time in connection with our ongoing research and development activities, particularly as we advance our current and planned clinical development of our product candidates and maintain the research efforts and preclinical activities associated with our other existing programs and discovery platform. In addition, we expect to continue to incur additional costs associated with operating as a public company. As a result, we expect to incur substantial operating losses and negative operating cash flows for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Inflation generally affects us by increasing our cost of labor and certain services. We do not believe that inflation had a material effect on our condensed consolidated financial statements included elsewhere in this Quarterly Report on Form 10-Q. However, the United States has recently experienced historically high levels of inflation. If the inflation rate continues to increase it may affect our expenses, such as employee compensation and research and development charges due to, for example, increases in the costs of labor and supplies. Additionally, the biotechnology industry is subject to a competitive wage environment that may also increase our operating costs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cash and cash equivalents of $136.0 million. In the second quarter of 2026, we achieved a $6.0 million development milestone related to the collaboration agreement with AbbVie, which we received in the third quarter of 2026. Based on our current operating plans, we anticipate that our existing cash and cash equivalents as of June 30, 2026, together with the $6.0 million development milestone achieved under our AbbVie collaboration in the second quarter of 2026, will be sufficient to enable us to fund our operating expenses and capital expenditure requirements into the first quarter of 2028. This estimate excludes up to $36.2 million in additional gross proceeds in the second half of 2026 if all outstanding Series C warrants are exercised at their current exercise price and any potential additional milestone payments, option-related fees or other contingent payments under our collaboration and license agreements with AbbVie and Gilead, including up to $31.0 million in near-term milestones and option extension fees that could be achieved under the AbbVie collaboration through the first half of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have based our estimates on assumptions that may prove to be wrong, and we could exhaust our available capital resources sooner than we anticipate. In addition, we expect our operating losses and negative operating cash flows to continue for the foreseeable future as we continue to advance our pipeline of novel, masked I-O molecules through preclinical and clinical development, maintain the infrastructure necessary to support these activities and continue to incur costs associated with operating as a public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and because the extent to which we may enter into additional collaborations with third parties for the development of our product candidates is unknown, we may incorrectly estimate the timing and amounts of increased capital outlays and operating expenses associated with advancing the research and development of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capital requirements, both short-term and long-term,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scope, progress, results and costs of research and development for our current and future product candidates, including our current and planned clinical trials for our clinical-stage product candidates, efarindodekin alfa and XTX501, and ongoing preclinical development for our current and future product candidates;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collaboration and license agreements with AbbVie and Gilead;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amount of milestones, option-related fees and other contingent payments under our collaboration, license and option agreement with AbbVie for masked immunotherapies and our license agreement with Gilead for efarindodekin alfa, as well as the scope, costs and timing of our development obligations under these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receipt of up to $36.2 million in additional gross proceeds in the second half of 2026 if all of the outstanding Series C common stock warrants issued in connection with our June 2025 follow-on offering are exercised at their current exercise price of $10.50 per warrant;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secure additional capital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prioritization and number of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costs of securing manufacturing materials for use in preclinical studies, clinical trials and, for any product candidates for which we receive regulatory approval, if any, commercial supply;</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and proprietary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may acquire or in-license other products, product candidates, technologies or intellectual property, as well as the terms of any such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for any of our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revenue, if any, received from commercial sales of any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conditions, including inflation and the imposition of new or revised global trade tariffs;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maintaining our operations and continuing to operate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Identifying potential product candidates and 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ever. Accordingly, we will need to obtain substantial additional capital to achieve our business objectives.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expectation with respect to our ability to fund our currently planned operations is based on estimates that are subject to various risks and uncertainties. Our operating plan may change as a result of many factors currently unknown to management and there can be no assurance that our current operating plan will be achieved in the time frame anticipated by us, and we may exhaust our available capital resources sooner than we expect.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Adequate additional capital may not be available to us on acceptable terms, or at all. Market volatility resulting from adverse changes in domestic and international fiscal, monetary and other policies and political relations, regional or global conflicts, uncertainty around global economic conditions, instability in the financial markets, current or future pandemics or other factors could also adversely impact our ability to access capital as and when needed. To the extent that we raise additional capital through the sale of equity or securities convertible into or exchangeable for equity, the ownership interest of our existing stockholders may be diluted, and the terms of such securities may include liquidation or other preferences that adversely affect the rights of our existing stockholders. Additional debt and preferred equity, if available, may also involve agreements that include covenants limiting or restricting our ability to take specific actions, such as incurring additional debt, making capital expenditures or declaring dividends and may require that we issue additional warrants, which could potentially dilute the ownership interest of our existing stockholders.</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 xml:space="preserve">Contractual Obligations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there have been no material changes to our contractual obligations as reported in our Annual Report on Form 10-K for the year ended December 31, 2025.</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Critical Accounting Policies and Use of Estimates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Except as described in Note 2, </w:t>
      </w:r>
      <w:r>
        <w:rPr>
          <w:rFonts w:ascii="Times New Roman" w:hAnsi="Times New Roman"/>
          <w:i/>
          <w:color w:val="000000"/>
          <w:sz w:val="20"/>
        </w:rPr>
        <w:t xml:space="preserve">Summary of Significant Accounting Policies, </w:t>
      </w:r>
      <w:r>
        <w:rPr>
          <w:rFonts w:ascii="Times New Roman" w:hAnsi="Times New Roman"/>
          <w:color w:val="000000"/>
          <w:sz w:val="20"/>
        </w:rPr>
        <w:t>to our condensed consolidated financial statements included in this Quarterly Report on Form 10-Q, there have been no changes to our critical accounting policies appearing in our Annual Report on Form 10-K for the year ended December 31, 2025.</w:t>
      </w:r>
    </w:p>
    <w:p>
      <w:pPr>
        <w:pStyle w:val="Heading1"/>
        <w:bidi w:val="0"/>
        <w:spacing w:before="360" w:after="283"/>
        <w:jc w:val="both"/>
        <w:rPr>
          <w:rFonts w:ascii="Times New Roman" w:hAnsi="Times New Roman"/>
          <w:color w:val="000000"/>
          <w:sz w:val="20"/>
        </w:rPr>
      </w:pPr>
      <w:r>
        <w:rPr>
          <w:rFonts w:ascii="Times New Roman" w:hAnsi="Times New Roman"/>
          <w:color w:val="000000"/>
          <w:sz w:val="20"/>
        </w:rPr>
        <w:t xml:space="preserve">Emerging Growth Company and Smaller Reporting Company Status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 As a result, our financial statements may not be comparable to companies that comply with new or revised accounting pronouncements as of public company effective dates. We expect to remain classified as an EGC until December 31,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also a “smaller reporting company,” as defined in the Securities Exchange Act of 1934, as amended, or the Exchange Act. We may continue to be a smaller reporting company even after we are no longer an EGC, in which case we may continue to rely on exemptions from certain disclosure requirements that are available to smaller reporting companies.</w:t>
      </w:r>
    </w:p>
    <w:p>
      <w:pPr>
        <w:pStyle w:val="Heading1"/>
        <w:bidi w:val="0"/>
        <w:spacing w:before="240" w:after="120"/>
        <w:jc w:val="both"/>
        <w:rPr>
          <w:rFonts w:ascii="Times New Roman" w:hAnsi="Times New Roman"/>
          <w:color w:val="000000"/>
          <w:sz w:val="20"/>
        </w:rPr>
      </w:pPr>
      <w:bookmarkStart w:id="11" w:name="item3quantitativeandqualitativedisclosur"/>
      <w:bookmarkEnd w:id="11"/>
      <w:r>
        <w:rPr>
          <w:rFonts w:ascii="Times New Roman" w:hAnsi="Times New Roman"/>
          <w:color w:val="000000"/>
          <w:sz w:val="20"/>
        </w:rPr>
        <w:t>Item 3. Quantitative and Qualitative Disclosures About Market Risk</w:t>
      </w:r>
    </w:p>
    <w:p>
      <w:pPr>
        <w:pStyle w:val="TextBody"/>
        <w:bidi w:val="0"/>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under this item.</w:t>
      </w:r>
    </w:p>
    <w:p>
      <w:pPr>
        <w:pStyle w:val="Heading1"/>
        <w:bidi w:val="0"/>
        <w:spacing w:before="360" w:after="283"/>
        <w:jc w:val="both"/>
        <w:rPr>
          <w:rFonts w:ascii="Times New Roman" w:hAnsi="Times New Roman"/>
          <w:color w:val="000000"/>
          <w:sz w:val="20"/>
        </w:rPr>
      </w:pPr>
      <w:bookmarkStart w:id="12" w:name="item4controlsandprocedures_598930"/>
      <w:bookmarkEnd w:id="12"/>
      <w:r>
        <w:rPr>
          <w:rFonts w:ascii="Times New Roman" w:hAnsi="Times New Roman"/>
          <w:color w:val="000000"/>
          <w:sz w:val="20"/>
        </w:rPr>
        <w:t>Item 4. Controls and Procedures</w:t>
      </w:r>
    </w:p>
    <w:p>
      <w:pPr>
        <w:pStyle w:val="Heading1"/>
        <w:bidi w:val="0"/>
        <w:spacing w:before="120" w:after="283"/>
        <w:jc w:val="both"/>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chief executive officer (our principal executive officer) and our chief financial and operating officer (our principal financial officer) evaluated the effectiveness of our disclosure controls and procedures as of June 30, 2026. Based upon such evaluation, our principal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executive officer and principal financial officer have concluded that, as of June 30, 2026, our disclosure controls and procedures were effective at a reasonable assurance level.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that occurred during the period covered by this Quarterly Report on Form 10-Q that materially affected, or are reasonably likely to materially affect, our internal control over financial reporting.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jc w:val="center"/>
        <w:rPr>
          <w:rFonts w:ascii="Times New Roman" w:hAnsi="Times New Roman"/>
          <w:color w:val="000000"/>
          <w:sz w:val="20"/>
        </w:rPr>
      </w:pPr>
      <w:bookmarkStart w:id="13" w:name="part_ii_other_information"/>
      <w:bookmarkEnd w:id="13"/>
      <w:r>
        <w:rPr>
          <w:rFonts w:ascii="Times New Roman" w:hAnsi="Times New Roman"/>
          <w:color w:val="000000"/>
          <w:sz w:val="20"/>
        </w:rPr>
        <w:t>PART II—OTHER INFORMATION</w:t>
      </w:r>
    </w:p>
    <w:p>
      <w:pPr>
        <w:pStyle w:val="Heading1"/>
        <w:bidi w:val="0"/>
        <w:spacing w:before="240" w:after="283"/>
        <w:jc w:val="both"/>
        <w:rPr>
          <w:rFonts w:ascii="Times New Roman" w:hAnsi="Times New Roman"/>
          <w:color w:val="000000"/>
          <w:sz w:val="20"/>
        </w:rPr>
      </w:pPr>
      <w:bookmarkStart w:id="14" w:name="item_1a_risk_factors"/>
      <w:bookmarkEnd w:id="14"/>
      <w:r>
        <w:rPr>
          <w:rFonts w:ascii="Times New Roman" w:hAnsi="Times New Roman"/>
          <w:color w:val="000000"/>
          <w:sz w:val="20"/>
        </w:rPr>
        <w:t>Item 1A. Risk Factors</w:t>
      </w:r>
    </w:p>
    <w:p>
      <w:pPr>
        <w:pStyle w:val="Heading1"/>
        <w:bidi w:val="0"/>
        <w:jc w:val="both"/>
        <w:rPr/>
      </w:pPr>
      <w:r>
        <w:rPr/>
        <w:t> </w:t>
      </w:r>
    </w:p>
    <w:p>
      <w:pPr>
        <w:pStyle w:val="Heading1"/>
        <w:bidi w:val="0"/>
        <w:jc w:val="both"/>
        <w:rPr>
          <w:rFonts w:ascii="Times New Roman" w:hAnsi="Times New Roman"/>
          <w:b w:val="false"/>
          <w:i/>
          <w:color w:val="000000"/>
          <w:sz w:val="20"/>
        </w:rPr>
      </w:pPr>
      <w:r>
        <w:rPr>
          <w:rFonts w:ascii="Times New Roman" w:hAnsi="Times New Roman"/>
          <w:b w:val="false"/>
          <w:i/>
          <w:color w:val="000000"/>
          <w:sz w:val="20"/>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Risks Related to Our Limited Operating History, Financial Position and Capital Requirements</w:t>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b/>
          <w:i/>
          <w:color w:val="000000"/>
          <w:sz w:val="20"/>
        </w:rPr>
        <w:t>We will need to obtain substantial additional capital in the future to finance our operations and complete the development of any current or future product candidates.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we had cash and cash equivalents of $136.0 million. In the second quarter of 2026, we achieved a $6.0 million development milestone under our AbbVie collaboration, which we received in the third quarter of 2026. Based on our current operating plans, we anticipate that our existing cash and cash equivalents as of June 30, 2026, together with the $6.0 million development milestone achieved under our AbbVie collaboration in the second quarter of 2026, will be sufficient to enable us to fund our operating expenses and capital expenditure requirements into the first quarter of 2028. This estimate excludes up to $36.2 million in additional gross proceeds in the second half of 2026 if all outstanding Series C warrants are exercised at their current exercise price and any potential additional milestone payments, option-related fees or other contingent payments under our collaboration and license agreements with AbbVie Group Holdings Limited, or AbbVie, and Gilead Sciences, Inc., or Gilead, including up to $31.0 million in near-term milestones and option extension fees that could be achieved under the AbbVie collaboration through the first half of 2027. In addition, we have based our estimates on assumptions that may prove to be wrong, and we could exhaust our available capital resources sooner than we anticipate and may need to seek additional capital sooner than anticipated.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capital requirements, both short-term and long-term,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scope, progress, results and costs of research and development for our current and future product candidates, including our current and planned clinical trials for our clinical-stage product candidates, efarindodekin alfa and XTX501, and ongoing preclinical development for our current and future product candidates;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collaboration and license agreements with AbbVie and Gilead;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amount of milestones, option-related fees and other contingent payments under our collaboration, license and option agreement with AbbVie for masked immunotherapies and our license agreement with Gilead for efarindodekin alfa, as well as the scope, costs and timing of our development obligations under these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potential receipt of up to $36.2 million in additional gross proceeds in the second half of 2026 if all of the outstanding Series C common stock warrants issued in connection with our June 2025 follow-on offering are exercised at their current exercise price of $10.50 per warrant;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secure additional capital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prioritization and number of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costs of securing manufacturing materials for use in preclinical studies, clinical trials and, for any product candidates for which we receive regulatory approval, if any, commercial supply;</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and proprietary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may acquire or in-license other products, product candidates, technologies or intellectual property, as well as the terms of any such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costs, timing and outcome of regulatory review of our product candidates;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for any of our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revenue, if any, received from commercial sales of any product candidates for which we receive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conditions, including inflation and the imposition of new or revised global trade tariffs;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maintaining our operations and continuing to operate as a public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existing cash and cash equivalents will not be sufficient to complete development of any current or future product candidates, and we will require additional capital in the future to sustain our operations. We currently do not have any committed external sources of funds and will be required to obtain further funding in the future through public or private equity offerings, debt, collaborations, licensing arrangements, the conversion of common stock warrants for cash, or other sources. However, adequate additional capital may not be available to us in the future on acceptable terms, or at all. In addition, our ability to raise additional capital may be adversely impacted by potential worsening economic conditions, both inside and outside the United States, including without limitation heightened inflation, capital market volatility, interest rate and currency rate fluctuations, any potential economic slowdown or recession, future pandemics, geopolitical tensions, including trade wars or civil or political unrest, or wars or other armed conflicts. Our failure to raise additional capital in the future as and when needed to support our operations would have a material adverse effect on our financial condition, our ability to develop and commercialize our current and any future product candidates or otherwise pursue our business strategy.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incurred significant operating losses since our inception and expect to incur significant losses for the foreseeable future.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Since inception, we have incurred significant operating losses, including net losses of $15.9 million and $29.1 million for the six months ended June 30, 2026 and 2025, respectively, and $35.0 million for the year ended December 31, 2025. As of June 30, 2026, we had an accumulated deficit of $434.7 million. We expect our operating losses and negative operating cash flows to continue for the foreseeable future as we continue to advance our pipeline of novel, masked immuno-oncology, or I-O, molecules through preclinical and clinical development, maintain the infrastructure necessary to support these activities and continue to incur costs associated with operating as a public company. We do not expect to generate any revenue from the sale of products for a number of years, if at all, and any such revenue will not be realized unless and until we obtain marketing approval for and successfully launch and commercialize a product candidate. If we obtain marketing approval for any current or future product candidates that we develop, we expect to incur significant commercialization expenses related to product sales, marketing, distribution and manufacturing. Some of these expenses may be incurred in advance of marketing approval and could be substantial.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date, we have financed our operations primarily from proceeds raised through private placements of equity securities; sales of common stock in our initial public offering, or IPO, and through “at-the-market” offerings; the sale of prefunded warrants in our June 2025 and February 2026 follow-on offerings; the exercise of certain common stock warrants issued in connection with our June 2025 follow-on offering; development event payments under our co-funded clinical trial collaboration with F. Hoffmann-La Roche Ltd, or Roche; and upfront and milestone payments under our collaboration and license agreements with AbbVie and Gilead. All of our programs are in clinical or preclinical development. As a result, we have not generated any revenue from product sales and do not expect to generate any revenue from product sales for at least the next several years, if at all.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expect our operating losses and negative operating cash flows to continue for the foreseeable future as we continue to advance our pipeline of novel, masked I-O molecules through development. Our operating expenses and net losses may fluctuate significantly from quarter to quarter and year to year, and we expect to continue to incur significant expenses and operating losses for the foreseeable future, particularly to the extent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current research programs and conduct additional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current product candidates and any future product candidates we may develop into preclinical and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marketing approvals for product candidates that successfully complete clinical trials,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expand, maintain, defend and enforce our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discover, validate and develop additional product candidates;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manufacture increasing quantities of our current or future product candidates for use in preclinical studies, clinical trials and for any potential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acquire or in-license other product candidates, technologies or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personnel to support current or future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commercial and distribution infrastructure to commercialize products for which we may obtain marketing approval, if 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costs associated with current and future research, development and commercialization efforts and operations as a public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Even if we successfully complete clinical trials and obtain regulatory approval for one or more of our product candidates, our ability to generate product revenue sufficient to achieve profitability will depend heavily on the successful commercialization of those product candidates. Because of the numerous risks and uncertainties associated with product development, we are unable to predict the timing or amount of increased expenses or when or if we will be able to achieve profitability. In addition, even if we are able to generate revenue from product sales, we may not become profitable.</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Raising additional capital in the future may cause dilution to our stockholders, restrict our operations or require us to relinquish rights to product candidates or our technology. In addition, the issuance of shares of common stock upon the exercise of our outstanding prefunded warrants or common stock warrants will result in immediate and substantial dilution to our existing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Unless and until we can generate a substantial amount of product revenue, we expect to seek additional capital through a combination of public or private equity offerings, debt, collaborations, licensing arrangements or other sources. Our issuance of additional securities, whether equity or debt, or the possibility of such issuance, may cause the market price of our common stock to decline, and our stockholders may not agree with our plans for additional capital or the terms of such capital. To the extent that we raise additional capital through the sale of equity or convertible debt securities, our stockholders’ ownership interest will be diluted, and the terms of these securities may include liquidation or other preferences that adversely affect the rights of our existing stockholders. In addition, the issuance of shares of common stock upon the exercise of our outstanding prefunded warrants or common stock warrants will result in immediate and substantial dilution to our existing stockholders. Similarly, if we issue additional shares of our common stock in one or more public or private offerings in the future, our existing stockholders will suffer further dilution. In addition, as a condition to providing additional funds to us, Gilead and AbbVie received rights superior to those of existing stockholders, and in connection with the issuance of prefunded warrants and common stock warrants in June 2025, we agreed to specified restrictions on our future equity issuances, unless we obtain the requisite prior approval of the warrant holders. Future investors may similarly receive rights that are superior to those of existing investors or which place restrictions on our future equity issuances. In addition, the incurrence of any indebtedness would result in additional payment obligations and is likely to involve restrictive covenants limiting our flexibility in conducting future business activities, and, in the event of insolvency, would be repaid before holders of our equity securities received any distribution of our corporate assets. Further, in raising funds through our collaborations and licensing arrangements with third parties, we have had to, and may in the future need to, relinquish valuable rights, partially or fully, to our technologies, future revenue streams, research programs or product candidates and grant licenses on terms unfavorable to us. In addition, securing additional capital would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no products approved for commercial sale and have not generated any revenue from product sales. We may never generate any revenue from product sales or become profitable and, if we achieve profitability, we may not be able to sustain 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date, we have not generated any revenue from product sales. We do not expect to generate any revenue from the sale of products for a number of years, and we may never generate revenue from the sale of products. Our ability to generate revenue from product sales depends on a number of factors, including our ability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complete our ongoing and planned preclinical studies and clinical trials for any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receive U.S. Food and Drug Administration, or FDA, clearance for any investigational new drug application, or IND, for any current or future product candidates;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initiate and complete clinical trials for our clinical-stage product candidates and any other current or future product candidates, including all safety and efficacy studies necessary to obtain U.S. and foreign regulatory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maintain clinical and commercial manufacturing capabilities or make arrangements with third-party manufacturers for clinical supply and commercial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 commercial sales of our products,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acceptance of the products, if and when approved,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effectively compete with other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healthcare coverage and adequate reimbursement for our products, if and when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a continued acceptable safety profile of our products following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enforce and defend intellectual property rights and claims.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 numerous risks and uncertainties associated with biopharmaceutical product development, we are unable to accurately predict the timing or amount of expenses we may incur in connection with these activities prior to generating revenue from product sales. In addition, we may never succeed in these activities, and, even if we do, we may never generate revenues that are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our stockholders to lose all or part of their investment.</w:t>
      </w:r>
    </w:p>
    <w:p>
      <w:pPr>
        <w:pStyle w:val="TextBody"/>
        <w:bidi w:val="0"/>
        <w:jc w:val="lef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Our limited operating history may make it difficult for an investor to evaluate the success of our business to date and to assess our future viability.</w:t>
      </w:r>
    </w:p>
    <w:p>
      <w:pPr>
        <w:pStyle w:val="TextBody"/>
        <w:bidi w:val="0"/>
        <w:jc w:val="both"/>
        <w:rPr>
          <w:rFonts w:ascii="Times New Roman" w:hAnsi="Times New Roman"/>
          <w:color w:val="000000"/>
          <w:sz w:val="20"/>
        </w:rPr>
      </w:pPr>
      <w:r>
        <w:rPr>
          <w:rFonts w:ascii="Times New Roman" w:hAnsi="Times New Roman"/>
          <w:color w:val="000000"/>
          <w:sz w:val="20"/>
        </w:rPr>
        <w:t>We are a clinical-stage biotechnology company with a limited operating history upon which investors can evaluate our business and prospects. Since inception, we have devoted substantially all of our financial resources and efforts to performing research and development activities. Our approach to the discovery and development of masked I-O product candidates using our proprietary platform technology is unproven, and we do not know whether we will be able to develop any approved products of commercial value. In addition, each of our product candidates is either in early clinical or preclinical development, and all of our other development programs are still in discovery stages. We have not yet demonstrated an ability to successfully complete any late-stage clinical trials, obtain regulatory approvals, manufacture a commercial-scale product, or arrange for a third party to do so on our behalf, or conduct the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incurred substantial losses during our history. As of December 31, 2025, we had federal and state net operating loss, or NOL, carryforwards of $263.5 million and $234.6 million, respectively. We do not anticipate generating revenue from sales of products for the foreseeable future, if ever, and we do not know whether or when we will generate taxable income necessary to utilize our NOLs.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generate taxable income in the future, our ability to use our NOL carryforwards and tax attributes may nevertheless be limited. In general, under Sections 382 and 383 of the Internal Revenue Code of 1986, as amended, or the Code, and corresponding provisions of state law, if a corporation undergoes an “ownership change” (generally defined as a greater than 50 percentage point change (by value) in the ownership of its equity by certain stockholders over a three-year period), the corporation’s ability to use its pre-change NOL carryforwards and other pre-change tax attributes to offset its post-change income is subject to limitations. We have experienced ownership changes as defined by Sections 382 and 383 of the Code. As a result of these changes and any future ownership changes, if we earn net taxable income, our ability to use our pre-change NOL carryforwards and other pre-change tax attributes to offset such taxable income may be subject to limitations, which could result in increased future tax liability to us and could have an adverse effect on our future results of operations.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also a risk that due to regulatory changes, such as suspensions on the use of NOLs, or other unforeseen reasons, our existing NOLs could expire or otherwise become unavailable to offset future income tax liabilities. As described below in “Risks Related to Ownership of Our Common Stock—Changes in tax laws or in their implementation or interpretation may adversely affect our business and financial condition,” the Tax Cuts and Jobs Act of 2017, or the Tax Act, as amended by the Coronavirus Aid, Relief, and Economic Security Act, or the CARES Act, includes changes to U.S. federal tax rates and the rules governing NOL carryforwards that may significantly impact our ability to utilize our NOLs to offset taxable income in the future. In addition, state NOLs generated in one state cannot be used to offset income generated in another state. For these reasons, even if we attain profitability, we may be unable to use a material portion of our NOLs and other tax attributes.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Discovery and Development of Our Product Candidates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is highly dependent on the success of our current product candidates, which are in the early stages of development and will require significant additional preclinical and clinical development before we can seek regulatory approval for and commercially launch a product.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business and future success is highly dependent on our ability to obtain regulatory approval for, and if approved, successfully launch and commercialize, our current or future product candidates, including our current clinical-stage product candidates, efarindodekin alfa and XTX501. We are currently evaluating efarindodekin alfa as a monotherapy in an ongoing Phase 2 clinical trial in patients with certain advanced solid tumors. For XTX501, we expect to initiate dosing in the Phase 1 trial in patients with metastatic non-small cell lung cancer, or NSCLC, and select advanced solid tumors in the second half of 2026. We also have a portfolio of programs that are in earlier stages of development and may never advance to clinical-stage development, including our wholly-owned preclinical programs for a multi-specific masked T cell engager targeting PSMA+STEAP1, and a masked T cell engager targeting CLDN18.2 as well as an additional masked T cell engager program in collaboration with AbbVie.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Commencing clinical trials in the U.S.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 or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experience issues surrounding preliminary trial execution, such as delays in FDA acceptance of any future INDs, revisions in trial design and finalization of trial protocols, difficulties with patient recruitment and enrollment, quality and provision of clinical supplies, or early safety signals.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not permitted to market any biological product in the U.S. until we receive approval of a Biologics License Application, or BLA, from the FDA. We have not previously submitted a BLA to the FDA, or similar marketing application to comparable foreign regulatory authorities. A BLA must include extensive preclinical and clinical data and supporting information to establish that the product candidate is safe, pure and potent for each desired indication. A BLA must also include significant information regarding the chemistry, manufacturing and controls for the product, and the manufacturing facilities must complete a successful pre-license inspection.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FDA approval of a BLA is not guaranteed, and the review and approval process is expensive, uncertain and may take several years. The FDA also has substantial discretion in the approval process. The number and types of preclinical studies and clinical trials that will be required for BLA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 that we develop based on the completed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Generally, public concern regarding the safety of biopharmaceutical products could delay or limit our ability to obtain regulatory approval, result in the inclusion of unfavorable information in our labeling or require us to undertake other activities that may entail additional costs. We have not obtained FDA approval for any product. This lack of experience may impede our ability to obtain FDA approval in a timely manner, if at all, for any current or future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success of our business, including our ability to finance our company and generate any revenue in the future, will primarily depend on the successful development, regulatory approval and commercialization of our current and any future product candidates, which may never occur. However, given our early stage of development, it will be years before we are able to demonstrate the safety and efficacy of a treatment sufficient to warrant approval for commercialization, and we may never be able to do so. If we are unable to develop, or obtain regulatory approval for, or, if approved, successfully commercialize our current or any future product candidates, we may not be able to generate sufficient revenue to continue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our product candidates are still in the early clinical stage or preclinical stage of development, and their risk of failure is high. Before we can commence clinical trials for a product candidate, we must complete extensive preclinical testing and studies that support our planned INDs in the U.S., or similar applications in other jurisdictions. We cannot be certain of the timely completion or outcome of our preclinical testing and studies, and we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INDs or similar applications for our current or future preclinical programs, including without limitation, the planned INDs for our masked T cell engager programs targeting CLND18.2 and PSMA+STEAP1, on the timelines we expect, if at all, and we cannot be sure that submission of INDs or similar applications will result in the FDA or other regulatory authorities allowing clinical trials to begin.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Preclinical studies and clinical trials are expensive, time-consuming and difficult to design and implement, and involve uncertain outcomes. Furthermore, results of earlier preclinical studies and clinical trials may not be predictive of results of future preclinical studies or clinical trials.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risk of failure for our current and any future product candidates is high. It is impossible to predict when or if any of our product candidates will successfully complete preclinical studies or clinical trials evaluating their safety and effectiveness in humans or will ultimately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Preclinical and clinical testing is expensive and can take many years to complete, and the outcome is inherently uncertain. Failure can occur at any time during the preclinical or clinical trial process. The outcome of preclinical testing and early clinical trials may not be predictive of the results of later clinical trials, and interim results of a clinical trial do not necessarily predict final results. In particular, while we have conducted certain preclinical studies for each of our clinical stage product candidates, we do not know whether these product candidates will perform in our clinical trials as they have performed in these prior preclinical studies. Similarly, there can be no assurance that early, interim or preliminary clinical data or results will be predictive of or replicated in future clinical data or results, including without limitation, the data reported to date for our Phase 1 clinical trial for efarindodekin alfa. 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or AEs.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and ongoing preclinical studies or clinical trials, or if we experience material changes in clinical data or results from those we have previously reported, the development timeline and regulatory approval and commercialization prospects for our product candidates, and, correspondingly, our business, financial condition and results of operations would be materially and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Before obtaining marketing approval from regulatory authorities for the sale of our product candidates, we must conduct extensive clinical trials to demonstrate the safety and efficacy of the product candidate for its intended indications. We cannot guarantee that any clinical trials, including our Phase 2 clinical trial evaluating efarindodekin alfa as a monotherapy and our Phase 1/2 clinical trial to evaluate XTX501 in patients with NSCLC and select advanced solid tumors, will be conducted as planned or completed on schedule, if at all. We may experience numerous unforeseen events leading up to, during or as a result of clinical trials that could delay or prevent the initiation or completion of a clinical trial or our ability to receive marketing approval or commercialize our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we may be unable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obtain regulatory authorizations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issues in reaching a consensus with regulatory authorities on trial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or institutional review boards, or IRBs, or ethics committees may not authorize us or our investigators to commence a clinical trial or conduct a clinical trial at a prospective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sites may deviate from a trial protocol or drop out of a trial or fail to conduct the trial in accordance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required for clinical trials of our product candidates may be larger than we anticipate, or subjects may fail to enroll or remain in clinical trials at the rate we expect;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subjects that enroll in our studies may misrepresent their eligibility or may otherwise not comply with the clinical trial protocol, resulting in the need to drop the subject from the trial, increase the needed enrollment size for the clinical trial or extend its duration;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subjects may choose an alternative treatment for the indication for which we are developing our product candidates, or participate in competing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subjects may experience severe or unexpected treatment-related adverse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unfavorable, inconclusive, or clinically insignificant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decide to, or regulators, or IRBs, or ethics committees may require us to, make changes to a clinical trial protocol or conduct additional preclinical studies or clinical trials, or we may decide to abandon product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need to add new or additional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including those manufacturing our product candidates or conducting clinical trials on our behalf,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manufacturing delays, and any changes to manufacturing processes or third-party contractors that may be necessary or desired could result in other delays;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third-party contractors may experience delays due to complications resulting from the impact of public health crises, including epidemics and pandemics, or geopolitical tensions;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preclinical testing and studies and clinical trials of any product candidates may be greater than we anticipate or greater than our available financial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 or we may not be able to obtain sufficient quantities of combination therapies for use in current or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reports may arise from preclinical or clinical testing of other cancer therapies that raise safety or efficacy concerns about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revise the requirements for approving our product candidates, or such requirements may not be as we anticipate.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required to conduct additional clinical trials or other testing of our product candidates beyond the clinical trials and testing that we contemplate, if we are unable to successfully complete clinical trials or other testing of our product candidates, if the results of these clinical trials or tests are unfavorable or are only modestly favorable or if there are safety concerns associated with any of product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required to suspend or terminate ongoing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delayed in obtaining marketing approval,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additional post-marketing testing or other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required to perform additional clinical trials to support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regulatory authorities withdraw, or suspend, their approval of the drug or impose restrictions on its distribution in the form of a modified risk evaluation and mitigation strategy, or REMS;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 subject to lawsuits;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factors above, we may make formulation or manufacturing changes to our product candidates, in which case we may need to conduct additional preclinical studies or clinical trials to bridge our modified product candidates to earlier versions, which may be costly, time consuming and may not be successful at 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failure to successfully initiate and complete clinical trials of our product candidates and to demonstrate the efficacy and safety necessary to obtain regulatory approval to market any of our product candidates would significantly harm our business. We cannot guarantee that our clinical trials will begin as planned or be completed on schedule, if at all, or that we will not need to restructure our clinical trials. Significant preclinical study or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clinical development activities could be delayed or otherwise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The enrollment of patients depends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patient eligibility and the inclusion and exclusion criteria defined in the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AEs in our clinical trials and in third-party clinical trials of agents similar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health of the patient population required for analysis of the trial’s primary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of patients to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patient consents;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monitor patients adequately during and after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enrolled in clinical trials will drop out of the trials before completion;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factors we may not be able to control that may limit the availability of patients, principal investigators or staff or clinical sites, such as public health crises, including epidemics and pandemics.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inability to enroll a sufficient number of patients for our clinical trials would result in significant delays or might require us to abandon one or more clinical trials altogether. Enrollment delays in our clinical trials may result in increased development costs for our product candidates, slow down or halt our product candidate development and approval process and jeopardize our ability to seek and obtain the marketing approval required to commence product sales and generate revenue, which would cause the value of our company to decline and limit our ability to obtain sufficient additional capital.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Undesirable or unexpectedly severe side effects caused by our product candidates could cause us to interrupt, delay or halt preclinical studies or could cause us or regulatory authorities to interrupt, delay or halt clinical trials and could result in a more restrictive label or the delay or denial of regulatory approval by the FDA or comparable foreign regulatory authorities. Traditional cytokine therapies and checkpoint inhibitors have long been associated with severe toxicities, which can be life-threatening or fatal, that have resulted in the need to dose-reduce, dose-interrupt and discontinue many patients from treatment. As has been the case with traditional I-O treatments for cancer, it is possible that there may be severe side effects associated with the use of our current or future product candidates. Results of our clinical trials could reveal a high and unacceptable severity and prevalence of these or other side effects. In such an event, our clinical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clinical trials rely on a sample of the potential patient population. With a limited number of patients and limited duration of exposure, rare and severe side effects of our product candidates may only be uncovered when a significantly larger number of patients is exposed to the product candidate. If our product candidates receive marketing approval and we or others identify undesirable side effects caused by such product candidates after such approval, a number of potentially significant negative consequences could result,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change the way such product candidates are distributed or administered, conduct additional clinical trials or change the labeling of the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regulatory investigations and government enforcement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withdraw or limit their approval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decide to remove such product candidates from the marketplace;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sued and held liable for injury caused to individuals exposed to or taking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suffer reputational harm.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From time to time, we may publish interim top-line or preliminary data from our clinical trials. For example, we most recently reported data from our Phase 1 clinical trial for efarindodekin alfa in November 2025 at the Society for Immunotherapy of Cancer (SITC) 40</w:t>
      </w:r>
      <w:r>
        <w:rPr>
          <w:rFonts w:ascii="Times New Roman" w:hAnsi="Times New Roman"/>
          <w:color w:val="000000"/>
          <w:sz w:val="13"/>
        </w:rPr>
        <w:t>th</w:t>
      </w:r>
      <w:r>
        <w:rPr>
          <w:rFonts w:ascii="Times New Roman" w:hAnsi="Times New Roman"/>
          <w:color w:val="000000"/>
          <w:sz w:val="20"/>
        </w:rPr>
        <w:t xml:space="preserve"> Annual Meeting. Preliminary and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preliminary data previously published. As a result, interim and preliminary data should be viewed with caution until the final data are available. Adverse differences between preliminary or interim data and final data could significantly harm our business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develop certain of our product candidates in combination with third-party drugs and we will have limited or no control over the safety, supply, regulatory status or regulatory approval of such third-party drugs.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intend to develop our clinical-stage product candidates, and likely other future product candidates, in combination with third-party cancer drugs, which may be either approved or unapproved. Our ability to develop and ultimately commercialize our current product candidates, and any future product candidates, used in combination with third-party drugs will depend on our ability to access such drugs on commercially reasonable terms for clinical trials and their availability for use with our commercialized product, if approved. We cannot be certain that current or potential future commercial relationships will provide us with a steady supply of such drugs on commercially reasonable terms or at all. Any failure to maintain or enter into new successful commercial relationships, or the expense of purchasing such third-party drugs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or prospects may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the development of product candidates for use in combination with another product or product candidate may present challenges that are not faced for single agent product candidates. For example, our plans to evaluate current or future product candidates in combination with other agents may result in AEs based on the combination therapy that may negatively impact the reported safety profile of the monotherapy in clinical trials. In addition,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third-party drug and not our product candidate. Developments related to the third-party drug may also impact our clinical trials for the combination therapy as well as our commercial prospects should we receive regulatory approval. Such developments may include changes to the third-party drug’s safety or efficacy profile, changes to the availability of the third-party drug, quality, and manufacturing and supply issues with respect to the third-party drug.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able to obtain marketing approval, the FDA or comparable foreign regulatory authorities may require that products used in conjunction with each other be cross labeled for combined use. To the extent that we do not have rights to the third-party drug, this may require us to work with such third party to satisfy such a requirement. We would also continue to be subject to the risks that the FDA or comparable foreign regulatory authorities could revoke approval of the third-party drug used in combination with our product candidate or that safety, efficacy, manufacturing or supply issues could arise with such drug. Similarly, if the third-party drugs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successful in our efforts to use our platform technology to enable the development of a pipeline of masked I-O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key element of our strategy is to use our novel platform technology to engineer and develop masked I-O molecules with the potential to trigger anti-tumor immunity with minimal systemic toxicity in order to advance a pipeline of product candidates. We may not be able to continue to identify and develop novel I-O therapies. Even if we are successful in continuing to advance our pipeline, the potential product candidates that we identify may not be suitable for clinical development. For example, potential product candidates may be shown to have harmful side effects or other characteristics that indicate that they are unlikely to or will not be drugs that will receive marketing approval and achieve market acceptance. If we do not successfully develop and commercialize product candidates based upon our platform approach or take longer to do so than anticipated, we will not or may not be able to obtain drug revenues in future periods, which likely would result in significant harm to our financial position and adversely affect our stock price.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successful in our efforts to identify or discover additional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Although we intend to explore other therapeutic opportunities in addition to the product candidates that we are currently developing, we may fail to identify or discover viable new product candidates for clinical development for a number of reasons. If we fail to identify additional potential product candidates, our business could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We may in the future rely on third parties for certain research, and we will not have complete control over their performance and ability to successfully develop product candidates. Our research programs may initially show promise in identifying potential indications and/or product candidates, yet fail to yield results for clinical development for a number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research methodology used may not be successful in identifying potential indications and/or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candidates may, after further study, be shown to have harmful adverse effects or other characteristics that indicate they are unlikely to be effective drugs;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may take greater human and financial resources than we will possess to identify and advance additional therapeutic opportunities for our product candidates or to develop suitable potential product candidates through internal research programs, thereby limiting our ability to develop, diversify and expand our product portfolio.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there can be no assurance that we will ever be able to identify additional therapeutic opportunities for our current product candidates or to develop suitable additional product candidates through internal research programs, which could materially adversely affect our future growth and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approach to the discovery and development of product candidates based on our technological approaches is unproven, and we do not know whether we will be able to develop any products of commercial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success of our business depends primarily upon our ability to discover, develop and commercialize products based on our technological approaches. While we have had favorable preclinical and early clinical results related to certain of our clinical-stage product candidates, we have not yet succeeded and may not succeed in demonstrating efficacy and safety for any product candidates in current or future clinical trials or in obtaining marketing approval thereafter. We rely on matrix metalloproteases, or MMPs, and other tumor-specific proteases to activate our molecules within the tumor microenvironment. If protease activity in human tumors is not sufficient to cleave the masking protein domain, the potential efficacy of our product candidates would be limited. We have no assurance that our product candidates will successfully progress through clinical development and ultimately marketing approval. We have invested substantially all of our efforts and financial resources in developing our initial product candidates and our future success is highly dependent on the outcome of our ongoing clinical trials and the successful development of our technology and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clinical trial requirements of the FDA and other regulatory agencies and the criteria these regulators use to determine the safety and efficacy of a product candidate may vary according to the type, complexity, novelty and intended use and market of the potential products. The regulatory approval process for novel product candidates can be more expensive and take longer than for other, better known or extensively studied pharmaceutical or other product candidates. As a result, we may face a greater regulatory burden to initiate clinical trials or to obtain regulatory approval of our product candidates as compared to product candidates based on more established technology. In addition, any product candidates for which we may be able to obtain marketing approval may be subject to extensive post-approval regulatory requirements, including requirements pertaining to manufacturing, distribution and promotion. We may need to devote significant time and resources to comply with these requirements.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chosen to initially develop each of our clinical-stage product candidates for the treatment of various solid tumor types. Nevertheless, our development efforts will be limited to a small number of cancer types, and we may forego or delay pursuit of opportunities in other cancer types that may prove to have greater potential. Likewise, we may forego or delay the pursuit of opportunities with other potential product candidates that may prove to have greater commercial potential.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our resource allocation decisions may cause us to fail to capitalize on viable commercial products or profitable market opportunities. Our spending on current and future research and development programs and product candidates for specific indications may not yield any viable product candidates. Similarly, if we do not accurately evaluate the commercial potential or target market for a particular product candidate, we may relinquish valuable rights to that product candidate through collaboration, licensing or other similar arrangements in cases in which it would have been more advantageous for us to retain sole development and commercialization rights to the product candidate.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become exposed to costly and damaging liability claims, either when testing our product candidates in the clinic or following commercial sale, and any product liability insurance we may obtain may not cover all damages from such claims.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exposed to potential product liability risks that are inherent in the research, development, manufacturing, marketing and use of biopharmaceutical products. The use of product candidates by us in clinical trials, and any sale of approved products in the future, may expose us to liability claims.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thereof, we may be exposed to substantial liabilities. Physicians and patients may not comply with any warnings that identify known potential adverse effects and patients who should not use our product candidates. If we cannot successfully defend ourselves against product liability claims, we may incur substantial liabilities or be required to limit or cease the development or commercialization of our product candidates or any products for which we may have received marketing approval. Even a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termination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product candidates or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and social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or difficulties in recruiting new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or settle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negative financial impact;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of our product candidates,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will seek to procure and maintain sufficient product liability insurance coverage, our current insurance coverage and any insurance coverage we obtain in the future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materially harmed.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Risks Relating to Manufacturing and Supply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Manufacturing biologics is complex, and we may experience manufacturing problems that result in delays in our development or commercialization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manufacturing of biologics is complex and difficult and we may experience production issues or interruptions in supply for our product candidates, including variability of raw material, consumable or starting material quality, cell line viability, productivity or stability issues, shortages of any kind, shipping, distribution, storage and supply chain failures, media contamination, equipment malfunctions or failures, operator errors, facility contamination, labor problems, quality system and regulatory inspection failures, adverse impacts from current or future trade sanctions, tariffs or similar actions, natural disasters, disruption in utility services, terrorist activities, or acts of god that are beyond our control or the control of our third-party contract development and manufacturing organizations, or CDMOs.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 In the event that raw materials required in our manufacturing process need to be derived from biologic sources, they may be difficult to procure and may be subject to contamination or recall.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Problems with the manufacturing process, even minor deviations from the normal process, could result in product defects, out-of-specification analytical results or manufacturing failures that result in lot failures, product recalls, product liability claims, insufficient inventory or potentially delay progression of our preclinical or clinical development of any product candidates we may develop. If we successfully develop product candidates, we may encounter problems achieving adequate quantities and quality that meet FDA, European Medicines Agency, or EMA, or other comparable applicable foreign standards or specifications with consistent and acceptable production yields and costs. The ability to scale our manufacturing and maintain the manufacturing process at the same levels of quality and efficiency that we are currently manufacturing is yet to be tested. If we or our third-party CDMO is unable to scale our manufacturing and meet the same levels of quality and efficiency, or provide sufficient manufacturing campaign slots to generate materials, we may not be able to supply the required number of doses for clinical trials or commercial supply. A material shortage, contamination event or manufacturing failure in the manufacture of any product candidate we may develop or other adverse impact or disruption in the commercial manufacturing or the production of clinical material could materially harm our development timelines and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face risks related to our reliance on our current and any future CDMOs. For example, we and our CDMO are subject to significant regulation with respect to manufacturing our products. The manufacturing facilities of the CDMO on which we rely may not continue to meet regulatory requirements, may have limited capacity or may experience interruptions in supply, any of which could adversely affect our development and commercialization plans for our product candidates. All entities involved in the preparation and storage of therapeutics for clinical trials or commercial sale, including any CDMOs of any product candidates we may develop, are subject to extensive regulation. Components of a finished therapeutic product approved for commercial sale or used in clinical trials must be manufactured in accordance with current Good Manufacturing Practices, or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in partnership with our CDMO, must supply all necessary documentation in support of an IND for clinical product, and later in support of a BLA for any potential commercial product, on a timely basis and must adhere to the FDA’s and EMA’s current Good Laboratory Practices and cGMP regulations enforced through the applicable regulatory authority’s facilities inspection program. Our facilities and quality systems and the facilities and quality systems of our CDMO must pass a pre-approval inspection, or PAI, to confirm validity of the information presented in the BLA and to confirm the capability of the facility to manufacture our product in compliance with the applicable regulations. The PAI is a condition of regulatory approval of any product candidates we may develop or any of our other potential products. If our or our CDMO’s quality systems or facilities involved with the preparation of our product candidates do not pass the PAI, FDA approval of such product candidates will not be granted.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regulatory authorities may, at any time, conduct a routine or for-cause inspection of a manufacturing facility involved with the preparation of our product candidates, which inspection is related to other products manufactured at the site or the associated quality systems, for compliance with the regulations applicable to the activities being conducted. The regulatory authorities also may,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any time following approval of a product for sale, inspect our facilities or the manufacturing facilities of our CDMOs. If any such inspection identifies a failure to comply with applicable regulations, or if a violation of our product specifications or applicable regulations occurs independent of such an inspection, we or the relevant regulatory authority may require remedial measures that may be costly and/or time-consuming for us or a third party to implement and that may include the temporary or permanent suspension of a clinical trial or commercial sales, the temporary or permanent closure of a facility, or other remedial measures that may delay or disrupt the manufacture or release of our product candidates or other potential products. Any such remedial measures imposed upon us or third parties with whom we contract could materially harm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or any CDMO with which we contract for manufacturing and supply fails to maintain regulatory compliance, the FDA can impose regulatory sanctions including, among other things, a clinical hold, refusal to approve a pending application for a new drug product or biologic product, revocation of a pre-existing approval, or an import alert. As a result, our business, financial condition and results of operations may be materially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Currently, we depend on WuXi Biologics (Hong Kong) Limited, or WuXi Biologics, for developing the manufacturing processes required to supply our product candidates. We cannot ensure that this manufacturer will remain in business or have sufficient capacity or supply to meet our needs. Our use of a single manufacturer exposes us to several risks, including price increases or manufacturing delays beyond our control. WuXi Biologics is based in and has significant operations in China, where our product candidates are manufactured, which subjects us to additional risks including those related to U.S. export control laws, potential sanctions or other trade restrictions imposed by the U.S. government. Moreover, reliance on third-party manufacturers generally entails risks to which we would not be subject if we manufactured the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negotiate manufacturing agreements with third parties under commercially reasonable terms or at all, particularly if they are affiliated with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control as a result of using third-party manufacturers for all aspects of manufacturing activities, particularly if they are under contract with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to the operations of our third-party manufacturers or suppliers caused by conditions unrelated to our business or operations, including geopolitical tensions or restrictions, such as export controls or sanctions, or the bankruptcy of the manufacturer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import or obtain components or materials from alternate sources at acceptable prices or with acceptable quality in a timely manner;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delays or difficulties related to the establishment of replacement manufacturers who meet regulatory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future products. Some of these events could be the basis for FDA action, including injunction, recall, seizure, import alert, or total or partial suspension of production.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if supply from one approved manufacturer is interrupted, such as could be the case with our current CDMO, WuXi Biologics, there could be a significant disruption in supply. While we believe there are alternate manufacturers who can provide the manufacturing processes required to develop and manufacture our product candidates, if we have to switch to a replacement manufacturer, the manufacture and delivery of our product candidates could be interrupted for an extended period, which could adversely affect our business. Furthermore, an alternative manufacturer must be able to demonstrate successful technology transfer of the manufacturing process and associated assays, and, to do so, may need to modify the manufacturing process required to develop our product candidates, and the alternative manufacturer would need to be qualified through additional regulatory filings, all of which could result in further delay and significant costs. The regulatory agencies may also require additional studies or trials if a new manufacturer is relied upon for clinical or commercial production. Switching manufacturers may involve substantial costs and is likely to result in a delay in our desired clinical and commercial timelines.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factors could cause the delay of clinical trials, regulatory submissions, required approvals or commercialization of our product candidates, cause us to incur higher costs and prevent us from commercializing our products successfully. Furthermore, if our suppliers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 to meet contractual requirements, and we are unable to secure one or more replacement suppliers capable of production at a substantially equivalent cost, our clinical trials may be delayed, or we could lose potential revenue or market share with respect to any product that has received marketing approval.</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Certain of our research and development and manufacturing activities take place in China through WuXi Biologics. A significant disruption in our ability to rely on WuXi Biologics could materially adversely affect our business, financial condition and results of operations.</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relied on WuXi Biologics in China to manufacture and supply certain raw materials used in our product candidates, and we expect to continue to use WuXi Biologics as our CDMO for such purposes. A natural disaster, epidemic or pandemic, such as the COVID</w:t>
        <w:noBreakHyphen/>
        <w:t>19 pandemic, trade war, political unrest, economic conditions, changes in legislation, including the passage of the People’s Republic of China Biosecurity law, which became effective on April 15, 2021, and subsequent legislation that China or the U.S. may adopt in the future, or other events in China could disrupt our ability to continue to rely upon CROs, CDMOs, collaborators, manufacturers or other third parties with whom we conduct business now or in the future. For example, in December 2025, the BIOSECURE Act was signed into law as part of the Fiscal Year 2026 National Defense Authorization Act. Under the BIOSECURE Act, U.S. government agencies cannot (i) buy or obtain biotechnology equipment or services provided by biotechnology companies of concern, or BCCs; (ii) enter into, extend, or renew a contract with any entity using biotechnology equipment or services provided by a BCC to perform a government contract; or (iii) expend loan or grant funds for biotechnology equipment or services provided by a BCC, whether directly or through a loan or grant recipient. The BIOSECURE Act does not name specific companies as BCCs but treats any company on the Department of Defense/War 1260H list of “Chinese military companies” as a BCC. The 1260H list was updated by the Department of Defense in January 2024 and January 2025. Subsequently, on June 8, 2026, the Department of Defense/War released an updated version of the 1260H list, which included WuXi AppTec, along with two other biotechnology companies (Complete Genomics and Novogene). WuXi AppTec has challenged its designation as a Chinese military company and litigation remains ongoing. Since WuXi AppTec was just added to the list, it will be covered under a five-year grandfather clause that allows any contracts signed before the effective date of the ban to be protected through 2031. Moreover, while WuXi Biologics was originally the biologics division of WuXi AppTec, they are now operationally independent companies. As a result, we do not expect the recent 1260H listing of WuXi AppTec to impact WuXi Biologics and the services it currently provides to us. Nonetheless, the U.S. government has authority to add additional entities of concern to the 1260H list, and there is a risk that such a future listing could include WuXi Biologics.</w:t>
      </w:r>
    </w:p>
    <w:p>
      <w:pPr>
        <w:pStyle w:val="TextBody"/>
        <w:bidi w:val="0"/>
        <w:jc w:val="both"/>
        <w:rPr>
          <w:rFonts w:ascii="Times New Roman" w:hAnsi="Times New Roman"/>
          <w:color w:val="000000"/>
          <w:sz w:val="20"/>
        </w:rPr>
      </w:pPr>
      <w:r>
        <w:rPr>
          <w:rFonts w:ascii="Times New Roman" w:hAnsi="Times New Roman"/>
          <w:color w:val="000000"/>
          <w:sz w:val="20"/>
        </w:rPr>
        <w:t>Separately from our reliance on WuXi Biologics for manufacturing, we engage WuXi AppTec to perform a significant portion of the nonclinical and IND-enabling studies for our product candidates. However, because we do not use WuXi AppTec’s services in the performance of any U.S. government contract, and do not rely on U.S. government grant or loan funds for such services, we do not expect the listing of WuXi AppTec to have a material impact on our operations, and we believe we could transition these services to alternative providers in a timely manner, if necessary. Nonetheless, if we were to seek or rely on U.S. government contracts, grants, or loans in the future, or if the U.S. government were to expand the restrictions applicable to entities on the 1260H list (including through WuXi AppTec’s potential designation under other U.S. restricted party regimes) and we were unable to transition these services on a timely and cost-effective basis, such developments could adversely affect our business.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Any disruption in China or the U.S</w:t>
      </w:r>
      <w:r>
        <w:rPr>
          <w:rFonts w:ascii="Times New Roman" w:hAnsi="Times New Roman"/>
          <w:i/>
          <w:color w:val="000000"/>
          <w:sz w:val="20"/>
        </w:rPr>
        <w:t>.</w:t>
      </w:r>
      <w:r>
        <w:rPr>
          <w:rFonts w:ascii="Times New Roman" w:hAnsi="Times New Roman"/>
          <w:color w:val="000000"/>
          <w:sz w:val="20"/>
        </w:rPr>
        <w:t xml:space="preserve"> that significantly impacts WuXi Biologics, WuXi AppTec or other third parties with whom we conduct business now or in the future, including CROs that provide services for our research and development programs, or manufacturers that produce and export raw or manufactured materials in adequate quantities to meet our needs, could impair our ability to operate our business on a day-to-day basis and impede, delay, limit or prevent the research, development or commercialization of our current and future products or product candidates. In addition, for any activities conducted in China, we are exposed to the possibility of product supply disruption and increased costs in the event of changes in the policies of the U.S. or Chinese governments, political unrest or unstable economic or geopolitical conditions, including sanctions in China or against certain Chinese companies; changes in U.S. export laws or the imposition by the U.S</w:t>
      </w:r>
      <w:r>
        <w:rPr>
          <w:rFonts w:ascii="Times New Roman" w:hAnsi="Times New Roman"/>
          <w:i/>
          <w:color w:val="000000"/>
          <w:sz w:val="20"/>
        </w:rPr>
        <w:t>.</w:t>
      </w:r>
      <w:r>
        <w:rPr>
          <w:rFonts w:ascii="Times New Roman" w:hAnsi="Times New Roman"/>
          <w:color w:val="000000"/>
          <w:sz w:val="20"/>
        </w:rPr>
        <w:t xml:space="preserve"> of trade barriers; sanctions; limitations on uses of U.S. government executive agency contract, grant or loan funds; or other restrictions on doing business with certain Chinese companies, including WuXi Biologics, which could have a material adverse effect on our business. Additionally,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and/or the availability of skilled labor declines in China.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or any CDMOs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biological or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Risks Related to our Dependence on Third Parties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rely on third parties to conduct, supervise and monitor IND-enabling studies and clinical trials, and to perform other functions for us, and if these third parties perform in an unsatisfactory manner, it may harm our business, reputation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rely, and expect to continue to rely, on third parties, including but not limited to, CROs and research and clinical trial sites to ensure our IND-enabling studies and clinical trials are conducted properly and on time, and we expect to rely in the future on third-party vendors for additional research programs as well as other functions. While we will have agreements governing their activities, we will have limited influence over their actual performance. We will control only certain aspects of our third-party vendors’ activities. Nevertheless, we will be responsible for ensuring that each of these studies is conducted in accordance with the applicable protocol, legal, regulatory and scientific standards, and our reliance on the third-party vendors does not relieve us of our regulatory responsibilities.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our CROs will be required to comply with the FDA’s Good Clinical Practices, or GCPs, for conducting, recording and reporting the results of IND-enabling studies and clinical trials to assure that the data and reported results are credible and accurate and that the rights, integrity and confidentiality of clinical trial participants are protected. The FDA enforces these GCPs through periodic inspections of study sponsors, principal investigators and clinical trial sites. If we or our CROs fail to comply with applicable GCPs, the preclinical and clinical data generated in our studies may be deemed unreliable and the FDA may require us to perform additional studies before approving any marketing applications. Upon inspection, the FDA may determine that our studies did not comply with GCPs.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CROs and other third-party vendors are not our employees, and we are therefore unable to directly monitor whether or not they devote sufficient time and resources to our clinical and nonclinical programs or other functions. These third-party vendors may also have relationships with other commercial entities, including our competitors, for whom they may also be conducting clinical trials or other drug development activities that could harm our competitive position. If our third-party vendors do not successfully carry out their contractual duties or obligations, fail to meet expected deadlines, or if the quality or accuracy of the data they obtain is compromised due to the failure to adhere to our protocols or regulatory requirements, or for any other reasons, our studies may be extended, delayed or terminated, and we may not be able to obtain regulatory approval for, or successfully commercialize any product candidates we may develop. As a result, our financial results and commercial prospects would be harmed, our costs could increase, and our ability to generate revenues could be delayed.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entered into, and may in the future seek to enter into, licenses, collaborations or similar arrangements with third parties for the research, development and commercialization of certain of our current or future product candidates. If any such arrangements are not successful, we may not be able to capitalize on the market potential of those product candidates.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2024, our wholly-owned subsidiary, Xilio Development, Inc., or Xilio Development, entered into a license agreement with Gilead, pursuant to which Gilead was granted an exclusive global license to develop and commercialize efarindodekin alfa, our masked IL-12, and other specified molecules directed toward IL-12. In February 2025, Xilio Development entered into a collaboration, license and option agreement with AbbVie, pursuant to which AbbVie was granted (i) an exclusive option for (a) an initial program to discover, develop and commercialize masked T cell engager molecules for an agreed upon initial target and backup target and (b) subject to the terms of the agreement, up to two additional programs to discover, develop, and commercialize masked T cell engager molecules for an initial target and backup target determined at the time of program initiation and (ii) an exclusive license to develop and commercialize a masked antibody-based immunotherapy. We may in the future seek third-party collaborators or licensors for the research, development and commercialization of other current or future product candidates. With respect to our agreements with Gilead and AbbVie, and what we expect will be the case with any future collaboration agreements we enter into, we have and would likely have limited control over whether such collaborators pursue the development of our product candidates or the amount and timing of resources that our collaborators dedicate to the development or commercialization of our product candidates that we seek to develop with them. For example, under the license agreement with Gilead, if Gilead exercises its right to transition responsibilities for the development and commercialization of efarindodekin alfa and the rest of our IL-12 program, it will have sole decision-making authority with respect to the continued development and future commercialization of our IL-12 program and may elect to prioritize other assets that it believes are more competitive, or it may exercise its right to terminate the license and return the licensed IL-12 program assets to us. Similarly, subject to limited exceptions, AbbVie has sole decision-making authority with respect to the development and commercialization of the masked antibody-based immunotherapy program. With respect to any T cell engager program for which AbbVie exercises its option, AbbVie will have sole decision-making authority with respect to the continued development and future commercialization of such option program and may elect to prioritize other assets that it believes are more competitive, or it may exercise its right to terminate the license and return the licensed T cell engager program assets to us. As a result, there can be no assurances that any of the programs covered by our existing or future collaborations or licenses will be developed further or reach commercialization. Further, our ability to generate revenues from these existing and future arrangements will depend on our collaborators’ abilities to successfully perform the functions assigned to them in these arrangements. We cannot predict the success of any collaboration that we enter into.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Collaborations, licenses or similar arrangements involving our research programs or any product candidates currently pose, and will continue to pose, numerous risks to us,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or licensors have significant discretion in determining the efforts and resources that they will apply to these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or licensors may not pursue development and commercialization of our product candidates or may elect not to continue or renew development or commercialization programs based on clinical trial results, changes in such third party’s strategic focus or available funding or external factors such as an acquisition that diverts resources or creates competing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or licensors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or licensors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or licenses may be acquired by a third party having competitive products or different priorities;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or licensors with marketing and distribution rights to one or more product candidates may not commit sufficient resources to the marketing and distribution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collaborators or licensors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may arise between the collaborators or licensors and us that result in the delay or termination of the research, development, or commercialization of our product candidates or any of our product candidates or that result in costly litigation or arbitration that diverts management attention and resources or that jeopardize or invalidate our intellectual property or proprietary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lose certain valuable rights under certain circumstances, including if we undergo a change of control;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or licenses may be terminated and, if terminated, may result in a need for additional capital to pursue further development or commercialization of the applicable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collaborations or license agreements may not lead to development or commercialization of product candidates in the most efficient manner or at all. If a present or future collaborator or licensor of ours were to be involved in a business combination, the continued pursuit and emphasis on our product development or commercialization program under such collaboration could be delayed, diminished or terminated.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current or future collaborations, licenses or similar transactions do not result in the successful development and commercialization of product candidates, including if one of our current or future collaborators or licensors terminates its agreement with us, we may not receive any future payments for which we might otherwise be eligible under such agreement or we may incur significant costs in re-establishing the development and manufacturing of such product candidates. If we do not receive the funding we expect under these agreements, our development of product candidates could be delayed, and we may need additional resources to develop such product candidates. In addition, if one of our collaborators terminates its agreement with us, we may find it more difficult to find a suitable replacement collaborator or licensor or for us to attract new collaborators or licensors, and our development programs may be delayed or the perception of us in the business and financial communities could be adversely affected. All of the risks relating to product development, regulatory approval and commercialization described in this “Risk Factors” section apply to the activities of our collaborators or licensors.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or license agreement with future partners will depend, among other things, upon our assessment of the resources and expertise of such third-party collaborator or licensor and the terms and conditions of the proposed collaboration or license. Further, if we license rights for use in any product candidates we or our collaborators may develop, we may not be able to realize the benefit of such transactions if we are unable to successfully integrate them with our existing operations and company culture.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not able to establish collaborations on commercially reasonable terms, we may have to alter our development and commercialization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product development and research programs and the potential commercialization of any product candidates we may develop will require substantial additional cash to fund expenses. For some of the product candidates we may develop, we have decided and may in the future decide to collaborate with other pharmaceutical and biotechnology companies for the development and potential commercialization of those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face significant competition in seeking appropriate collaborators. Whether we reach a definitive agreement for a collaboration will depend, among other things, upon our assessment of the collaborator’s resources and expertise, the terms and conditions of the proposed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be able to negotiate future collaborations on a timely basis, on acceptable terms, or at all. If we are unable to do so, we may have to curtail the development of the product candidates for which we are seeking to collaborate, reduce or delay its development program or one or more of our other development programs, delay their potential commercialization, reduce the scope of any sales or marketing activities, or increase our own expenditures on the development of the applicable product candidate.</w:t>
      </w:r>
    </w:p>
    <w:p>
      <w:pPr>
        <w:pStyle w:val="Heading2"/>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Risks Related to Commercialization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never commercialized a product candidate and we may lack the necessary expertise, personnel and resources to successfully commercialize any products that receive regulatory approval, either on our own or together with collaborators.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never commercialized a product candidate. We currently have no sales force or marketing or distribution capabilities. To achieve commercial success of our product candidates, if any are approved, we will have to develop our own sales, marketing and supply capabilities or outsource these activities to one or more third parties. Factors that may affect our ability to commercialize our product candidates on our own include our ability to recruit and retain adequate numbers of effective sales and marketing personnel and obtain access to or persuade adequate numbers of physicians to prescribe our product candidates, as well as any unforeseen costs we may incur in connection with creating an independent sales and marketing organization. Developing a sales and marketing organization requires significant investment and substantial amount of time and attention from our management and may divert a disproportionate amount of their attention away from day-to-day activities, which could delay the launch of our product candidates. We may not be able to build an effective sales and marketing organization in the U.S., the EU or other key global markets. To the extent we need to rely upon one or more third parties, we may have little or no control over the marketing and sales efforts of those third parties and our revenue from product sales may be lower than if we had commercialized our product candidates ourselves. We will also face competition in any search for third parties to assist us with sales and marketing efforts for our product candidates. If we are unable to build our own distribution and marketing capabilities or to find suitable partners for the commercialization of our product candidates, we may have difficulties generating revenue from them.</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face substantial competition, which may result in others discovering, developing or commercializing products before or more successfully than we do.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development and commercialization of new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pharmaceutical and biotechnology companies of various sizes. Some of these competitive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developing our clinical-stage product candidates for the treatment of cancer and have not completed clinical development or received marketing approval for any of our product candidates. There are already a variety of available therapies marketed for cancer and some of the currently approved therapies are branded and subject to patent protection, and others are available on a generic basis. Many of these approved therapies are well-established and widely accepted by physicians, patients and third-party payors. Insurers and other third-party payors may also encourage the use of generic products. We expect that if our product candidates are approved, they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with advances in the commercial applicability of technologies and greater availability of capital for investment in these industries.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XTX501, currently there are no bispecific PD-1 targeted IL-2 therapies approved for the treatment of cancer. However, we are aware of several companies that have bispecific PD-1 targeted IL-2 programs in development, including but not limited to Anwita Biosciences, Inc., Bright Peak Therapeutics, Inc., Innovent Biologics, Inc. (co-development with Takeda Pharmaceutical Company Limited), Medicenna Therapeutics Corp., Regeneron Pharmaceuticals, Inc., Roche and Teva Pharmaceutical Industries, Ltd.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our masked T cell engager programs, currently there are no T cell engager therapies targeting PSMA, CLDN18.2 or STEAP1 approved for the treatment of cancer. However, we are aware of other companies that have masked T cell engager programs in development for PSMA, including but not limited to Janux Therapeutics, Inc. and Vir Biotechnology, Inc., and at least one other company, Werewolf Therapeutics, Inc., that has a masked T cell engager program in development for STEAP1. To our knowledge, there are no companies currently developing a masked T cell engager program targeting both PSMA and STEAP1 or a masked T cell engager program for CLDN18.2. However, we are aware of several companies developing non-masked T cell engager programs for CLDN18.2, including but not limited to AstraZeneca PLC, Lunan Pharmaceutical Group Co. Ltd., Qilu Pharmaceutical Co. and Xencor, Inc. (licensed to Astellas Pharma Inc.), for PSMA, including but not limited to GSK plc, Regeneron Pharmaceuticals, Inc. and Xencor, Inc. (licensed to Johnson &amp; Johnson), and for STEAP1, including but not limited to Xencor, Inc. (licensed to Amgen Inc.) and Shanghai Henlius Biotech, Inc.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efarindodekin alfa, currently there are no IL-12 therapies approved for the treatment of cancer. However, we are aware of several companies that have systemically delivered IL-12 programs in development, including but not limited to PDS Biotechnology Corporation, Philogen S.p.A., Shanghai KangaBio Co., Ltd. and Werewolf Therapeutics,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competitors may succeed in developing, acquiring or licensing, on an exclusive basis, products that are safer, more effective, have fewer or less severe side effects, are more convenient or are less expensive than any products that we may develop. We also compete with these organizations in establishing clinical trial sites and patient registration for clinical trials, as well as in recruiting and retaining qualified scientific and management personnel, which could negatively affect our level of expertise and our ability to execute our business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competitors, either alone or with their collaborators, have significantly greater financial resources and expertise in research and development, manufacturing, preclinical and clinical testing, obtaining regulatory approvals and reimbursement and marketing approved products than we do. Established pharmaceutical companies may invest heavily to accelerate discovery and development of novel product candidates or to in-license novel product candidates that could make our product candidates less competitive or obsolete. Smaller or early-stage companies may also prove to be significant competitors, including through collaborative arrangements with large and established companies. In addition, any new product that competes with an approved product must demonstrate compelling advantages in efficacy, convenience, tolerability and safety in order to overcome price competition and to be commercially successful. The availability of competing products could limit the demand and the price we are able to charge for product candidates we commercialize, if any. The inability to compete with existing or subsequently introduced products would harm our business, financial condition and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do not achieve our projected development and commercialization goals in the timeframes we announce and expect, the commercialization of any of our product candidates may be delayed, and our business could be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release of clinical trial data, the completion of an ongoing clinical trial, the initiation of other clinical trials, receipt of regulatory approval or the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available capital resources or capital constraints we experience;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of progress, costs and results of our clinical trials and research and development activities, including the extent of scheduling conflicts with participating clinicians and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and enroll patients who meet clinical trial eligibility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receipt of approvals by the FDA, EMA and comparable regulatory authorities in other jurisdictions, and the timing thereof;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actions, decisions or rules issued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access sufficient, reliable and affordable supplies of materials used in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and supply clinical trial materials to our clinical trial sites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efforts of our collaborators with respect to the development of our product candidates or the potential commercialization of any of our product candidates, if approved;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securing of, costs related to, and timing issues associated with, commercial product manufacturing as well as sales and marketing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fail to achieve announced milestones in the timeframes we expect, the commercialization of any of our product candidates may be delayed, and our business, results of operations, financial condition and prospects may be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If approved, our product candidates that are licensed and regulated as biological products, or biologics, may face competition from biosimilars approved through an abbreviated regulatory pathway.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or BPCIA, was enacted as part of the Patient Protection and Affordable Care Act, as amended by the Health Care and Education Reconciliation Act of 2010, or collectively the ACA,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w:t>
        <w:noBreakHyphen/>
        <w:t xml:space="preserve">year period of exclusivity, another company may still develop and receive licensure of a competing biologic, so long as their BLA does not rely on the reference product or sponsor’s data or submit the application as a biosimilar application.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any of the product candidates we develop that is licensed in the U.S. as a biological product under a BLA should qualify for the 12</w:t>
        <w:noBreakHyphen/>
        <w:t>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product candidates could have a material adverse impact on our business due to increased competition and pricing pressure.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competitors are able to obtain regulatory approval for biosimilars referencing our product candidates, our product candidates may become subject to competition from such biosimilars, with the attendant competitive pressure and consequences.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sizes of the potential markets for our product candidates are difficult to estimate and, if any of our assumptions are inaccurate, the actual markets for our product candidates may be smaller than our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potential market opportunities for our product candidates are difficult to estimate and, if our product candidates are approved, will ultimately depend on, among other things, the indications for which our product candidates are approved for sale, any products with which our product candidates are co-administered, the success of competing therapies and therapeutic approaches, acceptance by the medical community, patient access, product pricing, reimbursement and our ability to create meaningful value propositions for patients, prescribers and payors. Our estimates of the potential market opportunities for our product candidates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 to be inaccurate, the actual markets for our product candidates could be smaller than our estimates of the potential market opportunities.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The successful commercialization of our product candidates will depend in part on the extent to which we obtain and maintain favorable insurance coverage, adequate reimbursement levels and cost-effective pricing policies with third-party payors.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availability and adequacy of coverage and reimbursement by third-party payors, including governmental healthcare programs such as Medicare and Medicaid, managed care organizations, and private health insurers, are essential for most patients to be able to afford prescription medications such as our product candidates, if approved. Our ability to achieve acceptable levels of coverage and reimbursement for products by third-party payors will have an effect on our ability to successfully commercialize our product candidates. We cannot be sure that coverage and reimbursement in the U.S., the EU or elsewhere will be available for our product candidates, if approved, or any product that we may develop, and any reimbursement that may become available may be decreased or eliminated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approved. Even if our product candidates are approved and we obtain coverage for our product candidates by a third-party payor, such products may not be considered cost-effective and/or the resulting reimbursement payment rates may be insufficient or may require co-payments that patients find unacceptably high. Interim reimbursement levels for new medicines, if applicable, may also not be sufficient to cover our costs and may not be made permanent.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U.S. If reimbursement is not available or is available only at limited levels, we may not be able to successfully commercialize our product candidates, if approved, and may not be able to obtain a satisfactory financial return on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The regulations that govern marketing approvals, pricing and reimbursement for new medicines vary widely from country to country. In the U.S., third-party payors play an important role in determining the extent to which new drugs and biologics will be covered. The Medicare and Medicaid programs increasingly are used as models in the U.S. for how third-party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if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uniform policy for coverage and reimbursement for products exists among third-party payors in the U.S. and coverage and reimbursement for products can therefore differ significantly from payor to payor and coverage and reimbursement by one payor does not guarantee coverage and reimbursement by another payor. As a result, the coverage determination process is often a time-consuming and costly process that will require us to provide scientific and clinical support for the use of our product candidates to each payor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separately, with no assurance that coverage and adequate reimbursement will be applied consistently or obtained in the first instance. Our ability to demonstrate to these third-party payors that any of our approved product candidates creates a meaningful value proposition for patients, prescribers and payors will be important to gaining market access and reimbursement and there is no guarantee that we will be successful in doing so. Furthermore, rules and regulations regarding reimbursement change frequently, in some cases on short notice, and we believe that changes in these rules and regulations are likely.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Even if a product candidate we develop receives marketing approval, it may fail to achieve the degree of market acceptance by physicians, patients, hospitals, cancer treatment centers, third-party payors and others in the medical community necessary for commercial success.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any product candidate we develop receives marketing approval, whether as a single agent or in combination with other therapies, it may nonetheless fail to gain sufficient market acceptance by physicians, patients, hospitals, cancer treatment centers, third-party payors, and others in the medical community. For example, cancer treatments like chemotherapy, radiation therapy and certain existing immunotherapies are well established in the medical community, and doctors may continue to rely on these therapies. If the product candidates we develop do not achieve an adequate level of acceptance, we may not generate significant product revenues and we may not become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market acceptance of any product, if approved for commercial sale,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product’s efficacy, safety and potential advantages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product’s convenience and ease of administration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indications for which the product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a novel treatment and of physicians to prescribe such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recommendations with respect to the product in guidelines published by scientific organizations;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sufficient third-party insurance coverage and adequate reimbursement, including, if applicable, with respect to the use of the product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marketing, sales and distribution support;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effectiveness of our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approval of other new products for the same indications;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offer the product for sale at competitive prices.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obtain marketing approval for a product but such product does not achieve an adequate level of market acceptance, we may not generate or derive significant revenue from that product and our business, financial condition and results of operations may be adversely affected.</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 xml:space="preserve">Risks Related to Our Intellectual Property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any product candidates we develop or for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U.S. and other countries with respect to our product candidates, their respective components, formulations, combination therapies, methods used to manufacture them and methods of treatment and development that are important to our business.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U.S. and abroad related to our product candidates that are important to our business; we also license and may in the future license or purchase additional patents and patent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applications filed by others. If we are unable to secure or maintain patent protection with respect to our product candidates and any proprietary products and technology we develop, our business, financial condition, results of operations and prospects could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Specifically,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a third party may develop a competitive therapy that provides benefits similar to one or more of our product candidates but that uses a different masking moiety that falls outside the scope of our patent protection. If the patent protection provided by the patents and patent applications we hold or have licensed with respect to our product candidates is not sufficiently broad to impede such competition, our ability to successfully commercialize our product candidates could be negatively affected, which would harm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degree of patent protection we require to successfully compete in the marketplace may be unavailable or severely limited in some cases and may not adequately protect our rights or permit us to gain or keep any competitive advantage. The U.S. Patent and Trademark Office, or the USPTO, and various foreign governmental patent agencies require compliance with a number of procedural, documentary, fee payment and other provisions during the patent process. Our or our licensor’s failure to comply with all such provisions during the patent process could result in abandonment or lapse of a patent or patent application that we own or license, resulting in partial or complete loss of patent rights in the relevant jurisdiction. In such an event, competitors might be able to enter the market and compete with us earlier than would otherwise have been the case. Moreover, the laws of foreign countries may not protect our rights to the same extent as the laws of the U.S. In addition, to the extent that we license intellectual property in the future, we cannot guarantee that those licenses will remain in force.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positions of life sciences companies can be uncertain and involve complex factual and legal questions and have in recent years been the subject of much litigation. No consistent policy governing the scope of claims allowable in the field of engineered therapeutic proteins has emerged in the U.S. The scope of patent protection in jurisdictions outside of the U.S. is also uncertain.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patents and any that we may license. Under the Leahy-Smith America Invents Act enacted in 2011, or the AIA, the U.S. moved to a first-to-file system in early 2013 (whereby, assuming the other requirements for patentability are met, the first to file a patent application is entitled to the patent), from the previous system under which the first to make a claimed invention was entitled to the patent. Publications of discoveries in the scientific and academic literature often lag behind the actual discoveries, and patent applications in the U.S. and other jurisdictions are typically not published until 18 months after filing, or in some cases not at all. Therefore, we cannot be certain that we were the first to file for patent protection on the inventions claimed in our patents or pending patent applications. 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external academic scientific collaborators, CROs, CDMOs, consultants, advisors and other third parties, any of these parties may breach the agreements and disclose our confidential or proprietary information before a patent application is filed, thereby endangering our ability to seek patent protection.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issuance, scope, validity, enforceability, and commercial value of our patent rights are highly uncertain. Pending patent applications cannot be enforced against third parties unless, and until, patents issue from such applications, and then only to the extent the issued claims cover the technology. There can be no assurance that our patent applications or any patent applications that we may license in the future will result in patents being issued. Further, the scope of the invention claimed in a patent application can be significantly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reduced before the patent is issued, and this scope can be reinterpreted after issuance. Even if patent applications we currently own or that we may license in the future issue as patents, they may not issue in a form that will provide us with adequate protection to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our patent rights by developing new products that are similar to our product candidates, biosimilars of our product candidates, or alternative technologies or products in a non-infringing manner.</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issuance or grant of a patent is not irrefutable as to its inventorship, scope, validity or enforceability, and our patents may be challenged in the courts or patent offices in the U.S.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pre- or post-issuance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or interference proceeding and other similar proceedings challenging our patent rights or the patent rights of others in the USPTO or other foreign patent office. An unfavorable determination in any such submission, proceeding or litigation could reduce the scope of, or invalidate, our patent rights, allow third parties to commercialize our technology or products and compete directly with us, without payment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patents have a limited lifespan. In the U.S.,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third parties may have certain ownership interest in some of our owned and in-licensed patents and patent applications.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our patent applications have been granted or may be granted or allowed in the future. We cannot be certain that an allowed patent application will become an issued patent. There may be events that can cause the allowance of a patent application to be withdrawn. For example, after a patent application has been allowed, but prior to being issued, material that could be relevant to patentability may be identified. In such circumstances, the sponsor may pull the application from allowance in order for the USPTO to review the application in view of the new material. We cannot be certain that the USPTO will re-allow the application in view of the new material. Further, 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Recently, the USPTO implemented new fee rules including Continuing Application Fee, which would increase our cost for obtaining and maintaining patent protection in the U.S. and potentially limit our ability of seeking additional patents in our existing patent families especially those early filed platform families that have been pending for close to or more than six years. We rely on our outside counsel and other professionals or our licensing partners to pay these fees due to the USPTO and non-U.S. government patent agencies and to help us comply with other procedural, documentary and other similar requirements and we are also dependent on our licensors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Issued patents covering our product candidates or technology could be found invalid or unenforceable if challenged in court or the USPTO.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Despite the measures we take to obtain and maintain patent and other intellectual property rights with respect to our product candidates, our intellectual property rights could be challenged or invalidated. If we or one of our licensors initiate legal proceedings against a third party to enforce a patent covering one of our product candidates or our technology, the defendant could counterclaim that the patent covering our product candidate or technology,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w:t>
      </w:r>
      <w:r>
        <w:rPr>
          <w:rFonts w:ascii="Times New Roman" w:hAnsi="Times New Roman"/>
          <w:i/>
          <w:color w:val="000000"/>
          <w:sz w:val="20"/>
        </w:rPr>
        <w:t>inter partes</w:t>
      </w:r>
      <w:r>
        <w:rPr>
          <w:rFonts w:ascii="Times New Roman" w:hAnsi="Times New Roman"/>
          <w:color w:val="000000"/>
          <w:sz w:val="20"/>
        </w:rPr>
        <w:t xml:space="preserve"> review, post-grant review and equivalent proceedings in foreign jurisdictions (such as opposition proceedings). Such proceedings could result in revocation or amendment to our patents in such a way that they no longer cover our product candidates or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or technology. Such a loss of patent protection could have a material adverse impact on our business and our ability to commercialize or license our technology and product candidates.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to patent law in the U.S. and in foreign jurisdictions could diminish the value of patents in general, thereby impairing our ability to protect our products.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biopharmaceutical industry involve both technological and legal complexity, and is therefore costly, time-consuming and inherently uncertain. In addition, the U.S. continues to adapt to wide-ranging patent reform legislation that became effective starting in 2012. Moreover, recent U.S. Supreme Court rulings have narrowed the scope of patent protection available in certain circumstances and weakened the rights of patent owners in certain situations. In addition to increasing uncertainty regarding our ability to obtain patents in the future, this combination of events has created uncertainty with respect to the value of patents, once obtained. Depending on new legislation and decisions by the federal courts, and the USPTO, the laws and regulations governing patents could change in unpredictable ways that would weaken our ability to obtain new patents or to enforce our existing patents and patents that we might obtain in the future. For example, the U.S. Supreme Court, in the case </w:t>
      </w:r>
      <w:r>
        <w:rPr>
          <w:rFonts w:ascii="Times New Roman" w:hAnsi="Times New Roman"/>
          <w:i/>
          <w:color w:val="000000"/>
          <w:sz w:val="20"/>
        </w:rPr>
        <w:t>Amgen v. Sanofi</w:t>
      </w:r>
      <w:r>
        <w:rPr>
          <w:rFonts w:ascii="Times New Roman" w:hAnsi="Times New Roman"/>
          <w:color w:val="000000"/>
          <w:sz w:val="20"/>
        </w:rPr>
        <w:t xml:space="preserve">, held that broad functional antibody claims are invalid for lack of enablement. In addition, in </w:t>
      </w:r>
      <w:r>
        <w:rPr>
          <w:rFonts w:ascii="Times New Roman" w:hAnsi="Times New Roman"/>
          <w:i/>
          <w:color w:val="000000"/>
          <w:sz w:val="20"/>
        </w:rPr>
        <w:t>Juno v. Kite</w:t>
      </w:r>
      <w:r>
        <w:rPr>
          <w:rFonts w:ascii="Times New Roman" w:hAnsi="Times New Roman"/>
          <w:color w:val="000000"/>
          <w:sz w:val="20"/>
        </w:rPr>
        <w:t xml:space="preserve">, the U.S. Court of Appeals for the Federal Circuit held claims reciting broad antibody genus based on function invalid for lack of written description. In 2023 and 2024, respectively, the Federal Circuit issued precedential decisions in </w:t>
      </w:r>
      <w:r>
        <w:rPr>
          <w:rFonts w:ascii="Times New Roman" w:hAnsi="Times New Roman"/>
          <w:i/>
          <w:color w:val="000000"/>
          <w:sz w:val="20"/>
        </w:rPr>
        <w:t>In re Cellect</w:t>
      </w:r>
      <w:r>
        <w:rPr>
          <w:rFonts w:ascii="Times New Roman" w:hAnsi="Times New Roman"/>
          <w:color w:val="000000"/>
          <w:sz w:val="20"/>
        </w:rPr>
        <w:t xml:space="preserve"> and </w:t>
      </w:r>
      <w:r>
        <w:rPr>
          <w:rFonts w:ascii="Times New Roman" w:hAnsi="Times New Roman"/>
          <w:i/>
          <w:color w:val="000000"/>
          <w:sz w:val="20"/>
        </w:rPr>
        <w:t>Allergan v. MSN</w:t>
      </w:r>
      <w:r>
        <w:rPr>
          <w:rFonts w:ascii="Times New Roman" w:hAnsi="Times New Roman"/>
          <w:color w:val="000000"/>
          <w:sz w:val="20"/>
        </w:rPr>
        <w:t xml:space="preserve"> that could shorten or eliminate an extended patent term awarded under patent term adjustment in certain patent family members if challenged on the basis of obviousness-type double patenting. Recently, the Federal Circuit in </w:t>
      </w:r>
      <w:r>
        <w:rPr>
          <w:rFonts w:ascii="Times New Roman" w:hAnsi="Times New Roman"/>
          <w:i/>
          <w:color w:val="000000"/>
          <w:sz w:val="20"/>
        </w:rPr>
        <w:t xml:space="preserve">Teva Pharmaceuticals v. Eli Lilly </w:t>
      </w:r>
      <w:r>
        <w:rPr>
          <w:rFonts w:ascii="Times New Roman" w:hAnsi="Times New Roman"/>
          <w:color w:val="000000"/>
          <w:sz w:val="20"/>
        </w:rPr>
        <w:t xml:space="preserve">held that method-of-treatment claims reciting a genus of antibodies for a new therapeutic use satisfied the written description and enablement requirements if the claimed antibody genus was well-known in the art. Additionally, the U.S. Supreme Court in </w:t>
      </w:r>
      <w:r>
        <w:rPr>
          <w:rFonts w:ascii="Times New Roman" w:hAnsi="Times New Roman"/>
          <w:i/>
          <w:color w:val="000000"/>
          <w:sz w:val="20"/>
        </w:rPr>
        <w:t xml:space="preserve">Hikma Pharmaceuticals USA, Inc. v. Amarin Pharma, Inc. </w:t>
      </w:r>
      <w:r>
        <w:rPr>
          <w:rFonts w:ascii="Times New Roman" w:hAnsi="Times New Roman"/>
          <w:color w:val="000000"/>
          <w:sz w:val="20"/>
        </w:rPr>
        <w:t>held that induced infringement of pharmaceutical method-of-use patents generally requires affirmative acts encouraging infringement, and that the mere marketing of a product with a “skinny label” is insufficient. While we do not believe that any of the patents owned or licensed by us will be found invalid based on these decisions,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limited foreign intellectual property rights and may not be able to protect our intellectual property rights throughout the world.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obtained allowed patents in the U.S. that we consider to be important for certain of our product candidates, however, we may have less robust intellectual property rights outside the U.S., and, in particular, we may not be able to pursue generic coverage of our product candidates outside of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Most of our patent portfolio is at the very early stage. We will need to decide whether and in which jurisdictions to pursue protection for the various inventions in our portfolio prior to applicable deadlines.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and financial condition may be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rely on in-license agreements for patent rights with respect to our product candidates and may in the future acquire or in-license additional third-party intellectual property rights on which we may similarly rely. We face risks with respect to such reliance, including the risk that we could lose these rights that are important to our business if we fail to comply with our obligations under these licenses or that we may be unable to acquire or in-license third-party intellectual property that may be necessary or important to our business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rely on third-party license agreements pursuant to which we have non-exclusive and exclusive rights to technology that is incorporated into our development programs and product candidates. For example, under our license agreement with City of Hope, we have exclusively in-licensed certain patent rights that cover our anti-CTLA-4 antibody. We also have a license agreement with WuXi Biologics pursuant to which we received an exclusive worldwide license to specified mAbs and patent rights and know-how controlled by WuXi Biologics, including certain patent rights related to our anti-CTLA-4 mAb program. These license agreements impose diligence, milestone payment, royalty payment and other obligations on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processes,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manufacturing processes,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while we cannot currently determine the amount of the royalty obligations we would be required to pay on sales of future products, if any, in the event we do in-license third-party intellectual property rights,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our agreement with City of Hope, we are responsible for the achievement of certain diligence milestones, and our failure to timely achieve such milestones could result in City of Hope’s termination of the agreement or conversion of our exclusive licenses under the licensed patents to non-exclusive licenses. If City of Hope terminates the agreement or converts our licenses to non-exclusive licenses as a result of our failure to meet these diligence milestones, then our ability to commercialize products comprising our anti-CTLA-4 antibody may be impaired or we may face increased competition in the commercialization of anti-CTLA-4 antibody products. Furthermore, our agreement with City of Hope is subject to, and we expect our future license agreements may also be subject to, a reservation of rights by one or more third parties, including the licensor.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may arise regarding intellectual property subject to our current or any future license agreements,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amount and timing of payments owed under the license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our licensor’s ability to defend intellectual property and to enforce intellectual property rights against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our technology, product candidates and processes infringe, misappropriate or otherwise violate any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 and other rights under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any partners of ours;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licensing arrangements on acceptable terms, we may be unable to successfully develop and commercialize the affected product candidates. We are generally also subject to all of the same risks described in this “Risk Factors” section with respect to protection of intellectual property that we license as we are for intellectual property that we own. If we or our licensors fail to adequately obtain or protect this intellectual property, our ability to commercialize products could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current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or similar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efforts to protect the proprietary nature of the intellectual property related to our technologies and product candidates are not adequate, we may not be able to compete effectively in our market.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Biotechnology and pharmaceutical companies generally, and we in particular, compete in a crowded competitive space characterized by rapidly evolving technologies and aggressive development of intellectual property.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upon a combination of patents, confidentiality agreements, trade secret protection and license agreements to protect the intellectual property related to our technologies and our product candidates. Any disclosure to or misappropriation by third parties of our confidential proprietary information could enable competitors to quickly duplicate or surpass our technological achievements and product candidates,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strength of patents in the biotechnology and pharmaceutical field involves complex legal and scientific questions and can be uncertain. We cannot be certain that the claims in any of our issued patents will be considered valid by courts in the U.S. or foreign countries. Third parties may challenge the validity, enforceability or scope thereof. No assurance can be given that if challenged, our patents would be declared by a court to be valid or enforceable or that even if found valid and enforceable, a competitor’s technology or product would be found by a court to infringe our patents. Various post-grant review proceedings, such as </w:t>
      </w:r>
      <w:r>
        <w:rPr>
          <w:rFonts w:ascii="Times New Roman" w:hAnsi="Times New Roman"/>
          <w:i/>
          <w:color w:val="000000"/>
          <w:sz w:val="20"/>
        </w:rPr>
        <w:t>inter partes</w:t>
      </w:r>
      <w:r>
        <w:rPr>
          <w:rFonts w:ascii="Times New Roman" w:hAnsi="Times New Roman"/>
          <w:color w:val="000000"/>
          <w:sz w:val="20"/>
        </w:rPr>
        <w:t xml:space="preserve"> review, post-grant review and derivation proceedings, are available and may be pursued by any interested third party in the USPTO to challenge the patentability of claims issued in patents to us or our licensors. No assurance can be given as to the outcome of any such post-grant review proceedings. If the breadth or strength of protection provided by the patents and patent applications we hold with respect to our product candidates or technology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On the other hand,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Recent or future patent reform legislation could increase the uncertainties and costs surrounding the prosecution of our patent applications and the enforcement or defense of our issued patents. For example, the AIA implemented in March 2013, moved the U.S.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AIA includes a number of other significant changes to U.S. patent law, including provisions that affect the way patent applications are prosecuted, redefine prior art and establish a USPTO-administered post-grant review system that has affected patent litigation.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or use polypeptides or nucleic acids that are similar to our product candidates or components of our product candidates but that are not covered by the claims of our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active biological ingredients in our current product candidates will eventually become commercially available in biosimilar drug products, and no patent protection may be available with regard to formulation or method of use;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as the case may be, may fail to meet our obligations to the U.S. government in regard to any patents and patent applications funded by U.S. government grants, leading to the loss of patent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as the case may be, might not have been the first to file patent applications for these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result in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there are prior public disclosures that could invalidate our or our licensors’ patents, as the case may be, or parts of our or their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others may circumvent our owned or in-licensed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laws of foreign countries may not protect our or our licensors’, as the case may be, proprietary rights to the same extent as the laws of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claims of our owned or in-licensed issued patents or patent applications, if and when issued, may not cover our product candidates or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engaged in scientific collaborations in the past and will continue to do so in the future, and such collaborators may develop adjacent or competing products to ours that are outside the scope of our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for which we can obtain patent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product candidates or technology we develop may be covered by third parties’ patents or other exclusive rights;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proprietary position depends upon patents that are manufacturing, formulation or method-of-use patents, which may not prevent a competitor or other third party from designing around or using the same product candidate for another use.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Composition of matter patents for biological and pharmaceutical products are generally considered to be the strongest form of intellectual property protection for those types of products, as such patents provide protection without regard to any method of making or method of use. We cannot be certain, however, that the claims in our pending patent applications, including those claims covering the composition of matter of our product candidates, will be considered patentable by the USPTO or by patent offices in foreign countries, or that the claims in any of our patents that have issued or may issue will be considered valid and enforceable by courts in the U.S. or foreign countries. Furthermore, in some cases, we may not be able to obtain issued claims covering compositions of matter relating to our product candidates, and instead may need to rely on secondary intellectual property, including patents or patent applications with claims covering formulations, methods of use and/or methods of manufacture. Method of use patents protect a specified method of using a product, such as a method of treating a particular medical indication. This type of patent may only be enforced against a competitor through indirect infringement, i.e., inducement or contributory infringement, which is more difficult to prove than direct infringement. A competitor may be able to circumvent this type of patent by skinny labeling. Furthermore,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these products “off-label” for those uses that are covered by our method of use patents. Although off-label prescriptions may infringe or contribute to the infringement of method of use patents, the practice is common and such infringement is difficult to prevent by enforcing patent rights or otherwise.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to the protection afforded by patents, we seek to rely on trade secret protection, confidentiality agreements, and license and other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For example, significant elements of our product candidates, including aspects of sample preparation, methods of manufacturing, cell culturing conditions and related processes are based on unpatented trade secrets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However, we cannot provide assurance that these agreements and policies will not be breached by our employees, consultants, outside scientific collaborators, sponsored researchers and other advisors and that our trade secrets and other proprietary and confidential information will not be disclosed to publicly or to competitors. We cannot be certain that competitors will not otherwise gain access to our trade secrets or independently develop substantially equivalent information and techniques.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laws of some foreign countries do not protect proprietary rights to the same extent or in the same manner as the laws of the U.S. As a result, we may encounter significant problems in protecting and defending our trade secrets and other confidential proprietary know-how, information, or technology both in the U.S. and abroad. If we are unable to prevent unauthorized material disclosure of our trade secrets and other confidential information to third parties, we will not be able to establish or maintain a competitive advantage in our market, which could materially adversely affect our business, operating results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choose to go to court to stop a third party from using any of our trade secrets, we may incur substantial costs. These lawsuits may consume our time and other resources even if we are successful.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Third-party claims of intellectual property infringement or violations may prevent or delay our discovery and development efforts.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commercial success depends in part on our avoiding infringement of the patents and violation of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reexamination, and post-grant review proceedings before the USPTO or oppositions and other comparable proceedings in foreign jurisdictions. We may be exposed to, or threatened with, future litigation or other adversarial proceedings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may ultimately issue because many patent filings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third party claims that we infringe its intellectual property rights, we may face a number of issues,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license is available from a third party, we may have to pay substantial royalties, upfront fees and other amounts and/or grant cross-licenses to intellectual property rights for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redesigning our product candidates or processes so they do not infringe third-party intellectual property rights, which may not be possible or may require substantial monetary expenditures and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Generally, conducting preclinical and clinical trials and other development activities in the U.S. is not considered an act of infringement. If any of our product candidates is approved by the FDA, a third party may then seek to enforce its patent by filing a patent infringement lawsuit against us. While we do not believe that any claims that could otherwise have a materially adverse effect on the commercialization of our product candidates are valid and enforceable, we may be incorrect in this belief, or we may not be able to prove it in litigation. In this regard, patents issued in the U.S.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or patent applications, the scope of pending or issued patent claims, or the expiration of relevant patents are complete, nor can we be certain that we have identified each and every third-party patent and pending application in the U.S. and abroad that is relevant to or necessary to commercialization of our product candidates in any jurisdiction. There may be currently pending patent applications which may later result in issued patents that our product candidates may infringe. In addition, third parties may obtain patents in the future and claim that use of our technologies infringes upon these patents. Moreover, we may fail to identify relevant third-party patents or incorrectly interpret the relevance, scope, or expiration of a third-party patent or incorrectly conclude that a patent is invalid, not enforceable, exhausted, or not infringed by our activities.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on commercially reasonable terms 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all.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Currently, we have certain intellectual property rights under patents and patent applications that we own or have rights to under our inbound license agreements related to our product candidates. Our development of additional product candidates may require the use of proprietary rights held by third parties, and the growth of our business will likely depend in part on our ability to acquire, in-license or use these proprietary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product candidates may also require specific formulations to work effectively and efficiently, and rights to such formulation technology may be held by others. Similarly, efficient production or delivery of our product candidates may also require specific compositions or methods, and the rights to these may be owned by third parties. Moreover, the specific components, such as linkers and antibody fragments, that will be used with our product candidates may be covered by the intellectual property rights of others. We may be unable to acquire or in-license any compositions, methods of use, formulations,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may collaborate with or sponsor research at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or sponsorship.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lawsuits with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time and monetary expenditure.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initiate post-grant proceedings and the Patent Trial and Appeal Board of the USPTO may institute such proceedings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post-grant proceedings may result in a decision adverse to our interests and, even if we are successful, may result in substantial costs and distract our management and other employees. We may not be able to prevent, alone or with our licensors, infringement of our patents or misappropriation of our trade secrets or confidential information, particularly in countries where the laws may not protect those rights as fully as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If we were unsuccessful, we could lose valuable rights in intellectual property that we regard as our own.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have wrongfully used or disclosed confidential information of our competitors or are in breach of non-competition or non-solicitation agreements with our competitors.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Many of our employees, consultants and advisers were previously employed at other pharmaceutical companies, including our competitors or potential competitors, in some cases until recently. Some of these employees, consultants, advisers, and members of management executed proprietary rights, non-disclosure and non-competition agreements in connection with such previous employment. Although we take steps to ensure that our employees do not use the proprietary information or know-how of others in their work for us, we may be subject to claims that we or our employees, consultants, advisers, and members of management have inadvertently or otherwise used or disclosed trade secrets or other confidential information of these former employers or competitors. In addition, we may in the future be subject to claims that we caused an employee to breach the terms of his or her non-competition or non-solicitation agreement. Litigation may be necessary to defend against these claims. If we fail in defending any such claims, in addition to paying monetary damages, we may lose valuable intellectual property rights or personnel.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 the future, we may in-license intellectual property that may have been discovered through government funded programs and thus may be subject to federal regulations and a preference for U.S.-based companies. Compliance with such regulations may limit our exclusive rights and limit our ability to contract with non-U.S. manufacturers.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Any of the intellectual property rights that we have licensed or may license in the future and that have been generated through the use of U.S. government funding are subject to certain federal regulations. As a result, the U.S. government may have certain rights to intellectual property embodied in our product candidates pursuant to the Bayh-Dole Act of 1980, or the Bayh-Dole Act. These U.S. government rights in certain inventions developed under a government-funded program include a non-exclusive, non-transferable, irrevocable worldwide license to use inventions for any governmental purpose, generally referred to as “march-in rights.” To our knowledge, none of our current product candidates are subject to march-in rights. However, intellectual property rights that we license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future could be subject to such limitations. The U.S. government also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We cannot be certain that our current or future licensors will comply with the disclosure or reporting requirements of the Bayh-Dole Act at all times or be able to rectify any lapse in compliance with these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U.S. government requires that any products embodying the subject invention or produced using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do not obtain patent term extension for any of our current or future product candidates, our business may be materially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Depending upon the timing, duration and specifics of any FDA marketing approval of any of our current or future product candidates, one or more of our U.S. patents may be eligible for limited patent term extension under the Drug Price Competition and Patent Term Restoration Act of 1984, or the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for each marketing approval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marks of interest and our business may be adversely affected.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trademarks or trade names may be challenged, infringed, circumvented,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Numerous factors may limit any potential competitive advantage provided by our intellectual property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pending patent applications that we own or license may not lead to issued patents;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should they issue, that we own or license, may not provide us with any competitive advantages, or may be challenged and held invalid or unenforceable;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develop and/or practice technology that is similar to our technology or aspects of our technology but that is not covered by the claims of any of our owned or in-licensed patents, should any such patents issue;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compete with us in jurisdictions where we do not pursue and obtain patent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make the inventions covered by a pending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a particular invention;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obtain and/or maintain necessary licenses on reasonable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 parties may assert an ownership interest in our intellectual property and, if successful, such disputes may preclude us from exercising exclusive rights, or any rights at all, over that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maintain the confidentiality of our trade secrets or other proprietary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or in-license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Should any of these events occur, they could significantly harm our business and results of operation.</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 xml:space="preserve">Risks Related to Regulatory Approval and Other Legal Compliance Matters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research, testing, manufacturing, labeling, approval, selling, marketing, promotion and distribution of drug and biologic products are subject to extensive regulation by the FDA and comparable foreign regulatory authorities. We are not permitted to market our product candidates in the U.S. or in other countries until we receive approval of a BLA from the FDA or marketing approval from applicable regulatory authorities outside the U.S. Our product candidates are in various stages of development and are subject to the risks of failure inherent in development. We have not submitted an application for or received marketing approval for any of our product candidates in the U.S. or in any other jurisdiction. We have no experience as a company in filing and supporting the applications necessary to gain marketing approvals and expect to rely on third-party CROs to assist us in this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process of obtaining marketing approvals, both in the U.S. and abroad,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FDA may determine that we must provide additional evidence and data before approving a BLA for our product candidates. For example, the FDA reviews an application to determine whether there is “substantial evidence” to support a finding of effectiveness for the proposed product for its intended use(s). In most cases, the default requirement for FDA approval of a new product is one adequate and well-controlled pivotal clinical trial plus confirmatory evidence. However, in the event that we submit a BLA on the basis of one clinical trial and confirmatory evidence, the FDA could determine that such information is not sufficient to support approval of the application, and the FDA could require us to conduct an additional trial in support of the BLA.</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under the Pediatric Research Equity Act, or PREA,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In June 2024, the FDA issued draft guidance outlining the general requirements for diversity action plans, 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regarding diversity, equity and inclusion programs, the FDA removed this draft guidance from its website. That action, along with similar actions by the current administration to remove many other healthcare webpages, is the subject of ongoing litigation. In late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BLAs.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for our new clinical activities in the EU, we will need to navigate the Clinical Trials Regulation (EU) No 536/2014, which became effective in the EU and replaced the prior Clinical Trials Directive 2001/20/EC. This regulation aims at simplifying and streamlining the authorization, conduct and transparency of clinical trials in the EU. Under the coordinated procedure for the approval of clinical trials, the sponsor of a clinical trial to be conducted in more than one EU member state will only be required to submit a single application for approval. The submission will be made through the Clinical Trials Information System, a clinical trials portal overseen by the EMA and available to clinical trial sponsors, competent authorities of the EU member states and the public.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any delay in obtaining or failure to obtain required approvals could negatively affect our ability or that of any future collaborators to generate revenue from the particular product candidate, which likely would result in significant harm to our financial position and adversely impact our stock price.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 For example, on July 14, 2025, following litigation reaching the U.S. Supreme Court, the current administration began to carry out layoffs across HHS, including at the FDA. The loss of FDA leadership and personnel could lead to disruptions and delays in FDA guidance, review, and approval of our product candidates. In November 2025, Congress agreed to provide full-year funding for the FDA through September 30, 2026, at a slight decrease compared to previous spending levels. There were several reports in 2025 of the FDA failing to meet its Prescription Drug User Fee Act, or PDUFA, goal dates for approval of a new drug application, or NDA, or BLA due to heavy workload and limited resources.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is also substantial uncertainty as to how regulatory reform measures being implemented by the current administration across the government will impact the FDA and other federal agencies with jurisdiction over our activities. For example, the administration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Similarly, actions by the U.S. government have significantly disrupted the operations of government agencies, such as the National Institutes of Health, the National Science Foundation, the Centers for Disease Control and Prevention, and the FDA, which have traditionally provided funding for basic research, research and development, and clinical testing. These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 otherwise lawful corporate policies and choice of counsel. These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government funding of government agencies on which our operations may rely, including those that fund research and development activities, is subject to the political process, which is inherently fluid and unpredictable. For example, the federal government shut down on October 1, 2025 and did not reopen for 43 days. With the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did not have legal authority to accept user fees assessed for fiscal year 2026 until a fiscal year 2026 appropriation or continuing resolution for the FDA was enacted. As a result, the FDA was not able to accept any regulatory submissions for fiscal year 2026 that required a fee payment and that was submitted during the lapse period. In addition, the FDA indicated that some of its regulatory science research, crucial for advancing product innovation, safety, and quality, would be curtailed during the lapse period.</w:t>
      </w:r>
    </w:p>
    <w:p>
      <w:pPr>
        <w:pStyle w:val="TextBody"/>
        <w:bidi w:val="0"/>
        <w:jc w:val="both"/>
        <w:rPr>
          <w:rFonts w:ascii="Times New Roman" w:hAnsi="Times New Roman"/>
          <w:color w:val="000000"/>
          <w:sz w:val="20"/>
        </w:rPr>
      </w:pPr>
      <w:r>
        <w:rPr>
          <w:rFonts w:ascii="Times New Roman" w:hAnsi="Times New Roman"/>
          <w:color w:val="000000"/>
          <w:sz w:val="20"/>
        </w:rPr>
        <w:t xml:space="preserve">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U.S. facing similar circumstances may adopt similar restrictions or other policy measures in response to a similar public health emergency and may also experience delays in their regulatory activities.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if any of the foregoing developments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Failure to obtain marketing approval in foreign jurisdictions would prevent our product candidates from being marketed abroad. Any approval we may be granted for our product candidates in the U.S. would not assure approval of our product candidates in foreign jurisdictions and any of our product candidates that may be approved for marketing in a foreign jurisdiction will be subject to risks associated with foreign operations.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order to market and sell our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our products in any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many countries outside the U.S.,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could face heightened risks with respect to obtaining marketing authorization in the United Kingdom, or the U.K., as a result of the withdrawal of the U.K. from the EU, commonly referred to as Brexit. The U.K.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U.K.’s clinical trials regulatory regime, which will take effect on April 28, 2026. These changes were needed since the current U.K. requirements are based upon the now-repealed EU Clinical Trials Directive (2001/20/EC), which has been replaced by the European Clinical Trials Regulation (Regulation EU No 536/2014). Since the U.K. left the EU prior to the date on which the EU Clinical Trials Regulation took effect, the U.K. legal framework did not benefit from the same revisions as occurred at EU level.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same time,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The Reference Regulators notably include EMA and regulators in the EU/European Economic Area, or EEA, member states for approvals in the EU centralized procedure and mutual recognition procedure as well as the FDA (for product approvals granted in the United States).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 member states, the Council of the European Union adopted its position on the proposed overhaul of the EU general pharmaceutical legislative framework.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set a baseline period of eight years of data exclusivity and one year of market exclusivity, with possible extensions for new indications up to a maximum of 11 years total. There will likely be a transition period of 24 months, with the changes taking effect in mid-2028.</w:t>
      </w:r>
    </w:p>
    <w:p>
      <w:pPr>
        <w:pStyle w:val="TextBody"/>
        <w:bidi w:val="0"/>
        <w:jc w:val="both"/>
        <w:rPr>
          <w:rFonts w:ascii="Times New Roman" w:hAnsi="Times New Roman"/>
          <w:color w:val="000000"/>
          <w:sz w:val="20"/>
        </w:rPr>
      </w:pPr>
      <w:r>
        <w:rPr>
          <w:rFonts w:ascii="Times New Roman" w:hAnsi="Times New Roman"/>
          <w:color w:val="000000"/>
          <w:sz w:val="20"/>
        </w:rPr>
        <w:t>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 We expect that we will be subject to additional risks in commercializing any of our product candidates that receive marketing approval outside the U.S.,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obtain orphan drug designation or orphan drug exclusivity for our product candidates and, even if we do, that exclusivity may not prevent the FDA or the EMA from approving competing products.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Regulatory authorities in some jurisdictions, including the U.S. and the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U.S.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product for that indication for the applicable exclusivity period. The applicable exclusivity period is seven years in the U.S. and ten years in the EU. The European exclusivity period can be reduced to six years if a product no longer meets the criteria for orphan drug designation or if the product is sufficiently profitable so that market exclusivity is no longer justified.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orphan drug designations for our product candidates and may be unable to obtain such designations. Even if we do secure such designations and orphan drug exclusivity for a product, that exclusivity may not effectively protect the product from competition because different products can be approved for the same condition. Further, the FDA can subsequently approve the same drug for the same condition if the FDA concludes that the later product is clinically superior in that it is shown to be safer, to be more effective or to make a major contribution to patient care. Finally, orphan drug exclusivity may be lost if the FDA or the EMA determines that the request for designation was materially defective or if the manufacturer is unable to assure sufficient quantity of the product to meet the needs of patients with the rare disease or condition.</w:t>
      </w:r>
    </w:p>
    <w:p>
      <w:pPr>
        <w:pStyle w:val="TextBody"/>
        <w:bidi w:val="0"/>
        <w:spacing w:before="240" w:after="283"/>
        <w:jc w:val="both"/>
        <w:rPr>
          <w:rFonts w:ascii="Times New Roman" w:hAnsi="Times New Roman"/>
          <w:sz w:val="20"/>
        </w:rPr>
      </w:pPr>
      <w:r>
        <w:rPr>
          <w:rFonts w:ascii="Times New Roman" w:hAnsi="Times New Roman"/>
          <w:color w:val="000000"/>
          <w:sz w:val="20"/>
        </w:rPr>
        <w:t>The FDA and Congress may further reevaluate the Orphan Drug Act and its regulations and policies. For example, in September 2021, the U.S. Court of Appeals for the 11th Circuit held that, for the purpose of determining the scope of orphan drug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approved “indication or use.” Subsequently, in another case, a federal district court in Washington, D.C., followed the reasoning of the 11</w:t>
      </w:r>
      <w:r>
        <w:rPr>
          <w:rFonts w:ascii="Times New Roman" w:hAnsi="Times New Roman"/>
          <w:color w:val="000000"/>
          <w:sz w:val="13"/>
        </w:rPr>
        <w:t>th</w:t>
      </w:r>
      <w:r>
        <w:rPr>
          <w:rFonts w:ascii="Times New Roman" w:hAnsi="Times New Roman"/>
          <w:color w:val="000000"/>
          <w:sz w:val="20"/>
        </w:rPr>
        <w:t xml:space="preserve">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product candidate for which we obtain marketing approval is subject to ongoing regulation and could be subject to restrictions or withdrawal from the market, and we may be subject to substantial penalties if we fail to comply with regulatory requirements, when and if any of our product candidates are approved.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corresponding maintenance of records and documents, and requirements regarding the distribution of samples to physicians and recordkeeping. In addition,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 Accordingly, if we receive marketing approval for one or more of our product candidates, we will continue to expend time, money and effort in all areas of regulatory compliance, including manufacturing, production, product surveillance and quality control. If we fail to comply with these requirements, we could have the marketing approvals for our products withdrawn by regulatory authorities and our ability to market any products could be limited, which could adversely affect our ability to achieve or sustain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regulatory requirements, may yield various results,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such products, manufacturers or manufacturing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the labeling or marketing of a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distribution or use of a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the products from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 of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damage to relationships with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press coverage and damage to our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involving patients using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 Further, 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assuming we, or our collaborators, receive marketing approval for one or more of our product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Any regulatory approval to market any of our products candidates for which we obtain approval will be limited by indication. If we fail to comply or are found to be in violation of FDA regulations restricting the promotion of any of our product candidates for unapproved uses, we could be subject to criminal penalties, substantial fines or other sanctions and damage awards.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products off-label to their patients in a manner that is inconsistent with the approved label. Prior to the approval of any of our product candidates, we intend to implement compliance and training programs designed to ensure that any future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example, on September 9, 2025, the current administration issued a memorandum directing HHS to “ensure transparency and accuracy in direct-to-consumer, or DTC,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non-promotional,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seek certain designations for our product candidates, including Breakthrough Therapy, Fast Track and Priority Review designations in the U.S. and PRIME Designation in the EU, but we might not receive such designations, and even if we do, such designations may not lead to a faster development or regulatory review or approval process.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may seek approval of any of our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can be no assurance that the FDA will agree with any proposed surrogate endpoints or that we will decide to pursue or submit a BLA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there can be no assurance that we will satisfy all FDA requirements, including new provisions that govern accelerated approval. For example, with the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the FDA every six months until the study is completed. Moreover, FDORA established expedited procedures authorizing FDA to withdraw an accelerated approval if certain conditions are met, including where a required confirmatory trial fails to verify and describe the product’s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FDA commissioner or the FDA commissioner’s designee and a written appeal, among other things. We will need to fully comply with these and other requirements in connection with the development and approval of any product candidate that qualifies for accelerated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draft guidance relating to accelerated approval. The guidance describes the FDA’s views on what it means to conduct a confirmatory trial with due diligence and how the agency plans to interpret whether such a study needs to be underway at the time of approval. While the guidance is currently only in draft form and will ultimately not be legally binding even when finalized, sponsors typically observe the FDA’s guidance closely to ensure that their investigational products qualify for accelerated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Recently enacted and future legislation may increase the difficulty and cost for us to obtain marketing approval of and commercialize our drug product candidates and affect the prices we may obtain for any products that are approved in the United States or foreign jurisdictions.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U.S. and some foreign jurisdictions, there have been a number of legislative and regulatory changes and proposed changes regarding the healthcare system that could prevent or delay marketing approval of our drug product candidates, restrict or regulate post-approval activities and affect our ability to profitably sell any drug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U.S.,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March 2010, the PPACA was signed into law.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CARES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drug product candidates for which we may obtain regulatory approval or the frequency with which any such product candidate is prescribed or used. For example, under current legislation, the actual reductions in Medicare payments may vary by up to 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enactment of the PPACA,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required most Americans to carry a minimal level of health insurance, became effective in 2019. Further, on June 17, 2021, the U.S. Supreme Court dismissed an action challenging the PPACA after finding that the plaintiffs did not have standing to challenge the constitutionality of the law. Litigation and legislation over the PPACA are likely to continue, with unpredictable and uncertain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EU, on December 13, 2021, Regulation No 2021/2282 on Health Technology Assessment, or HTA, amending Directive 2011/24/EU, was adopted. The HTA entered into force in January 2022 and began to apply in January 2025, with a phased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implementation depending on the concerned products. The HTA intends to boost cooperation among EU member states in assessing health technologies, including new medicinal products as well as certain high-risk medical devices, and provide the basis for cooperation at the EU level for joint clinical assessments in these areas. It permits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technology, and making decisions on pricing and reimbursement.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Current and future legislative efforts may limit the prices for our products, if and when they are licensed for marketing, and that could materially impact our ability to generate revenues.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prices of prescription pharmaceuticals have been the subject of considerable legislative and executive actions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in October 2020, HHS and the FDA published a final rule allowing states and other entities to develop a Section 804 Importation Program, or SIP,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May 21, 2025, the FDA announced that it would offer individual states the opportunity to submit a draft proposal for pre-review and meet with the FDA to obtain its initial feedback prior to formally submitting SIP proposals. The intent of these meetings is to assist states in developing their proposals by further clarifying requirements, enhancing the quality of proposals submitted to the FDA and ultimately shortening the review timeline.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August 16, 2022, the Inflation Reduction Act of 2022, or the IRA, was signed into law.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but it did not originally apply to drugs and biologics that had been approved for a single rare disease or condition. With passage of the One Big Beautiful Bill Act, or OBBBA,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case, these provisions of the IRA may also further heighten the risk that we would not be able to achieve the expected return on our drug products or full value of our patents protecting our products if prices are set after such products have been on the market for nine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placing price caps on annual out-of-pocket expenses, each of which could have potential pricing and reporting implications.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June 6, 2023, Merck &amp; Co., or Merck,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Bristol Myers Squibb Company, the PhRMA, Astellas, Novo Nordisk, Janssen Pharmaceuticals, Novartis, AstraZeneca and Boehringer Ingelheim, also filed lawsuits in various courts with similar constitutional claims against the HHS and CMS. Every court that has thus far considered substantive challenges to the Medicare drug price negotiation program has ruled against the pharmaceutical industry, dismissing both constitutional and statutory arguments. We expect that current or future litigation involving provisions of the IRA will have unpredictable and uncertain results on the implementation and impact of the IRA on the biotechnology industry generally, as well as our business and current or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since adoption of the IRA, the current administration has taken a number of actions to reduce the costs of pharmaceutical products. For example, an April 2025 executive order directed HHS to take steps to reduce the prices of pharmaceutical products, and a May 2025 executive order called on pharmaceutical manufacturers to voluntarily reduce the prices of medicines in the United States. The May 2025 executive order provides that if such actions do not lower the costs of pharmaceuticals, the Secretary of HHS would pursue other actions, including proposing a rulemaking that imposes most favored nation, or MFN, pricing in the United States. Thereafter, on July 31, 2025, 17 pharmaceutical companies were issued letters reiterating the requirements of the May 2025 executive order and demanding that such companies extend MFN pricing to Medicaid patients. Virtually all of these pharmaceutical companies have entered into agreements with the administration to provide for lower prices on certain pharmaceuticals. On February 5, 2026, the administration launched a website that directs individuals to pharmaceutical manufacturer websites that are offering price discounts based on the administration’s pricing agreements with pharmaceutical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Separately, 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or GLOBE, and the Guarding U.S. Medicare Against Rising Drug Costs for Medicare Part D drugs, or GUARD. Under the proposed pilot programs, a manufacturer would owe rebates to Medicare if prices for its drugs exceeded the prices paid by other economically comparable reference countries, defined in the proposed regulations as Organisation for Economic Co-Operation and Development countries with a gross domestic product, or GDP, of $400 billion and a per capita GDP that is at least 60% of the U.S. per capita GDP (an initial list of 19 reference countries is included in the proposed rule). These pilot programs are proposed to go into effect beginning October 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Finally, outside the U.S., in some nations,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certain healthcare laws and regulations, which could expose us to criminal sanctions, civil penalties, contractual damages, reputational harm, fines, disgorgement, exclusion from participation in government healthcare programs, curtailment or restricting of our operations, and diminished future profits and earnings, if 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Healthcare providers, third-party payors and others will play a primary role in the recommendation and prescription of any products for which we obtain marketing approval. Our current and future arrangements with healthcare providers and third-party payors will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Potentially applicable U.S. federal and state healthcare laws and regulations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penalty and false statement laws and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which created additional federal criminal laws that prohibit, among other things, knowingly and willfully executing, or attempting to execute, a scheme to defraud any healthcare benefit program or making false statements relating to healthcare matters;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transparency requirements known as the federal Physician Payments Sunshine Act, under the Patient Protection and Affordable Care Act, or PPACA, as amended by the Health Care Education Reconciliation Act, which requires certain manufacturers of drugs, devices, biologics and medical supplies to report annually to the Centers for Medicare &amp; Medicaid Services, or CMS, within HHS, information related to payments and other transfers of value made by that entity to physicians, other healthcare providers and teaching hospitals, as well as ownership and investment interests held by physicians and their immediate family members;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and foreign laws and regulations, such as state anti</w:t>
        <w:noBreakHyphen/>
        <w:t>kickback and false claims laws, which may apply to healthcare items or services that are reimbursed by non</w:t>
        <w:noBreakHyphen/>
        <w:t>governmental third</w:t>
        <w:noBreakHyphen/>
        <w:t>party payors, including private insurers.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prohibited in the EU.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and reputational harm,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data privacy and protection laws and regulations that apply to the collection, transmission, storage and use of personally identifiable information, which among other things, impose certain requirements relating to the privacy, security and transmission of personal information, including comprehensive regulatory systems in the U.S., EU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properly protect the privacy and security of protected health information, we could be found to have breached our contracts. Further, if we fail to comply with applicable privacy laws, including applicable HIPAA privacy and security standards, we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or FTC, and state attorneys general all are aggressive in reviewing privacy and data security protections for consumers. 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Department of Justice recently finalized a rule implementing Executive Order 14117, which creates similar restrictions related to the transfer of sensitive U.S. data to countries such as China. These data protection laws and transfer restrictions, and others that may pass in the future, may create operational challenges and legal risks for our business. As a result, we will need to seek to ensure our business practices comply with evolving rules and guidance at the federal and state level related to privacy and data security in order to mitigate our risk for any potential enforcement action, which may be costly. In addition, if we are subject to an enforcement action and settlement order, we may be required to adhere to very specific privacy and data security practices or pay fines and adhere to specified compliance requirements, all of which could be costly and adversely impact our business. For example,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and is in the process of developing rules related to commercial surveillance and data security.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Similarly, 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addition, the California Privacy Rights Act, or the CPRA,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the California Privacy Protection Agency, a new enforcement agency whose sole responsibility is to enforce the CPRA, which will further increase compliance risk.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California, a number of other states have passed comprehensive privacy laws similar to the CCPA and CPRA. These laws are either in effect or will go into effect sometime before the end of 2026, with other states likely to consider or pass similar laws in the future.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regulated by the GDPR, which went into effect in May 2018 and which imposes obligations on companies that operate in our industry with respect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could lead to government enforcement actions, private litigation and significant fines and penalties against us, all of which could increase our cost of doing business and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GDPR places restrictions on the cross-border transfer of personal data from the EU to countries that have not been found by the European Commission, or EC, to offer adequate data protection legislation, such as the U.S.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 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are subject to U.S. and certain foreign export control, import, sanctions, anti-corruption, and anti-money laundering laws and regulations with respect to our operations and non-compliance with such laws can subject us to criminal and/or civil liability and harm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or the FCPA,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Noncompliance with the laws and regulations described above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such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Changes in and uncertainty surrounding U.S. and international trade policies may adversely impact our business and operating results.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2025, the U.S. government initiated a series of tariff-related actions against U.S. trading partners, which included a number of reciprocal and country-specific tariffs under the International Emergency Economic Powers Act, or the IEEPA. In February 2026, the U.S. Supreme Court held that the IEEPA does not authorize the President to impose tariffs, invalidating both the “reciprocal” tariffs and certain country-specific tariffs. The President subsequently invoked Section 122 of the Trade Act of 1974, or the Trade Act, to impose a 10% tariff, which could be raised to 15%, on nearly all foreign imports. The tariffs imposed under Section 122 are temporary and valid for 150 days without congressional approval. On May 7, 2026, the U.S. Court of International Trade ruled that these tariffs were unlawful and issued a permanent injunction for certain named private party plaintiffs and the State of Washington. The U.S. government appealed to the U.S. Court of Appeals for the Federal Circuit and, on June 11, 2026, the Federal Circuit stayed enforcement of the lower court’s permanent injunction pending further appeals.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the U.S. Trade Representative is currently conducting two investigations under Section 301 of the Trade Act, which may also result in additional tariffs. In June 2026, in one such investigation, it proposed additional tariffs of 10% to 12.5% on products of 60 economies determined to have failed to impose and effectively enforce a prohibition on the importation of goods produced with forced labor. These proposed tariffs remain subject to an ongoing notice-and-comment process and have not yet taken effect, and the second investigation into structural excess capacity and production in manufacturing sectors remains ongoing.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Separately, in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2, 2026, the administration issued a proclamation invoking Section 232 of the Trade Expansion Act of 1962 to impose tariffs on imports of patented pharmaceuticals, biologics, and associated ingredients into the U.S. Specifically, beginning July 31, 2026, a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100% tariff will apply to pharmaceutical articles classified in certain 10-digit harmonized tariff, or HTS, codes that are subject to a valid, unexpired U.S. patent and are listed in the FDA’s Approved Drug Products with Therapeutic Equivalence Evaluations, or the Orange Book, or are listed in the FDA’s Lists of Licensed Biological Products, or the Purple Book, unless a relevant exemption applies. The 100% tariff also applies to active pharmaceutical ingredients, or APIs, and key starting materials for such articles. For companies like ours that are not listed in the annexes to the proclamation (i.e., those that have not concluded qualifying onshoring plans and MFN pharmaceutical pricing agreements with the U.S. government), the Section 232 tariffs will be effective on September 29, 2026. Preferential tariff rates are provided for imports of covered pharmaceuticals from Japan, the EU, Korea, Switzerland, Lichtenstein and the U.K. Certain categories of products are exempt from these tariffs, including, but not limited to, generic pharmaceuticals and biosimilars; specified U.S.-origin pharmaceutical products; and products classified in certain HTS codes, listed in Annex IV of the proclamation. Other products likely to be exempt from the tariffs include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changes in tariffs that have been announced and/or implemented and the underlying uncertainty currently surrounding international trade, could have a negative impact on our costs of materials and production processes, or could cause supply chain disruptions and delays due to new tariff policies or trade restrictions. If we are unable to obtain necessary raw materials or product components in sufficient quantities and in a timely manner, the research, development, testing and clinical trials of our product candidates may be delayed or infeasible, and regulatory approval or commercial launch of any resulting product may be delayed or not obtained, which could significantly harm our business. Further, sustained uncertainty about, or the further escalation of, trade and political tensions between the U.S. and China could result in a disadvantageous research and manufacturing environment in China, particularly for U.S.-based companies, including retaliatory restrictions that hinder or potentially inhibit our ability to rely on CMOs and other service providers that operate in China. We cannot yet predict the effect of the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resulting from the use of hazardous materials, however this insurance may not provide adequate coverage against potential liabilities. We do not maintain insurance for environmental liability or toxic tort claims that may be asserted against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employees, independent contractors, CROs, consultants, commercial partners, vendors and principal investigators may engage in misconduct or other improper activities, including non-compliance with regulatory standards and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independent contractors, CROs, consultants, commercial partners, vendors and our principal investigators. Misconduct by these parties could include intentional failures to comply with FDA regulations or the regulations applicable in the EU and other jurisdictions, provide accurate information to the FDA, the EC and other regulatory authorities, comply with healthcare fraud and abuse laws and regulations in the United States and abroad, report financial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Such misconduct also could involve the improper use of information obtained in the course of clinical trials or interactions with the FDA or other regulatory authorities, which could result in regulatory sanctions and cause serious harm to our reputation. Even with appropriate policies and procedures, it is not always possible to identify and deter misconduct, and the precautions we take to detect and prevent such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Risks Related to Our Business Operations, Employee Matters and Managing Growth</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future success depends on our ability to retain key employees, consultants and advisors and to attract, retain and motivate qualified personnel.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highly dependent on the management, research and development, clinical, financial and business development expertise of our executive officers, as well as the other members of our scientific and clinical teams. Although we have employment agreements that outline the terms of employment with each of our executive officers, each of them may terminate their employment with us at any time. As such, these employment agreements do not guarantee our retention of our executive officers for any period of time. In addition, at our 2025 annual meeting of stockholders, our stockholders approved a certificate of amendment to our restated certificate of incorporation to provide for the exculpation of our executive officers, as permitted under Delaware law, which amendment became effective on June 10, 2025. Despite this, we may have difficulty retaining key personnel, which could adversely affect our business and further development of our product candidates. Furthermore, the cost of directors’ and officers’ liability insurance, or D&amp;O insurance, is subject to change, which could result in D&amp;O insurance becoming significantly more expensive for us to maintain or require us to accept coverage terms or policy limits that are less favorable. Accordingly, there is no guarantee that we will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Recruiting and retaining qualified scientific and clinical personnel and, if we are successful in obtaining marketing approval for our product candidates, sales and marketing personnel, is and will be critical to our success. The loss of the services of our executive officers or other key employees could impede, delay or prevent the achievement of our research, development and commercialization objectives and seriously harm our ability to successfully implement our business strategy. Furthermore, replacing executive officers and other key employees may be difficult and may take an extended period of time because of the limited number of individuals in our industry with the breadth of skills and experience required to successfully develop, gain regulatory approval for and commercialize products in the life sciences industry, and specifically our product candidates. We are based in Massachusetts, a state that is home to many other biopharmaceutical companies as well as many academic and research institutions, resulting in fierce competition for qualified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strategy. Our consultants and advisors may be employed by employers other than us and may have commitments under consulting or advisory contracts with other entities that may limit their availability to us. Additionally, the biotechnology industry generally has continued to experience a competitive wage environment, which is likely to further exacerbate the foregoing risks and may impact our ability to retain our executive officers or other key employees. If we are unable to continue to attract and retain high quality personnel, our ability to pursue our growth strategy will be limited and could adversely affect our business, prospects, financial condition and results of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depend on our information technology systems and those of our third-party service providers, and any failure of these systems could harm our business. Security breaches, loss of data, inability to access systems, and other disruptions could compromise sensitive information related to our business or prevent us from accessing critical information and expose us to liability or competitive or reputational harm, which could adversely affect our business, results of operations and financial condition. In addition, artificial intelligence, or AI, presents emerging risks and challenges that may impact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collect and maintain information in digital and other forms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privacy, security, confidentiality, availability and integrity of such confidential information. Our internal information technology systems and infrastructure, and those of our contractors, consultants, vendors, service providers and other third parties on which we rely, are vulnerable to damage or unauthorized access or use resulting from computer viruses, malware, natural disasters, terrorism, war, telecommunication and electrical failures, cyber-attacks or cyber-intrusions over the Internet, denial or degradation of service attacks, ransomware, hacking, phishing and other social engineering attacks, attachments to emails, intentional or accidental actions or inactions by persons inside our organization or by persons with access to systems inside our organization.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of a security breach or disruption or data loss, particularly through cyber-attacks or cyber intrusion, including by computer hackers, supply chain attacks, foreign governments and cyber terrorists, has generally increased as the number, intensity and sophistication of attempted attacks and intrusions from around the world have increased. Additionally, attackers may use AI and machine learning to launch more automated, targeted and coordinated attacks against targets. In addition, the prevalent use of mobile devices that access confidential information increases the risk of lost or stolen devices, security incidents and data security breaches, which could lead to the loss of confidential information or other intellectual property. We also may face increased risks of a security breach or disruption due to our reliance on internet technology and the number of our employees who are working remotely, which may create additional opportunities for cybercriminals to exploit vulnerabilities.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 If such an event were to occur and cause interruptions in our operations, it could result in a material disruption of our product development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security compromise affecting us, our partners, our service providers or our industry, whether real or perceived, could harm our reputation, erode confidence in the effectiveness of our security measures and lead to regulatory scrutiny. If such an event were to occur and cause interruptions in our operations or result in the unauthorized acquisition of or access to personally identifiable information or individually identifiable health information (violating certain privacy laws, as applicable, such as HIPAA, CCPA, HITECH and GDPR), it could result in a material disruption of our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would also be exposed to a risk of loss, governmental investigations or enforcement, or litigation and potential liability, any of which could materially adversely affect our business, results of operations and financial condition. While we do maintain cyber liability insurance, our insurance coverages may not be sufficient in type or amount to cover us against any such losses, claims, or liabilities related to security breaches, cyber-attacks, cyber intrusion, or other related breaches or disruptions.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face additional emerging risks associated with the use of generative AI and related technologies, which we have implemented, and may further expand, into our operations. The development and use of AI, combined with an uncertain regulatory environment, introduce risks and challenges that may result in reputational harm, liability, or other adverse consequences to our business operations. In addition, we may face competitive risks if we fail to adopt AI or other machine learning technologies in a timely fashion. AI algorithms may be flawed, datasets may be insufficient or biased and overreliance on AI or dependence on a specific model or vendor may limit our flexibility, increase costs, or expose us to operational risks if the AI provider modifies or discontinues its services or increases its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AI use could lead to noncompliance with applicable laws and regulations, threats to intellectual property rights, including the leakage of our proprietary information and the risk that AI-generated outputs may infringe third-party intellectual property rights. In addition, the providers of these AI tools may not meet existing or future regulatory or industry standards with respect to privacy and data protection. All of these risks also apply to our vendors who use AI and who may incorporate AI tools into their offerings without disclosing this use to us. If we, our vendors, or our third-party partners experience an actual or perceived breach or other privacy or security incident because of the use of AI, we may lose valuable intellectual property and confidential information, and our reputation and the public perception of the effectiveness of our security measures could be harmed. Further, bad actors around the world use increasingly sophisticated methods, including AI, to engage in illegal activities involving the theft and misuse of personal information, confidential information and intellectual property. Additionally, several states have passed laws to regulate the use of AI and the regulatory environment is rapidly evolving at the state, federal, and international levels, which creates potential compliance and enforcement risk. Any of these developments in AI could damage our reputation, result in the loss of valuable property and information, and adversely impact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 variety of risks associated with marketing our product candidates internationally, if approved, could materially adversely affect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plan to seek regulatory approval of our product candidates outside of the U.S. and, accordingly, we expect that we will be subject to additional risks related to operating, including conducting marketing and sales activities, in international jurisdictions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requirements in foreign countries that differ from those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complexities associated with managing multiple payor reimbursement regimes, government payors or patient self-pay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in countries where labor unrest is more common than in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under the FCPA or other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armed conflicts and terrorism or natural disasters, including pandemics or other outbreaks of infectious disease, earthquakes, typhoons, floods and fires.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factors, along with other risks associated with international operations, could materially adversely affect our future international expansion and operations and, consequently, our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engage in strategic transactions that could impact our liquidity, increase our expenses and present significant distractions to our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sufficient additional capital, which may not be available on favorable terms or at all. These transactions may not be successful and may require significant time and attention of management. 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operations or those of the third parties upon whom we depend might be affected by the occurrence of a catastrophic event, such as a terrorist attack, war or other armed conflict, geopolitical tensions or trade wars, pandemic or natural disaster.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depend on our employees, consultants, CDMOs, CROs, as well as regulatory agencies and other parties, for the continued operation of our business. While we maintain disaster recovery plans, they might not adequately protect us. Despite any precautions that we or any third parties on whom we depend take for catastrophic events, including terrorist attacks, wars or other armed conflicts, geopolitical tensions or trade wars, pandemics or natural disasters, these events could result in significant disruptions to our research and development, manufacturing, preclinical studies, clinical trials, and, ultimately, if approved, the commercialization of our products. Long-term disruptions in the infrastructure caused by these types of events, such as natural disasters, which are increasing in frequency due to the impacts of climate change, the outbreak of wars or other armed conflicts, the escalation of hostilities, geopolitical tensions or trade wars, acts of terrorism or “acts of God,” particularly involving geographies in which we or third parties on whom we depend have offices, manufacturing or clinical trial sites, could adversely affect our businesses. Although we carry business interruption insurance policies and typically have provisions in our contracts that protect us in certain events, our coverage might not include or be adequate to compensate us for all losses that may occur. Any catastrophic event affecting us, our CDMOs, our CROs, regulatory agencies or other parties with which we are engaged could have a material adverse effect on our operations and financial performance.</w:t>
      </w:r>
    </w:p>
    <w:p>
      <w:pPr>
        <w:pStyle w:val="Heading2"/>
        <w:bidi w:val="0"/>
        <w:jc w:val="both"/>
        <w:rPr/>
      </w:pPr>
      <w:r>
        <w:rPr/>
        <w:t> </w:t>
      </w:r>
    </w:p>
    <w:p>
      <w:pPr>
        <w:pStyle w:val="Heading2"/>
        <w:bidi w:val="0"/>
        <w:jc w:val="both"/>
        <w:rPr>
          <w:rFonts w:ascii="Times New Roman" w:hAnsi="Times New Roman"/>
          <w:color w:val="000000"/>
          <w:sz w:val="20"/>
        </w:rPr>
      </w:pPr>
      <w:r>
        <w:rPr>
          <w:rFonts w:ascii="Times New Roman" w:hAnsi="Times New Roman"/>
          <w:color w:val="000000"/>
          <w:sz w:val="20"/>
        </w:rPr>
        <w:t>Risks Related to Ownership of Our Common Stock and Our Status as a Public Company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common stock may be subject to a low trading volume and volatile market price related or unrelated to our operations and purchasers of our common stock could have difficulty selling their shares or could suffer a decline in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trading volume and market price of our common stock has been, and may continue to be, subject to significant fluctuations in response to numerous factors, many of which are beyond our control. The stock market in general and the market for biotechnology and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trading volume and market price for our common stock may be influenced by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reverse stock split of our common stock, which became effective March 13,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from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any current or future clinical trials we may conduct, or changes in the development status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from, delays in initiating or completing, or termination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results from, or regulatory developments regarding, a competitor’s product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 including failure to receive regulatory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U.S. and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public’s response to press releases or other public announcements by us or third parties, including our filings with the SEC, and announcements relating to acquisitions, strategic transactions, licenses, joint ventures, collaborations, capital commitments, intellectual property, litigation or other disputes impacting us or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lower than expected market acceptance of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obtain adequate product supply for any product candidate, or approved product or inability to do so at acceptable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the level of expenses related to our preclinical and clinical development programs, including relating to the timing of invoices from, and other billing practices of, our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variations in the level of expenses related to our commercialization activities, if any product candidates are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results of our competitors or potential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introduction of new products or services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financial estimates by us or by any securities analysts who might cover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or trends in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common stock by us or our stockholders in the future, including the common stock that may be issuable upon the exercise of outstanding prefunded warrants and common stock warrants, or the perception that such sales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adoption of new, or changes to current accounting standards;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market price and volume fluctuations of comparable companies and, in particular, those that operate in the biotechnology and pharmaceutical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or divestitures;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of investigations or regulatory scrutiny of our operations or lawsuits filed against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our company and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inclusion or exclusion of our common stock in exchange, industry, or other tracking indices;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 and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proposed changes to healthcare laws, intellectual property laws or pharmaceutical pricing in the U.S. or foreign jurisdictions, or speculation regarding such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sales of our common stock by our officers, directors and significant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health epidemics or pandemics, such as the COVID</w:t>
        <w:noBreakHyphen/>
        <w:t>19 pandemic, and any recession, depression, or other sustained adverse market event or economic impact resulting from such epidemics or pandemics;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political, economic, industry and market conditions;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described in this “Risk Factors” section, many of which are beyond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 the past, stockholders have initiated class action lawsuits against pharmaceutical and biotechnology companies following periods of volatility in the market prices of these companies’ stock. This risk is especially relevant for us, because biopharmaceutical companies have experienced significant stock price volatility in recent years. Such litigation, if instituted against us, could cause us to incur substantial costs and divert management’s attention and resources from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in the future, we fail to comply with the continued listing requirements of Nasdaq, our common stock may be delisted and the price of our common stock and our ability to access the capital markets could be negatively impacted.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is listed on the Nasdaq Capital Market and we must satisfy continued listing requirements, including minimum stock price, public float, stockholders' equity and other corporate governance standards. If we are unable to comply with applicable Nasdaq listing standards, shares of our common stock would be subject to delisting, which could have a material adverse effect on our business. We have previously received deficiency letters from the Listing Qualifications Department of Nasdaq informing us that we were not in compliance with the continued listing requirements for minimum stock price and stockholders' equity. While we have regained compliance with respect to each of these deficiencies, there can be no assurance that we will be able to continue to maintain compliance with the Nasdaq continued listing requirements in the future. Any potential delisting of our common stock could have a material adverse effect on the market for, and liquidity and price of, our common stock and would adversely affect our ability to raise capital on terms acceptable to us, or at all. Delisting from Nasdaq could also have other negative results, including, without limitation, the potential loss of confidence by investors, customers and employees and fewer business development opportunities. Any delisting of our common stock from Nasdaq would also make it more difficult for our stockholders to sell their shares of our common stock in the public market.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company, or if they issue unfavorable or inaccurate research regarding our business, or if they publish negative evaluations of our stock, the price and trading volume of our stock could decline.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securities or industry analysts publish about us or our business. Currently, one securities and industry analyst publishes research on our company. There can be no assurance that the existing analyst will continue to cover us or that new analysts will begin to cover us. There is also no assurance that the covering analyst will provide favorable coverage. Although we have obtained analyst coverage, if the analyst covering our business downgrades her evaluation of our stock or publishes inaccurate or unfavorable research about our business, or provides more favorable relative recommendations about our competitors, the price of our stock could decline. In the past, analysts have ceased to cover our stock and others may cease to do so in the future. As a result, we could lose visibility in the market for our stock, which in turn could cause our stock price and trading volume to decline.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Unstable global economic and political conditions, including economic uncertainty tied to interest rates and heightened inflation, credit and financial market instability, and uncertainty related to ongoing geopolitical conflicts, could adversely affect our business, financial condition, stock price and ability to raise capital.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Unstable global economic and political conditions, including economic uncertainty tied to interest rates and heightened inflation, credit and financial market instability, and uncertainty related to ongoing geopolitical conflicts, could adversely affect our business, financial condition, stock price and ability to raise capital. The global economy, in particular the financial markets, have recently experienced significant disruption and volatility, including without limitation, as a result of heightened inflation, capital market volatility, interest rate and currency rate fluctuations, volatility in commodity prices, decline in consumer confidence and economic growth, supply chain disruptions, banking disruptions, and uncertainty resulting from geopolitical events, including trade wars, civil and political unrest, wars and other armed conflicts. In addition, market volatility, high levels of inflation and high interest rates may increase our cost of financing or restrict our access to potential sources of future capital. Furthermore, our stock price may further decline due in part to the volatility of the stock market and any general economic downturn. If the disruption and volatility persist or deepen, we may be unable to raise sufficient additional capital on acceptable terms, or at all. If we are unable to raise sufficient additional capital, our business, financial condition, stock price and results of operations could be adversely affected, and we may need to implement cost reduction strategies,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which could include delaying, reducing or altogether terminating both internal and external costs related to our operations and research and development programs. In addition, political developments impacting government spending and international trade, including changes in trade agreements, trade disputes, tariffs and investment restrictions, such as the ongoing trade dispute between the United States and China, may negatively impact markets and cause weaker macroeconomic conditions. These global economic and political factors could also strain certain of our suppliers and manufacturers, including our primary CDMO, possibly resulting in supply disruptions or increased raw material or manufacturing costs, or adversely impacting their ability to manufacture clinical trial materials for our product candidates. Any of the foregoing could harm our business and we cannot anticipate all of the ways in which the current economic and geopolitical climate and financial market conditions could adversely impact our business.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principal stockholders and management own a significant percentage of our common stock and exert significant control over matters subject to stockholder approval.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our executive officers, directors, holders of 5% or more of our common stock and their respective affiliates beneficially owned shares in the aggregate representing a majority of our outstanding common stock. As a result of their share ownership, these stockholders, if they act together, would have the ability to influence our management and policies and would be able to significantly affect the outcome of matters requiring stockholder approval, such as elections of directors, amendments of our organizational documents or approvals of any merger, sale of assets or other major corporate transaction. This may prevent or discourage unsolicited acquisition proposals or offers for our common stock that our stockholders may feel are in their best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these persons or entities may have interests different than our unaffiliated stockholders, or they may want us to pursue strategies that deviate from the interests of other stockholders. In addition, this concentration of ownership might adversely affect the market price of our common stock by: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delaying, deferring or preventing a change of control of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entrench our management and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impeding a merger, consolidation, takeover or other business combination involving us;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discouraging a potential acquirer from making a tender offer or otherwise attempting to obtain control of us.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broad discretion regarding use of our cash and cash equivalents, and we may not use them effectively.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has broad discretion in the application of our cash and cash equivalents and could use such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these funds in a manner that does not produce income or that loses value.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currently anticipate that we will retain future earnings for the development, operation and expansion of our business and do not anticipate declaring or paying any cash dividends for the foreseeable future. Any determination to pay dividends in the future will be at the sole discretion of our board of directors. In addition, the terms of any future debt agreements may preclude us from paying dividends. Any return to stockholders will therefore be limited in the foreseeable future to the appreciation of their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or EGC, as defined in the Jumpstart Our Business Startups Act of 2012, or the JOBS Act. We expect to remain an EGC until December 31, 2026. For so long as we remain an EGC, we are permitted and intend to rely on exemptions from certain disclosure requirements that are applicable to other public companies that are not EGCs. These exemptions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the auditor attestation requirements in the assessment of our internal control over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disclosure obligations regarding executive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stockholder approval of any golden parachute payments not previously approved.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 of 2002, or Section 404.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EGC or a smaller reporting company. We may choose to early adopt any new or revised accounting standards whenever such early adoption is permitted for private companies.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incurred and will continue to incur substantial costs as a result of operating as a public company, and our management has devoted and will continue to be required to devote substantial time to new compliance initiatives and corporate governance practices.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public company, we have incurred and will continue to incur substantial legal, accounting and other expenses. The Sarbanes-Oxley Act of 2002, or the Sarbanes-Oxley Act, the Dodd-Frank Wall Street Reform and Consumer Protection Act, Nasdaq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continue to increase our legal and financial compliance costs and will make some activities more time-consuming and costly.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evaluate developments in these rules and regulations as they are promulgated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materially adversely effected.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Section 404, we are required to furnish a report by our management on our internal control over financial reporting. However, while we remain an EGC or a smaller reporting company with less than $100 million in annual revenue, we will not be required to include an attestation report on internal control over financial reporting issued by our independent registered public accounting firm. To comply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harm our business and have a negative effect on the trading price of our common stock and adversely affect our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required to disclose changes made in our internal controls and procedures on a quarterly basis and our management is required to assess the effectiveness of these controls annually. However, for as long as we are an EGC or a smaller reporting company with less than $100 million in annual revenue, our independent registered public accounting firm will not be required to attest to the effectiveness of our internal control over financial reporting pursuant to Section 404.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common stock and adversely affect our results of operations and financial condition.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public company, we are subject to certain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 over financial reporting,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certain exceptions. Thus, the excise tax could apply to certain transactions that are not traditional stock repurchases. The OBBBA contains numerous tax provisions that may significantly affect our business or financial condition. The recent changes under the OBBBA include tax rate extensions, changes to the business interest deduction limitation, the election to either fully deduct or continue to capitalize and amortize domestic research and development expenditures (in contrast to the continued capitalization and amortization of foreign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expenditures), changes to the bonus depreciation deduction rules, and changes to the international tax framework. Regulatory guidance under the OBBBA and other tax-related legislation is and continues to be forthcoming, and we will utilize such guidance to analyze the impact of such legislation on our business and financial condition. In addition, it is uncertain if and to what extent various states will conform to federal tax legislation.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Provisions in our restated certificate of incorporation and our second amended and restated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such that only one of three classes of directors is elected each year;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the manner in which stockholders can remove directors from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the holders of at least two-thirds of the votes that all our stockholders would be entitled to cast to amend or repeal specified provisions of our certificate of incorporation or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these provisions would apply even if we were to receive an offer that some stockholders may consider beneficial. 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 and increase the costs to our stockholders of bringing such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of breach of a fiduciary duty owed by any of our directors, officers, employees or stockholders to our company or our stockholders;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arising pursuant to any provision of the DGCL or as to which the DGCL confers jurisdiction on the Court of Chancery of the State of Delaware;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arising pursuant to any provision of our certificate of incorporation or bylaws (in each case, as they may be amended from time to time) or governed by the internal affairs doctrine.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choice of forum provisions will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exclusive forum provisions may limit the ability of our stockholders to bring a claim in a judicial forum that such stockholders find favorable for disputes with us or our directors, officers or employees, and increase the costs to such stockholders of bringing such a claim, either of which may discourage such lawsuits against us and our directors, officers and employees. If a court were to find that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pStyle w:val="TextBody"/>
        <w:bidi w:val="0"/>
        <w:spacing w:before="360" w:after="283"/>
        <w:jc w:val="both"/>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(c)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Director and Officer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officers adopted or terminated a Rule 10b5-1 trading arrangement or a non-Rule 10b5-1 trading arrangement (as such terms are defined in Items 408(a) and 408(c) of Regulation S-K, respectively) during the quarterly period covered by this Quarterly Report on Form 10-Q.</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0" w:after="200"/>
        <w:jc w:val="both"/>
        <w:rPr>
          <w:rFonts w:ascii="Times New Roman" w:hAnsi="Times New Roman"/>
          <w:color w:val="000000"/>
          <w:sz w:val="20"/>
        </w:rPr>
      </w:pPr>
      <w:bookmarkStart w:id="16" w:name="item6exhibits_567780"/>
      <w:bookmarkEnd w:id="16"/>
      <w:r>
        <w:rPr>
          <w:rFonts w:ascii="Times New Roman" w:hAnsi="Times New Roman"/>
          <w:color w:val="000000"/>
          <w:sz w:val="20"/>
        </w:rPr>
        <w:t>Item 6. Exhibits</w:t>
      </w:r>
    </w:p>
    <w:p>
      <w:pPr>
        <w:pStyle w:val="TextBody"/>
        <w:bidi w:val="0"/>
        <w:spacing w:before="40" w:after="283"/>
        <w:jc w:val="center"/>
        <w:rPr>
          <w:rFonts w:ascii="Times New Roman" w:hAnsi="Times New Roman"/>
          <w:b/>
          <w:color w:val="000000"/>
          <w:sz w:val="20"/>
        </w:rPr>
      </w:pPr>
      <w:bookmarkStart w:id="17" w:name="exhibitindex_496132"/>
      <w:bookmarkEnd w:id="17"/>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159"/>
        <w:gridCol w:w="9165"/>
      </w:tblGrid>
      <w:tr>
        <w:trPr/>
        <w:tc>
          <w:tcPr>
            <w:tcW w:w="8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65" w:type="dxa"/>
            <w:tcBorders/>
            <w:vAlign w:val="center"/>
          </w:tcPr>
          <w:p>
            <w:pPr>
              <w:pStyle w:val="TableContents"/>
              <w:bidi w:val="0"/>
              <w:spacing w:before="0" w:after="283"/>
              <w:jc w:val="left"/>
              <w:rPr>
                <w:sz w:val="4"/>
                <w:szCs w:val="4"/>
              </w:rPr>
            </w:pPr>
            <w:r>
              <w:rPr>
                <w:sz w:val="4"/>
                <w:szCs w:val="4"/>
              </w:rPr>
            </w:r>
          </w:p>
        </w:tc>
      </w:tr>
      <w:tr>
        <w:trPr/>
        <w:tc>
          <w:tcPr>
            <w:tcW w:w="88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5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65"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Restated Certificate of Incorporation of the Registrant, as amended (incorporated by reference to Exhibit 3.1 to the Registrant's Form 10-K (File No. 001-40925), filed with the Securities and Exchange Commission on March 23, 2026)</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65"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Second Amended and Restated Bylaws of the Registrant (incorporated by reference to Exhibit 3.1 to the Registrant’s Current Report on Form 8-K (File No. 001-40925), filed with the Securities and Exchange Commission on April 3, 2023)</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65"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"https://www.sec.gov/ix?doc=/Archives/edgar/data/0001840233/000119312526187642/xlo-20260428.htm" \l "appendix_a"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Amended and Restated 2021 Stock Incentive Plan (incorporated by reference to Appendix A to the Registrant's Definitive Proxy Statement on Schedule DEF 14A, filed with the Securities and Exchange Commission on April 28, 2026)</w:t>
            </w:r>
            <w:r>
              <w:rPr>
                <w:rStyle w:val="InternetLink"/>
                <w:sz w:val="20"/>
                <w:u w:val="single"/>
                <w:rFonts w:ascii="Times New Roman" w:hAnsi="Times New Roman"/>
                <w:color w:val="0000FF"/>
              </w:rPr>
              <w:fldChar w:fldCharType="end"/>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59" w:type="dxa"/>
            <w:tcBorders/>
            <w:tcMar>
              <w:top w:w="0" w:type="dxa"/>
              <w:left w:w="0" w:type="dxa"/>
              <w:bottom w:w="0" w:type="dxa"/>
              <w:right w:w="0" w:type="dxa"/>
            </w:tcMar>
            <w:vAlign w:val="center"/>
          </w:tcPr>
          <w:p>
            <w:pPr>
              <w:pStyle w:val="TableContents"/>
              <w:bidi w:val="0"/>
              <w:spacing w:before="0" w:after="283"/>
              <w:jc w:val="left"/>
              <w:rPr/>
            </w:pPr>
            <w:r>
              <w:rPr/>
              <w:t> </w:t>
            </w:r>
          </w:p>
        </w:tc>
        <w:tc>
          <w:tcPr>
            <w:tcW w:w="9165" w:type="dxa"/>
            <w:tcBorders/>
            <w:tcMar>
              <w:top w:w="0" w:type="dxa"/>
              <w:left w:w="0" w:type="dxa"/>
              <w:bottom w:w="0" w:type="dxa"/>
              <w:right w:w="0" w:type="dxa"/>
            </w:tcMar>
            <w:vAlign w:val="center"/>
          </w:tcPr>
          <w:p>
            <w:pPr>
              <w:pStyle w:val="TableContents"/>
              <w:bidi w:val="0"/>
              <w:spacing w:before="0" w:after="283"/>
              <w:jc w:val="left"/>
              <w:rPr/>
            </w:pPr>
            <w:hyperlink w:anchor="xlo-ex10_2.htm">
              <w:r>
                <w:rPr>
                  <w:rStyle w:val="InternetLink"/>
                  <w:rFonts w:ascii="Times New Roman" w:hAnsi="Times New Roman"/>
                  <w:color w:val="0000FF"/>
                  <w:sz w:val="20"/>
                  <w:u w:val="single"/>
                </w:rPr>
                <w:t>Third Amended and Restated 2022 Inducement Stock Incentive Plan</w:t>
              </w:r>
            </w:hyperlink>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13"/>
              <w:jc w:val="both"/>
              <w:rPr>
                <w:rFonts w:ascii="Times New Roman" w:hAnsi="Times New Roman"/>
                <w:color w:val="000000"/>
                <w:sz w:val="20"/>
              </w:rPr>
            </w:pPr>
            <w:r>
              <w:rPr>
                <w:rFonts w:ascii="Times New Roman" w:hAnsi="Times New Roman"/>
                <w:color w:val="000000"/>
                <w:sz w:val="20"/>
              </w:rPr>
              <w:t>31.1*</w:t>
            </w:r>
          </w:p>
        </w:tc>
        <w:tc>
          <w:tcPr>
            <w:tcW w:w="159" w:type="dxa"/>
            <w:tcBorders/>
            <w:tcMar>
              <w:top w:w="0" w:type="dxa"/>
              <w:left w:w="0" w:type="dxa"/>
              <w:bottom w:w="0" w:type="dxa"/>
              <w:right w:w="0" w:type="dxa"/>
            </w:tcMar>
            <w:vAlign w:val="center"/>
          </w:tcPr>
          <w:p>
            <w:pPr>
              <w:pStyle w:val="TableContents"/>
              <w:bidi w:val="0"/>
              <w:spacing w:before="0" w:after="283"/>
              <w:ind w:left="0" w:right="0" w:firstLine="13"/>
              <w:jc w:val="both"/>
              <w:rPr/>
            </w:pPr>
            <w:r>
              <w:rPr/>
              <w:t> </w:t>
            </w:r>
          </w:p>
        </w:tc>
        <w:tc>
          <w:tcPr>
            <w:tcW w:w="9165" w:type="dxa"/>
            <w:tcBorders/>
            <w:tcMar>
              <w:top w:w="0" w:type="dxa"/>
              <w:left w:w="0" w:type="dxa"/>
              <w:bottom w:w="0" w:type="dxa"/>
              <w:right w:w="0" w:type="dxa"/>
            </w:tcMar>
            <w:vAlign w:val="center"/>
          </w:tcPr>
          <w:p>
            <w:pPr>
              <w:pStyle w:val="TableContents"/>
              <w:bidi w:val="0"/>
              <w:spacing w:before="0" w:after="283"/>
              <w:ind w:left="0" w:right="0" w:firstLine="13"/>
              <w:jc w:val="both"/>
              <w:rPr/>
            </w:pPr>
            <w:hyperlink w:anchor="xlo-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13"/>
              <w:jc w:val="both"/>
              <w:rPr>
                <w:rFonts w:ascii="Times New Roman" w:hAnsi="Times New Roman"/>
                <w:color w:val="000000"/>
                <w:sz w:val="20"/>
              </w:rPr>
            </w:pPr>
            <w:r>
              <w:rPr>
                <w:rFonts w:ascii="Times New Roman" w:hAnsi="Times New Roman"/>
                <w:color w:val="000000"/>
                <w:sz w:val="20"/>
              </w:rPr>
              <w:t>31.2*</w:t>
            </w:r>
          </w:p>
        </w:tc>
        <w:tc>
          <w:tcPr>
            <w:tcW w:w="159" w:type="dxa"/>
            <w:tcBorders/>
            <w:tcMar>
              <w:top w:w="0" w:type="dxa"/>
              <w:left w:w="0" w:type="dxa"/>
              <w:bottom w:w="0" w:type="dxa"/>
              <w:right w:w="0" w:type="dxa"/>
            </w:tcMar>
            <w:vAlign w:val="center"/>
          </w:tcPr>
          <w:p>
            <w:pPr>
              <w:pStyle w:val="TableContents"/>
              <w:bidi w:val="0"/>
              <w:spacing w:before="0" w:after="283"/>
              <w:ind w:left="0" w:right="0" w:firstLine="13"/>
              <w:jc w:val="both"/>
              <w:rPr/>
            </w:pPr>
            <w:r>
              <w:rPr/>
              <w:t> </w:t>
            </w:r>
          </w:p>
        </w:tc>
        <w:tc>
          <w:tcPr>
            <w:tcW w:w="9165" w:type="dxa"/>
            <w:tcBorders/>
            <w:tcMar>
              <w:top w:w="0" w:type="dxa"/>
              <w:left w:w="0" w:type="dxa"/>
              <w:bottom w:w="0" w:type="dxa"/>
              <w:right w:w="0" w:type="dxa"/>
            </w:tcMar>
            <w:vAlign w:val="center"/>
          </w:tcPr>
          <w:p>
            <w:pPr>
              <w:pStyle w:val="TableContents"/>
              <w:bidi w:val="0"/>
              <w:spacing w:before="0" w:after="283"/>
              <w:ind w:left="0" w:right="0" w:firstLine="13"/>
              <w:jc w:val="both"/>
              <w:rPr/>
            </w:pPr>
            <w:hyperlink w:anchor="xlo-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13"/>
              <w:jc w:val="both"/>
              <w:rPr>
                <w:rFonts w:ascii="Times New Roman" w:hAnsi="Times New Roman"/>
                <w:color w:val="000000"/>
                <w:sz w:val="20"/>
              </w:rPr>
            </w:pPr>
            <w:r>
              <w:rPr>
                <w:rFonts w:ascii="Times New Roman" w:hAnsi="Times New Roman"/>
                <w:color w:val="000000"/>
                <w:sz w:val="20"/>
              </w:rPr>
              <w:t>32.1+</w:t>
            </w:r>
          </w:p>
        </w:tc>
        <w:tc>
          <w:tcPr>
            <w:tcW w:w="159" w:type="dxa"/>
            <w:tcBorders/>
            <w:tcMar>
              <w:top w:w="0" w:type="dxa"/>
              <w:left w:w="0" w:type="dxa"/>
              <w:bottom w:w="0" w:type="dxa"/>
              <w:right w:w="0" w:type="dxa"/>
            </w:tcMar>
            <w:vAlign w:val="center"/>
          </w:tcPr>
          <w:p>
            <w:pPr>
              <w:pStyle w:val="TableContents"/>
              <w:bidi w:val="0"/>
              <w:spacing w:before="0" w:after="283"/>
              <w:ind w:left="0" w:right="0" w:firstLine="13"/>
              <w:jc w:val="both"/>
              <w:rPr/>
            </w:pPr>
            <w:r>
              <w:rPr/>
              <w:t> </w:t>
            </w:r>
          </w:p>
        </w:tc>
        <w:tc>
          <w:tcPr>
            <w:tcW w:w="9165" w:type="dxa"/>
            <w:tcBorders/>
            <w:tcMar>
              <w:top w:w="0" w:type="dxa"/>
              <w:left w:w="0" w:type="dxa"/>
              <w:bottom w:w="0" w:type="dxa"/>
              <w:right w:w="0" w:type="dxa"/>
            </w:tcMar>
            <w:vAlign w:val="center"/>
          </w:tcPr>
          <w:p>
            <w:pPr>
              <w:pStyle w:val="TableContents"/>
              <w:bidi w:val="0"/>
              <w:spacing w:before="0" w:after="283"/>
              <w:ind w:left="0" w:right="0" w:firstLine="13"/>
              <w:jc w:val="both"/>
              <w:rPr/>
            </w:pPr>
            <w:hyperlink w:anchor="xlo-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13"/>
              <w:jc w:val="both"/>
              <w:rPr>
                <w:rFonts w:ascii="Times New Roman" w:hAnsi="Times New Roman"/>
                <w:color w:val="000000"/>
                <w:sz w:val="20"/>
              </w:rPr>
            </w:pPr>
            <w:r>
              <w:rPr>
                <w:rFonts w:ascii="Times New Roman" w:hAnsi="Times New Roman"/>
                <w:color w:val="000000"/>
                <w:sz w:val="20"/>
              </w:rPr>
              <w:t>101.INS*</w:t>
            </w:r>
          </w:p>
        </w:tc>
        <w:tc>
          <w:tcPr>
            <w:tcW w:w="159" w:type="dxa"/>
            <w:tcBorders/>
            <w:tcMar>
              <w:top w:w="0" w:type="dxa"/>
              <w:left w:w="0" w:type="dxa"/>
              <w:bottom w:w="0" w:type="dxa"/>
              <w:right w:w="0" w:type="dxa"/>
            </w:tcMar>
            <w:vAlign w:val="center"/>
          </w:tcPr>
          <w:p>
            <w:pPr>
              <w:pStyle w:val="TableContents"/>
              <w:bidi w:val="0"/>
              <w:spacing w:before="0" w:after="283"/>
              <w:ind w:left="0" w:right="0" w:firstLine="13"/>
              <w:jc w:val="both"/>
              <w:rPr/>
            </w:pPr>
            <w:r>
              <w:rPr/>
              <w:t> </w:t>
            </w:r>
          </w:p>
        </w:tc>
        <w:tc>
          <w:tcPr>
            <w:tcW w:w="9165" w:type="dxa"/>
            <w:tcBorders/>
            <w:tcMar>
              <w:top w:w="0" w:type="dxa"/>
              <w:left w:w="0" w:type="dxa"/>
              <w:bottom w:w="0" w:type="dxa"/>
              <w:right w:w="0" w:type="dxa"/>
            </w:tcMar>
            <w:vAlign w:val="center"/>
          </w:tcPr>
          <w:p>
            <w:pPr>
              <w:pStyle w:val="TableContents"/>
              <w:bidi w:val="0"/>
              <w:spacing w:before="0" w:after="283"/>
              <w:ind w:left="0" w:right="0" w:firstLine="1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13"/>
              <w:jc w:val="both"/>
              <w:rPr>
                <w:rFonts w:ascii="Times New Roman" w:hAnsi="Times New Roman"/>
                <w:color w:val="000000"/>
                <w:sz w:val="20"/>
              </w:rPr>
            </w:pPr>
            <w:r>
              <w:rPr>
                <w:rFonts w:ascii="Times New Roman" w:hAnsi="Times New Roman"/>
                <w:color w:val="000000"/>
                <w:sz w:val="20"/>
              </w:rPr>
              <w:t>101.SCH*</w:t>
            </w:r>
          </w:p>
        </w:tc>
        <w:tc>
          <w:tcPr>
            <w:tcW w:w="159" w:type="dxa"/>
            <w:tcBorders/>
            <w:tcMar>
              <w:top w:w="0" w:type="dxa"/>
              <w:left w:w="0" w:type="dxa"/>
              <w:bottom w:w="0" w:type="dxa"/>
              <w:right w:w="0" w:type="dxa"/>
            </w:tcMar>
            <w:vAlign w:val="center"/>
          </w:tcPr>
          <w:p>
            <w:pPr>
              <w:pStyle w:val="TableContents"/>
              <w:bidi w:val="0"/>
              <w:spacing w:before="0" w:after="283"/>
              <w:ind w:left="0" w:right="0" w:firstLine="13"/>
              <w:jc w:val="both"/>
              <w:rPr/>
            </w:pPr>
            <w:r>
              <w:rPr/>
              <w:t> </w:t>
            </w:r>
          </w:p>
        </w:tc>
        <w:tc>
          <w:tcPr>
            <w:tcW w:w="9165" w:type="dxa"/>
            <w:tcBorders/>
            <w:tcMar>
              <w:top w:w="0" w:type="dxa"/>
              <w:left w:w="0" w:type="dxa"/>
              <w:bottom w:w="0" w:type="dxa"/>
              <w:right w:w="0" w:type="dxa"/>
            </w:tcMar>
            <w:vAlign w:val="center"/>
          </w:tcPr>
          <w:p>
            <w:pPr>
              <w:pStyle w:val="TableContents"/>
              <w:bidi w:val="0"/>
              <w:spacing w:before="0" w:after="283"/>
              <w:ind w:left="0" w:right="0" w:firstLine="13"/>
              <w:jc w:val="both"/>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8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104</w:t>
            </w:r>
          </w:p>
          <w:p>
            <w:pPr>
              <w:pStyle w:val="TableContents"/>
              <w:bidi w:val="0"/>
              <w:spacing w:before="0" w:after="283"/>
              <w:ind w:left="0" w:right="0" w:firstLine="13"/>
              <w:jc w:val="left"/>
              <w:rPr/>
            </w:pPr>
            <w:r>
              <w:rPr/>
              <w:t> </w:t>
            </w:r>
          </w:p>
        </w:tc>
        <w:tc>
          <w:tcPr>
            <w:tcW w:w="159" w:type="dxa"/>
            <w:tcBorders/>
            <w:tcMar>
              <w:top w:w="0" w:type="dxa"/>
              <w:left w:w="0" w:type="dxa"/>
              <w:bottom w:w="0" w:type="dxa"/>
              <w:right w:w="0" w:type="dxa"/>
            </w:tcMar>
            <w:vAlign w:val="center"/>
          </w:tcPr>
          <w:p>
            <w:pPr>
              <w:pStyle w:val="TableContents"/>
              <w:bidi w:val="0"/>
              <w:spacing w:before="0" w:after="283"/>
              <w:ind w:left="0" w:right="0" w:firstLine="13"/>
              <w:jc w:val="both"/>
              <w:rPr/>
            </w:pPr>
            <w:r>
              <w:rPr/>
              <w:t> </w:t>
            </w:r>
          </w:p>
        </w:tc>
        <w:tc>
          <w:tcPr>
            <w:tcW w:w="916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pBdr>
          <w:bottom w:val="single" w:sz="6"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The certifications attached as Exhibit 32.1 are being furnished solely to accompany this Quarterly Report on Form 10-Q and will not be deemed to be “filed” for purposes of Section 18 of the Exchange Act or otherwise subject to the liability of that section. Such certifications will not be deemed to be incorporated by reference into any filing under the Securities Act of 1933, as amended, or the Exchange Act, except to the extent that the Registrant specifically incorporates it by reference into such filing.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bookmarkStart w:id="18" w:name="signatures_824733"/>
      <w:bookmarkEnd w:id="18"/>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663" w:type="dxa"/>
        <w:jc w:val="left"/>
        <w:tblInd w:w="0" w:type="dxa"/>
        <w:tblLayout w:type="fixed"/>
        <w:tblCellMar>
          <w:top w:w="28" w:type="dxa"/>
          <w:left w:w="28" w:type="dxa"/>
          <w:bottom w:w="28" w:type="dxa"/>
          <w:right w:w="28" w:type="dxa"/>
        </w:tblCellMar>
      </w:tblPr>
      <w:tblGrid>
        <w:gridCol w:w="1951"/>
        <w:gridCol w:w="406"/>
        <w:gridCol w:w="430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XILIO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René Russo</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René Russo, Pharm.D.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Frankenfield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Frankenfield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Chief Operating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right"/>
        <w:rPr/>
      </w:pPr>
      <w:bookmarkStart w:id="19" w:name="xlo-ex10_2.htm"/>
      <w:bookmarkStart w:id="20" w:name="ksxloex10_2"/>
      <w:bookmarkEnd w:id="19"/>
      <w:bookmarkEnd w:id="20"/>
      <w:r>
        <w:rPr/>
        <w:t> </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Xilio Therapeutics, Inc.</w:t>
      </w:r>
    </w:p>
    <w:p>
      <w:pPr>
        <w:pStyle w:val="TextBody"/>
        <w:bidi w:val="0"/>
        <w:spacing w:before="0" w:after="240"/>
        <w:jc w:val="center"/>
        <w:rPr>
          <w:rFonts w:ascii="Times New Roman" w:hAnsi="Times New Roman"/>
          <w:sz w:val="20"/>
        </w:rPr>
      </w:pPr>
      <w:r>
        <w:rPr>
          <w:rFonts w:ascii="Times New Roman" w:hAnsi="Times New Roman"/>
          <w:b/>
          <w:color w:val="000000"/>
          <w:sz w:val="24"/>
        </w:rPr>
        <w:t>THIRD AMENDED AND RESTATED</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2022 INDUCEMENT STOCK INCENTIVE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Purpose</w:t>
      </w:r>
    </w:p>
    <w:p>
      <w:pPr>
        <w:pStyle w:val="TextBody"/>
        <w:bidi w:val="0"/>
        <w:spacing w:before="0" w:after="240"/>
        <w:jc w:val="both"/>
        <w:rPr>
          <w:rFonts w:ascii="Times New Roman" w:hAnsi="Times New Roman"/>
          <w:sz w:val="20"/>
        </w:rPr>
      </w:pPr>
      <w:r>
        <w:rPr>
          <w:rFonts w:ascii="Times New Roman" w:hAnsi="Times New Roman"/>
          <w:color w:val="000000"/>
          <w:sz w:val="24"/>
        </w:rPr>
        <w:t>The purpose of this Second Amended and Restated 2022 Inducement Stock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of Xilio Therapeutics,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is to advance the interests of the Company’s stockholders by enhancing the Company’s ability to attract, retain and motivate persons who are expected to make important contributions to the Company with an inducement material for such persons to enter into employment with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hAnsi="Times New Roman"/>
          <w:b/>
          <w:i/>
          <w:color w:val="000000"/>
          <w:sz w:val="24"/>
        </w:rPr>
        <w:t>Company</w:t>
      </w:r>
      <w:r>
        <w:rPr>
          <w:rFonts w:ascii="Times New Roman" w:hAnsi="Times New Roman"/>
          <w:color w:val="000000"/>
          <w:sz w:val="20"/>
        </w:rPr>
        <w:t xml:space="preserve">” </w:t>
      </w:r>
      <w:r>
        <w:rPr>
          <w:rFonts w:ascii="Times New Roman" w:hAnsi="Times New Roman"/>
          <w:color w:val="000000"/>
          <w:sz w:val="24"/>
        </w:rPr>
        <w:t>shall include any of the Company’s present or future parent or subsidiary corporations as defined in Sections 424(e) or (f) of the Internal Revenue Code of 1986, as amended, and any regulations thereunder (the “</w:t>
      </w:r>
      <w:r>
        <w:rPr>
          <w:rFonts w:ascii="Times New Roman" w:hAnsi="Times New Roman"/>
          <w:b/>
          <w:i/>
          <w:color w:val="000000"/>
          <w:sz w:val="24"/>
        </w:rPr>
        <w:t>Code</w:t>
      </w:r>
      <w:r>
        <w:rPr>
          <w:rFonts w:ascii="Times New Roman" w:hAnsi="Times New Roman"/>
          <w:color w:val="000000"/>
          <w:sz w:val="20"/>
        </w:rPr>
        <w:t>”</w:t>
      </w:r>
      <w:r>
        <w:rPr>
          <w:rFonts w:ascii="Times New Roman" w:hAnsi="Times New Roman"/>
          <w:color w:val="000000"/>
          <w:sz w:val="24"/>
        </w:rPr>
        <w:t>) and any other business venture (including, without limitation, joint venture or limited liability company) in which the Company has a controlling interest, as determined by the Board of Directors of the Company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Eligibility</w:t>
      </w:r>
    </w:p>
    <w:p>
      <w:pPr>
        <w:pStyle w:val="TextBody"/>
        <w:bidi w:val="0"/>
        <w:spacing w:before="0" w:after="240"/>
        <w:jc w:val="left"/>
        <w:rPr>
          <w:rFonts w:ascii="Times New Roman" w:hAnsi="Times New Roman"/>
          <w:sz w:val="20"/>
        </w:rPr>
      </w:pPr>
      <w:r>
        <w:rPr>
          <w:rFonts w:ascii="Times New Roman" w:hAnsi="Times New Roman"/>
          <w:color w:val="000000"/>
          <w:sz w:val="24"/>
        </w:rPr>
        <w:t>Awards under the Plan may only be granted to persons who (a) were not previously an employee or director of the Company or (b) are commencing employment with the Company following a bona fide period of non-employment, in either case as an inducement material to the individual’s entering into employment with the Company and in accordance with the requirements of Nasdaq Stock Market Rule 5635(c)(4). For the avoidance of doubt, neither consultants nor advisors shall be eligible to participate in the Plan. Each person who is granted an Award under the Plan is deemed a “</w:t>
      </w:r>
      <w:r>
        <w:rPr>
          <w:rFonts w:ascii="Times New Roman" w:hAnsi="Times New Roman"/>
          <w:b/>
          <w:i/>
          <w:color w:val="000000"/>
          <w:sz w:val="24"/>
        </w:rPr>
        <w:t>Participant</w:t>
      </w:r>
      <w:r>
        <w:rPr>
          <w:rFonts w:ascii="Times New Roman" w:hAnsi="Times New Roman"/>
          <w:color w:val="000000"/>
          <w:sz w:val="24"/>
        </w:rPr>
        <w:t>.” “</w:t>
      </w:r>
      <w:r>
        <w:rPr>
          <w:rFonts w:ascii="Times New Roman" w:hAnsi="Times New Roman"/>
          <w:b/>
          <w:i/>
          <w:color w:val="000000"/>
          <w:sz w:val="24"/>
        </w:rPr>
        <w:t>Award</w:t>
      </w:r>
      <w:r>
        <w:rPr>
          <w:rFonts w:ascii="Times New Roman" w:hAnsi="Times New Roman"/>
          <w:color w:val="000000"/>
          <w:sz w:val="20"/>
        </w:rPr>
        <w:t xml:space="preserve">” </w:t>
      </w:r>
      <w:r>
        <w:rPr>
          <w:rFonts w:ascii="Times New Roman" w:hAnsi="Times New Roman"/>
          <w:color w:val="000000"/>
          <w:sz w:val="24"/>
        </w:rPr>
        <w:t>means Options (as defined in Section 5), SARs (as defined in Section 6), Restricted Stock (as defined in Section 7), Restricted Stock Units (as defined in Section 7) and Other Stock-Based Awards (as defined in Section 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Administration and Delegation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Administration by Board of Directors</w:t>
      </w:r>
      <w:r>
        <w:rPr>
          <w:rFonts w:ascii="Times New Roman" w:hAnsi="Times New Roman"/>
          <w:color w:val="000000"/>
          <w:sz w:val="24"/>
        </w:rPr>
        <w:t xml:space="preserve">.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 Notwithstanding the foregoing or anything in the Plan to the contrary, the grant of any Award under the Plan must be approved by the Company’s independent compensation committee or a majority of the Company’s independent directors (as defined in Nasdaq Stock Market Rule 5605(a)(2)) in order to comply with the exemption from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stockholder approval requirement for “inducement grants” provided under Nasdaq Stock Market Rule 5635(c)(4).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Appointment of Committees</w:t>
      </w:r>
      <w:r>
        <w:rPr>
          <w:rFonts w:ascii="Times New Roman" w:hAnsi="Times New Roman"/>
          <w:color w:val="000000"/>
          <w:sz w:val="24"/>
        </w:rPr>
        <w:t>. To the extent permitted by applicable law and the Nasdaq Stock Market rules, the Board may delegate any or all of its powers under the Plan to one or more committees or subcommittees of the Board (a “</w:t>
      </w:r>
      <w:r>
        <w:rPr>
          <w:rFonts w:ascii="Times New Roman" w:hAnsi="Times New Roman"/>
          <w:b/>
          <w:i/>
          <w:color w:val="000000"/>
          <w:sz w:val="24"/>
        </w:rPr>
        <w:t>Committee</w:t>
      </w:r>
      <w:r>
        <w:rPr>
          <w:color w:val="000000"/>
        </w:rPr>
        <w:t>”</w:t>
      </w:r>
      <w:r>
        <w:rPr>
          <w:rFonts w:ascii="Times New Roman" w:hAnsi="Times New Roman"/>
          <w:color w:val="000000"/>
          <w:sz w:val="24"/>
        </w:rPr>
        <w:t>). All references in the Plan to the “</w:t>
      </w:r>
      <w:r>
        <w:rPr>
          <w:rFonts w:ascii="Times New Roman" w:hAnsi="Times New Roman"/>
          <w:b/>
          <w:i/>
          <w:color w:val="000000"/>
          <w:sz w:val="24"/>
        </w:rPr>
        <w:t>Board</w:t>
      </w:r>
      <w:r>
        <w:rPr>
          <w:color w:val="000000"/>
        </w:rPr>
        <w:t xml:space="preserve">” </w:t>
      </w:r>
      <w:r>
        <w:rPr>
          <w:rFonts w:ascii="Times New Roman" w:hAnsi="Times New Roman"/>
          <w:color w:val="000000"/>
          <w:sz w:val="24"/>
        </w:rPr>
        <w:t>shall mean the Board or a Committee of the Board or the Delegated Persons referred to in Section 3(c) to the extent that the Board’s powers or authority under the Plan have been delegated to such Committee or such Delegated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Delegation to Delegated Persons</w:t>
      </w:r>
      <w:r>
        <w:rPr>
          <w:rFonts w:ascii="Times New Roman" w:hAnsi="Times New Roman"/>
          <w:color w:val="000000"/>
          <w:sz w:val="24"/>
        </w:rPr>
        <w:t>. Subject to any requirements of applicable law (including as applicable Sections 152 and 157(c) of the General Corporation Law of the State of Delaware) and the Nasdaq Stock Market rules, the Board may, by resolution, delegate to one or more persons (including officers of the Company) or bodies (such persons or bodies, the “</w:t>
      </w:r>
      <w:r>
        <w:rPr>
          <w:rFonts w:ascii="Times New Roman" w:hAnsi="Times New Roman"/>
          <w:b/>
          <w:i/>
          <w:color w:val="000000"/>
          <w:sz w:val="24"/>
        </w:rPr>
        <w:t>Delegated Persons</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the power to grant Awards (subject to any limitations under the Plan) to eligible service providers of the Company and to exercise such other powers under the Plan as the Board may determine, provided that the Board shall fix: (i) the maximum number of Awards, and the maximum number of shares issuable upon exercise thereof, that may be issued by such Delegated Persons, (ii) the time period during which such Awards, and during which the shares issuable upon exercise thereof, may be issued, and (iii) the minimum amount of consideration (if any) for which such Awards may be issued, and a minimum amount of consideration for the shares issuable upon exercise thereof; and provided further, that no Delegated Person shall be authorized to grant Awards to any “executive officer” of the Company (as defined by Rule 3b-7 under the Securities Exchange Act of 1934, as amended (the “</w:t>
      </w:r>
      <w:r>
        <w:rPr>
          <w:rFonts w:ascii="Times New Roman" w:hAnsi="Times New Roman"/>
          <w:b/>
          <w:i/>
          <w:color w:val="000000"/>
          <w:sz w:val="24"/>
        </w:rPr>
        <w:t>Exchange Act</w:t>
      </w:r>
      <w:r>
        <w:rPr>
          <w:color w:val="000000"/>
        </w:rPr>
        <w:t>”</w:t>
      </w:r>
      <w:r>
        <w:rPr>
          <w:rFonts w:ascii="Times New Roman" w:hAnsi="Times New Roman"/>
          <w:color w:val="000000"/>
          <w:sz w:val="24"/>
        </w:rPr>
        <w:t>)) or to any “officer” of the Company (as defined by Rule 16a-1(f) under the Exchange Act); and provided further, that to the extent the resolution of the Board is made dependent on facts ascertainable outside the resolution, such facts may not be dependent on a determination or action of the Delegated Person to whom authority has been delegated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Stock Available for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Authorized Number of Shares</w:t>
      </w:r>
      <w:r>
        <w:rPr>
          <w:rFonts w:ascii="Times New Roman" w:hAnsi="Times New Roman"/>
          <w:color w:val="000000"/>
          <w:sz w:val="24"/>
        </w:rPr>
        <w:t>. Subject to adjustment under Section 9, Awards may be made under the Plan for up to 373,555 shares of common stock, $0.0001 par value per share, of the Company (the “</w:t>
      </w:r>
      <w:r>
        <w:rPr>
          <w:rFonts w:ascii="Times New Roman" w:hAnsi="Times New Roman"/>
          <w:b/>
          <w:i/>
          <w:color w:val="000000"/>
          <w:sz w:val="24"/>
        </w:rPr>
        <w:t>Common Stock</w:t>
      </w:r>
      <w:r>
        <w:rPr>
          <w:color w:val="000000"/>
        </w:rPr>
        <w:t>”</w:t>
      </w:r>
      <w:r>
        <w:rPr>
          <w:rFonts w:ascii="Times New Roman" w:hAnsi="Times New Roman"/>
          <w:color w:val="000000"/>
          <w:sz w:val="24"/>
        </w:rPr>
        <w:t>). Shares issued under the Plan may consist in whole or in part of authorized but unissued shares or treasury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Share Counting</w:t>
      </w:r>
      <w:r>
        <w:rPr>
          <w:rFonts w:ascii="Times New Roman" w:hAnsi="Times New Roman"/>
          <w:color w:val="000000"/>
          <w:sz w:val="24"/>
        </w:rPr>
        <w:t>. For purposes of counting the number of shares available for the grant of Awards under the Plan under this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 xml:space="preserve">all shares of Common Stock covered by SARs shall be counted against the number of shares available for the grant of Awards under the Plan; </w:t>
      </w:r>
      <w:r>
        <w:rPr>
          <w:rFonts w:ascii="Times New Roman" w:hAnsi="Times New Roman"/>
          <w:i/>
          <w:color w:val="000000"/>
          <w:sz w:val="24"/>
        </w:rPr>
        <w:t>provided, however</w:t>
      </w:r>
      <w:r>
        <w:rPr>
          <w:rFonts w:ascii="Times New Roman" w:hAnsi="Times New Roman"/>
          <w:color w:val="000000"/>
          <w:sz w:val="24"/>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hAnsi="Times New Roman"/>
          <w:b/>
          <w:i/>
          <w:color w:val="000000"/>
          <w:sz w:val="24"/>
        </w:rPr>
        <w:t>Tandem SAR</w:t>
      </w:r>
      <w:r>
        <w:rPr>
          <w:color w:val="000000"/>
        </w:rPr>
        <w:t>”</w:t>
      </w:r>
      <w:r>
        <w:rPr>
          <w:rFonts w:ascii="Times New Roman" w:hAnsi="Times New Roman"/>
          <w:color w:val="000000"/>
          <w:sz w:val="24"/>
        </w:rPr>
        <w:t>), only the shares covered by the Option, and not the shares covered by the Tandem SAR, shall be so counted, and the expiration of one in connection with the other’s exercise will not restore shares to the Plan;</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a Restricted Stock Unit award may be settled only in cash, no shares shall be counted against the shares available for the grant of Awards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 w:hAnsi="Times New Roman"/>
          <w:i/>
          <w:color w:val="000000"/>
          <w:sz w:val="24"/>
        </w:rPr>
        <w:t>provided, however</w:t>
      </w:r>
      <w:r>
        <w:rPr>
          <w:rFonts w:ascii="Times New Roman" w:hAnsi="Times New Roman"/>
          <w:color w:val="000000"/>
          <w:sz w:val="24"/>
        </w:rPr>
        <w:t>, that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the shares covered by a Tandem SAR shall not again become available for grant upon the expiration or termination of such Tandem SAR;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of Common Stock delivered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be added back to the number of shares available for the future grant of Awards.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The Board may grant options to purchase Common Stock (each, an “</w:t>
      </w:r>
      <w:r>
        <w:rPr>
          <w:rFonts w:ascii="Times New Roman" w:hAnsi="Times New Roman"/>
          <w:b/>
          <w:i/>
          <w:color w:val="000000"/>
          <w:sz w:val="24"/>
        </w:rPr>
        <w:t>Option</w:t>
      </w:r>
      <w:r>
        <w:rPr>
          <w:color w:val="000000"/>
        </w:rPr>
        <w:t>”</w:t>
      </w:r>
      <w:r>
        <w:rPr>
          <w:rFonts w:ascii="Times New Roman" w:hAnsi="Times New Roman"/>
          <w:color w:val="000000"/>
          <w:sz w:val="24"/>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All Options under the Plan shall be Nonstatutory Stock Options. A “</w:t>
      </w:r>
      <w:r>
        <w:rPr>
          <w:rFonts w:ascii="Times New Roman" w:hAnsi="Times New Roman"/>
          <w:b/>
          <w:i/>
          <w:color w:val="000000"/>
          <w:sz w:val="24"/>
        </w:rPr>
        <w:t>Nonstatutory Stock Option</w:t>
      </w:r>
      <w:r>
        <w:rPr>
          <w:color w:val="000000"/>
        </w:rPr>
        <w:t xml:space="preserve">” </w:t>
      </w:r>
      <w:r>
        <w:rPr>
          <w:rFonts w:ascii="Times New Roman" w:hAnsi="Times New Roman"/>
          <w:color w:val="000000"/>
          <w:sz w:val="24"/>
        </w:rPr>
        <w:t>is an Option which is not intended to be an “incentive stock option” within the meaning of Section 422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Exercise Price</w:t>
      </w:r>
      <w:r>
        <w:rPr>
          <w:rFonts w:ascii="Times New Roman" w:hAnsi="Times New Roman"/>
          <w:color w:val="000000"/>
          <w:sz w:val="24"/>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hAnsi="Times New Roman"/>
          <w:i/>
          <w:color w:val="000000"/>
          <w:sz w:val="24"/>
        </w:rPr>
        <w:t>provided</w:t>
      </w:r>
      <w:r>
        <w:rPr>
          <w:color w:val="000000"/>
        </w:rPr>
        <w:t xml:space="preserve"> </w:t>
      </w:r>
      <w:r>
        <w:rPr>
          <w:rFonts w:ascii="Times New Roman" w:hAnsi="Times New Roman"/>
          <w:color w:val="000000"/>
          <w:sz w:val="24"/>
        </w:rPr>
        <w:t>that if the Board approves the grant of an Option with an exercise price to be determined on a future date, the exercise price shall be not less than 100% of the Grant Date Fair Market Value on such future date. “</w:t>
      </w:r>
      <w:r>
        <w:rPr>
          <w:rFonts w:ascii="Times New Roman" w:hAnsi="Times New Roman"/>
          <w:b/>
          <w:i/>
          <w:color w:val="000000"/>
          <w:sz w:val="24"/>
        </w:rPr>
        <w:t>Grant Date Fair Market Value</w:t>
      </w:r>
      <w:r>
        <w:rPr>
          <w:color w:val="000000"/>
        </w:rPr>
        <w:t xml:space="preserve">” </w:t>
      </w:r>
      <w:r>
        <w:rPr>
          <w:rFonts w:ascii="Times New Roman" w:hAnsi="Times New Roman"/>
          <w:color w:val="000000"/>
          <w:sz w:val="24"/>
        </w:rPr>
        <w:t>of a share of Common Stock for purposes of the Plan will be determined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Stock trades on a national securities exchange, the closing sale price (for the primary trading session) on the date of grant; or</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Stock does not trade on any such exchange, the average of the closing bid and asked prices on the date of grant as reported by an over-the-counter marketplace designated by the Board;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Duration of Options</w:t>
      </w:r>
      <w:r>
        <w:rPr>
          <w:rFonts w:ascii="Times New Roman" w:hAnsi="Times New Roman"/>
          <w:color w:val="000000"/>
          <w:sz w:val="24"/>
        </w:rPr>
        <w:t xml:space="preserve">. Each Option shall be exercisable at such times and subject to such terms and conditions as the Board may specify in the applicable Option agreement; </w:t>
      </w:r>
      <w:r>
        <w:rPr>
          <w:rFonts w:ascii="Times New Roman" w:hAnsi="Times New Roman"/>
          <w:i/>
          <w:color w:val="000000"/>
          <w:sz w:val="24"/>
        </w:rPr>
        <w:t>provided, however</w:t>
      </w:r>
      <w:r>
        <w:rPr>
          <w:rFonts w:ascii="Times New Roman" w:hAnsi="Times New Roman"/>
          <w:color w:val="000000"/>
          <w:sz w:val="24"/>
        </w:rPr>
        <w:t>, that no Option will be granted with a term in excess of 10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Exercise of Options</w:t>
      </w:r>
      <w:r>
        <w:rPr>
          <w:rFonts w:ascii="Times New Roman" w:hAnsi="Times New Roman"/>
          <w:color w:val="000000"/>
          <w:sz w:val="24"/>
        </w:rPr>
        <w:t>. Options may be exercised by delivery to the Company of a notice of exercise in a form (which may be electronic, and which may be provided to a third party equity plan administrator) approved by the Company, together with payment in full (in the manner specified in Section 5(e)) of the exercise price for the number of shares for which the Option is exercised. Shares of Common Stock subject to the Option will be delivered by the Company as soon as practicable following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Payment Upon Exercise</w:t>
      </w:r>
      <w:r>
        <w:rPr>
          <w:rFonts w:ascii="Times New Roman" w:hAnsi="Times New Roman"/>
          <w:color w:val="000000"/>
          <w:sz w:val="24"/>
        </w:rPr>
        <w:t>. Common Stock purchased upon the exercise of an Option granted under the Plan shall be paid for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cash or by check, payable to the order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the extent provided for in the applicable Option agreement or approved by the Board, by delivery (either by actual delivery or attestation) of shares of Common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applicable law and provided for in the applicable Option agreement or approved by the Board by payment of such other lawful consideration as the Board may determine;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any combination of the above permitted forms of payment, to the extent approved by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Limitation on Repricing</w:t>
      </w:r>
      <w:r>
        <w:rPr>
          <w:rFonts w:ascii="Times New Roman" w:hAnsi="Times New Roman"/>
          <w:color w:val="000000"/>
          <w:sz w:val="24"/>
        </w:rPr>
        <w:t>. Unless such action is approved by the Company’s stockholders,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the manner approved by) the Board) or (4) take any other action under the Plan that constitutes a “repricing” within the meaning of the rules of the Nasdaq Stock Market or any other exchange or marketplace on which the Company stock is listed or traded (the “</w:t>
      </w:r>
      <w:r>
        <w:rPr>
          <w:rFonts w:ascii="Times New Roman" w:hAnsi="Times New Roman"/>
          <w:b/>
          <w:color w:val="000000"/>
          <w:sz w:val="24"/>
        </w:rPr>
        <w:t>Exchange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No Dividend Equivalents</w:t>
      </w:r>
      <w:r>
        <w:rPr>
          <w:rFonts w:ascii="Times New Roman" w:hAnsi="Times New Roman"/>
          <w:color w:val="000000"/>
          <w:sz w:val="24"/>
        </w:rPr>
        <w:t>. No Option shall provide for the payment or accrual of dividend equivalents.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Stock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The Board may grant Awards consisting of stock appreciation rights (“</w:t>
      </w:r>
      <w:r>
        <w:rPr>
          <w:rFonts w:ascii="Times New Roman" w:hAnsi="Times New Roman"/>
          <w:b/>
          <w:i/>
          <w:color w:val="000000"/>
          <w:sz w:val="24"/>
        </w:rPr>
        <w:t>SARs</w:t>
      </w:r>
      <w:r>
        <w:rPr>
          <w:color w:val="000000"/>
        </w:rPr>
        <w:t>”</w:t>
      </w:r>
      <w:r>
        <w:rPr>
          <w:rFonts w:ascii="Times New Roman" w:hAnsi="Times New Roman"/>
          <w:color w:val="000000"/>
          <w:sz w:val="24"/>
        </w:rPr>
        <w:t xml:space="preserve">)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the manner approved by) the Board) over the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measurement price established pursuant to Section 6(b). The date as of which such appreciation is determined shall be the exercise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Measurement Price</w:t>
      </w:r>
      <w:r>
        <w:rPr>
          <w:rFonts w:ascii="Times New Roman" w:hAnsi="Times New Roman"/>
          <w:color w:val="000000"/>
          <w:sz w:val="24"/>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hAnsi="Times New Roman"/>
          <w:i/>
          <w:color w:val="000000"/>
          <w:sz w:val="24"/>
        </w:rPr>
        <w:t>provided</w:t>
      </w:r>
      <w:r>
        <w:rPr>
          <w:color w:val="000000"/>
        </w:rPr>
        <w:t xml:space="preserve"> </w:t>
      </w:r>
      <w:r>
        <w:rPr>
          <w:rFonts w:ascii="Times New Roman" w:hAnsi="Times New Roman"/>
          <w:color w:val="000000"/>
          <w:sz w:val="24"/>
        </w:rPr>
        <w:t>that if the Board approves the grant of an SAR effective as of a future date, the measurement price shall be not less than 100% of the Grant Date Fair Market Value on such future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Duration of SARs</w:t>
      </w:r>
      <w:r>
        <w:rPr>
          <w:rFonts w:ascii="Times New Roman" w:hAnsi="Times New Roman"/>
          <w:color w:val="000000"/>
          <w:sz w:val="24"/>
        </w:rPr>
        <w:t xml:space="preserve">. Each SAR shall be exercisable at such times and subject to such terms and conditions as the Board may specify in the applicable SAR agreement; </w:t>
      </w:r>
      <w:r>
        <w:rPr>
          <w:rFonts w:ascii="Times New Roman" w:hAnsi="Times New Roman"/>
          <w:i/>
          <w:color w:val="000000"/>
          <w:sz w:val="24"/>
        </w:rPr>
        <w:t>provided, however</w:t>
      </w:r>
      <w:r>
        <w:rPr>
          <w:rFonts w:ascii="Times New Roman" w:hAnsi="Times New Roman"/>
          <w:color w:val="000000"/>
          <w:sz w:val="24"/>
        </w:rPr>
        <w:t>, that no SAR will be granted with a term in excess of 10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Exercise of SARs</w:t>
      </w:r>
      <w:r>
        <w:rPr>
          <w:rFonts w:ascii="Times New Roman" w:hAnsi="Times New Roman"/>
          <w:color w:val="000000"/>
          <w:sz w:val="24"/>
        </w:rPr>
        <w:t>. SARs may be exercised by delivery to the Company of a notice of exercise in a form (which may be electronic) approved by the Company, together with any other documents required by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Limitation on Repricing</w:t>
      </w:r>
      <w:r>
        <w:rPr>
          <w:rFonts w:ascii="Times New Roman" w:hAnsi="Times New Roman"/>
          <w:color w:val="000000"/>
          <w:sz w:val="24"/>
        </w:rPr>
        <w:t>. Unless such action is approved by the Company’s stockholders, the Company may not (except as provided for 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No Dividend Equivalents</w:t>
      </w:r>
      <w:r>
        <w:rPr>
          <w:rFonts w:ascii="Times New Roman" w:hAnsi="Times New Roman"/>
          <w:color w:val="000000"/>
          <w:sz w:val="24"/>
        </w:rPr>
        <w:t>. No SAR shall provide for the payment or accrual of dividend equivalents.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Restricted Stock; 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The Board may grant Awards entitling recipients to acquire shares of Common Stock (“</w:t>
      </w:r>
      <w:r>
        <w:rPr>
          <w:rFonts w:ascii="Times New Roman" w:hAnsi="Times New Roman"/>
          <w:b/>
          <w:i/>
          <w:color w:val="000000"/>
          <w:sz w:val="24"/>
        </w:rPr>
        <w:t>Restricted Stock</w:t>
      </w:r>
      <w:r>
        <w:rPr>
          <w:color w:val="000000"/>
        </w:rPr>
        <w:t>”</w:t>
      </w:r>
      <w:r>
        <w:rPr>
          <w:rFonts w:ascii="Times New Roman" w:hAnsi="Times New Roman"/>
          <w:color w:val="000000"/>
          <w:sz w:val="24"/>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or is settled (“</w:t>
      </w:r>
      <w:r>
        <w:rPr>
          <w:rFonts w:ascii="Times New Roman" w:hAnsi="Times New Roman"/>
          <w:b/>
          <w:i/>
          <w:color w:val="000000"/>
          <w:sz w:val="24"/>
        </w:rPr>
        <w:t>Restricted Stock Units</w:t>
      </w:r>
      <w:r>
        <w:rPr>
          <w:color w:val="000000"/>
        </w:rPr>
        <w:t>”</w:t>
      </w:r>
      <w:r>
        <w:rPr>
          <w:rFonts w:ascii="Times New Roman" w:hAnsi="Times New Roman"/>
          <w:color w:val="000000"/>
          <w:sz w:val="24"/>
        </w:rPr>
        <w:t>) (Restricted Stock and Restricted Stock Units are each referred to herein as a “</w:t>
      </w:r>
      <w:r>
        <w:rPr>
          <w:rFonts w:ascii="Times New Roman" w:hAnsi="Times New Roman"/>
          <w:b/>
          <w:i/>
          <w:color w:val="000000"/>
          <w:sz w:val="24"/>
        </w:rPr>
        <w:t>Restricted Stock Award</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Terms and Conditions for All Restricted Stock Awards</w:t>
      </w:r>
      <w:r>
        <w:rPr>
          <w:rFonts w:ascii="Times New Roman" w:hAnsi="Times New Roman"/>
          <w:color w:val="000000"/>
          <w:sz w:val="24"/>
        </w:rPr>
        <w:t>. The Board shall determine the terms and conditions of a Restricted Stock Award, including the conditions for vesting and repurchase (or forfeiture) and the issue price, if any.</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Additional Provisions Relating to Restricted Stock</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Dividends</w:t>
      </w:r>
      <w:r>
        <w:rPr>
          <w:rFonts w:ascii="Times New Roman" w:hAnsi="Times New Roman"/>
          <w:color w:val="000000"/>
          <w:sz w:val="24"/>
        </w:rPr>
        <w:t>. Any dividends (whether paid in cash, stock or property) declared and paid by the Company with respect to shares of Restricted Stock (“</w:t>
      </w:r>
      <w:r>
        <w:rPr>
          <w:rFonts w:ascii="Times New Roman" w:hAnsi="Times New Roman"/>
          <w:b/>
          <w:i/>
          <w:color w:val="000000"/>
          <w:sz w:val="24"/>
        </w:rPr>
        <w:t>Accrued Dividends</w:t>
      </w:r>
      <w:r>
        <w:rPr>
          <w:color w:val="000000"/>
        </w:rPr>
        <w:t>”</w:t>
      </w:r>
      <w:r>
        <w:rPr>
          <w:rFonts w:ascii="Times New Roman" w:hAnsi="Times New Roman"/>
          <w:color w:val="000000"/>
          <w:sz w:val="24"/>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Stock Certificates</w:t>
      </w:r>
      <w:r>
        <w:rPr>
          <w:rFonts w:ascii="Times New Roman" w:hAnsi="Times New Roman"/>
          <w:color w:val="000000"/>
          <w:sz w:val="24"/>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hAnsi="Times New Roman"/>
          <w:b/>
          <w:i/>
          <w:color w:val="000000"/>
          <w:sz w:val="24"/>
        </w:rPr>
        <w:t>Designated Beneficiary</w:t>
      </w:r>
      <w:r>
        <w:rPr>
          <w:color w:val="000000"/>
        </w:rPr>
        <w:t xml:space="preserve">” </w:t>
      </w:r>
      <w:r>
        <w:rPr>
          <w:rFonts w:ascii="Times New Roman" w:hAnsi="Times New Roman"/>
          <w:color w:val="000000"/>
          <w:sz w:val="24"/>
        </w:rPr>
        <w:t>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Additional Provisions Relating to Restricted Stock Units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Settlement</w:t>
      </w:r>
      <w:r>
        <w:rPr>
          <w:rFonts w:ascii="Times New Roman" w:hAnsi="Times New Roman"/>
          <w:color w:val="000000"/>
          <w:sz w:val="24"/>
        </w:rPr>
        <w:t>. As soon as practicable after the vesting of and/or lapsing of any other restrictions (i.e., settlement) with respect to each Restricted Stock Unit, the Participant shall be entitled to receive from the Company such number of shares of Common Stock or (if so provided in the applicable Award agreement) an amount of cash equal to the fair market value (valued in the manner determined by (or in a manner approved by) the Board) of such number of shares of Common Stock as are set forth in the applicable Restricted Stock Unit agreement. The Board may provide that settlement of Restricted Stock Units shall be deferred, on a mandatory basis or at the election of the Participant in a manner that complies with Section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Voting Rights</w:t>
      </w:r>
      <w:r>
        <w:rPr>
          <w:rFonts w:ascii="Times New Roman" w:hAnsi="Times New Roman"/>
          <w:color w:val="000000"/>
          <w:sz w:val="24"/>
        </w:rPr>
        <w:t>. A Participant shall have no voting rights with respect to any 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Dividend Equivalents</w:t>
      </w:r>
      <w:r>
        <w:rPr>
          <w:rFonts w:ascii="Times New Roman" w:hAnsi="Times New Roman"/>
          <w:color w:val="000000"/>
          <w:sz w:val="24"/>
        </w:rPr>
        <w:t>. The Award agreement for Restricted Stock Units may provide Participants with the right to receive an amount equal to any dividends or other distributions declared and paid on an equal number of outstanding shares of Common Stock (“</w:t>
      </w:r>
      <w:r>
        <w:rPr>
          <w:rFonts w:ascii="Times New Roman" w:hAnsi="Times New Roman"/>
          <w:b/>
          <w:i/>
          <w:color w:val="000000"/>
          <w:sz w:val="24"/>
        </w:rPr>
        <w:t>Dividend Equivalents</w:t>
      </w:r>
      <w:r>
        <w:rPr>
          <w:color w:val="000000"/>
        </w:rPr>
        <w:t>”</w:t>
      </w:r>
      <w:r>
        <w:rPr>
          <w:rFonts w:ascii="Times New Roman" w:hAnsi="Times New Roman"/>
          <w:color w:val="000000"/>
          <w:sz w:val="24"/>
        </w:rPr>
        <w:t>). Dividend Equivalents may be settled in cash and/or shares of Common Stock, as provided in the Award agreement, and shall be subject to the same restrictions on transfer and forfeitability as the Restricted Stock Units with respect to which paid.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Other Stock-Based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xml:space="preserve">. The Board may grant other Awards of shares of Common Stock, and other Awards that are valued in whole or in part by reference to, or are otherwise based on,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shares of Common Stock or other property (“</w:t>
      </w:r>
      <w:r>
        <w:rPr>
          <w:rFonts w:ascii="Times New Roman" w:hAnsi="Times New Roman"/>
          <w:b/>
          <w:i/>
          <w:color w:val="000000"/>
          <w:sz w:val="24"/>
        </w:rPr>
        <w:t>Other Stock-Based Awards</w:t>
      </w:r>
      <w:r>
        <w:rPr>
          <w:color w:val="000000"/>
        </w:rPr>
        <w:t>”</w:t>
      </w:r>
      <w:r>
        <w:rPr>
          <w:rFonts w:ascii="Times New Roman" w:hAnsi="Times New Roman"/>
          <w:color w:val="000000"/>
          <w:sz w:val="24"/>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Terms and Conditions</w:t>
      </w:r>
      <w:r>
        <w:rPr>
          <w:rFonts w:ascii="Times New Roman" w:hAnsi="Times New Roman"/>
          <w:color w:val="000000"/>
          <w:sz w:val="24"/>
        </w:rPr>
        <w:t>. Subject to the provisions of the Plan, the Board shall determine the terms and conditions of each Other Stock-Based Award, including any purchase price applicable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Dividend Equivalents</w:t>
      </w:r>
      <w:r>
        <w:rPr>
          <w:rFonts w:ascii="Times New Roman" w:hAnsi="Times New Roman"/>
          <w:color w:val="000000"/>
          <w:sz w:val="24"/>
        </w:rPr>
        <w:t>. The Award agreement for an Other Stock-Based Award may provide Participants with the right to receive Dividend Equivalents. Dividend Equivalents will be credited to an account for the Participant, may be settled in cash and/or shares of Common Stock as set forth in the Award agreement and shall be subject to the same restrictions on transfer and forfeitability as the Other Stock-Based Award with respect to which paid. No interest will be paid on Dividend Equivalents.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Adjustments for Changes in Common Stock and Certain Other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Changes in Capitalization</w:t>
      </w:r>
      <w:r>
        <w:rPr>
          <w:rFonts w:ascii="Times New Roman" w:hAnsi="Times New Roman"/>
          <w:color w:val="000000"/>
          <w:sz w:val="24"/>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set forth in Section 4,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Restricted Stock Unit award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Reorganization Events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Definition</w:t>
      </w:r>
      <w:r>
        <w:rPr>
          <w:rFonts w:ascii="Times New Roman" w:hAnsi="Times New Roman"/>
          <w:color w:val="000000"/>
          <w:sz w:val="24"/>
        </w:rPr>
        <w:t>. A “</w:t>
      </w:r>
      <w:r>
        <w:rPr>
          <w:rFonts w:ascii="Times New Roman" w:hAnsi="Times New Roman"/>
          <w:b/>
          <w:i/>
          <w:color w:val="000000"/>
          <w:sz w:val="24"/>
        </w:rPr>
        <w:t>Reorganization Event</w:t>
      </w:r>
      <w:r>
        <w:rPr>
          <w:color w:val="000000"/>
        </w:rPr>
        <w:t xml:space="preserve">” </w:t>
      </w:r>
      <w:r>
        <w:rPr>
          <w:rFonts w:ascii="Times New Roman" w:hAnsi="Times New Roman"/>
          <w:color w:val="000000"/>
          <w:sz w:val="24"/>
        </w:rPr>
        <w:t>shall mean: (i) any merger or consolidation of the Company with or into another entity as a result of which all of the Common Stock of the Company is converted into or exchanged for the right to receive cash, securities or other property or is cancelled, (ii) any transfer or disposition of all of the Common Stock of the Company for cash, securities or other property pursuant to a share exchange or other transaction or (iii) any liquidation or dissolution of the Company.</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Consequences of a Reorganization Event on Awards Other than Restricted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hAnsi="Times New Roman"/>
          <w:b/>
          <w:i/>
          <w:color w:val="000000"/>
          <w:sz w:val="24"/>
        </w:rPr>
        <w:t>Acquisition Price</w:t>
      </w:r>
      <w:r>
        <w:rPr>
          <w:color w:val="000000"/>
        </w:rPr>
        <w:t>”</w:t>
      </w:r>
      <w:r>
        <w:rPr>
          <w:rFonts w:ascii="Times New Roman" w:hAnsi="Times New Roman"/>
          <w:color w:val="000000"/>
          <w:sz w:val="24"/>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terms of Section 9(b)(2)(A),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9(b)(2)(A)(i) and the Restricted Stock Units shall instead be settled in accordance with the terms of the applicable Restricted Stock Unit agreement; and (ii) the Board may only undertake the actions set forth in clauses (iii), (iv) or (v) of Section 9(b)(2)(A) if the Reorganization Event constitutes a “change in control event” as 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9(b)(2)(A), then the unvested Restricted Stock Units shall terminate immediately prior to the consummation of the Reorganization Event without any payment in exchange therefor.</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hAnsi="Times New Roman"/>
          <w:i/>
          <w:color w:val="000000"/>
          <w:sz w:val="24"/>
        </w:rPr>
        <w:t>provided, however</w:t>
      </w:r>
      <w:r>
        <w:rPr>
          <w:rFonts w:ascii="Times New Roman" w:hAnsi="Times New Roman"/>
          <w:color w:val="000000"/>
          <w:sz w:val="24"/>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Consequences of a Reorganization Event on Restricted Stock</w:t>
      </w:r>
      <w:r>
        <w:rPr>
          <w:rFonts w:ascii="Times New Roman" w:hAnsi="Times New Roman"/>
          <w:color w:val="000000"/>
          <w:sz w:val="24"/>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hAnsi="Times New Roman"/>
          <w:i/>
          <w:color w:val="000000"/>
          <w:sz w:val="24"/>
        </w:rPr>
        <w:t>provided, however</w:t>
      </w:r>
      <w:r>
        <w:rPr>
          <w:rFonts w:ascii="Times New Roman" w:hAnsi="Times New Roman"/>
          <w:color w:val="000000"/>
          <w:sz w:val="24"/>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General Provisions Applicable to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Transferability of Awards</w:t>
      </w:r>
      <w:r>
        <w:rPr>
          <w:rFonts w:ascii="Times New Roman" w:hAnsi="Times New Roman"/>
          <w:color w:val="000000"/>
          <w:sz w:val="24"/>
        </w:rPr>
        <w:t xml:space="preserve">. Awards shall not be sold, assigned, transferred, pledged or otherwise encumbered by the Participant, either voluntarily or by operation of law, except by will or the laws of descent and distribution or pursuant to a qualified domestic relations order, and, during the life of the Participant, shall be exercisable only by the Participant; </w:t>
      </w:r>
      <w:r>
        <w:rPr>
          <w:rFonts w:ascii="Times New Roman" w:hAnsi="Times New Roman"/>
          <w:i/>
          <w:color w:val="000000"/>
          <w:sz w:val="24"/>
        </w:rPr>
        <w:t>provided, however</w:t>
      </w:r>
      <w:r>
        <w:rPr>
          <w:rFonts w:ascii="Times New Roman" w:hAnsi="Times New Roman"/>
          <w:color w:val="000000"/>
          <w:sz w:val="24"/>
        </w:rPr>
        <w:t xml:space="preserve">, that, except with respect to Awards subject to Section 409A of the Code,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of 1933, as amended, for the registration of the sale of the Common Stock subject to such Award to such proposed transferee; </w:t>
      </w:r>
      <w:r>
        <w:rPr>
          <w:rFonts w:ascii="Times New Roman" w:hAnsi="Times New Roman"/>
          <w:i/>
          <w:color w:val="000000"/>
          <w:sz w:val="24"/>
        </w:rPr>
        <w:t>provided further</w:t>
      </w:r>
      <w:r>
        <w:rPr>
          <w:rFonts w:ascii="Times New Roman" w:hAnsi="Times New Roman"/>
          <w:color w:val="000000"/>
          <w:sz w:val="24"/>
        </w:rPr>
        <w:t xml:space="preserve">, that the Company shall not be required to recognize any such permitted transfer until such time as such permitted transferee shall, as a condition to such transfer, deliver to the Company a written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Documentation; Press Release</w:t>
      </w:r>
      <w:r>
        <w:rPr>
          <w:rFonts w:ascii="Times New Roman" w:hAnsi="Times New Roman"/>
          <w:color w:val="000000"/>
          <w:sz w:val="24"/>
        </w:rPr>
        <w:t>. Each Award shall be evidenced in such form (written, electronic or otherwise) as the Board shall determine. Each Award may contain terms and conditions in addition to those set forth in the Plan. Promptly following the grant of an Award hereunder, the Company must disclose in a press release the material terms of the grant, the number of shares involved, and, if required by law or the rules of the Exchange, the identity of the Participant and each Participant, by accepting the Award, consents to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Board Discretion</w:t>
      </w:r>
      <w:r>
        <w:rPr>
          <w:rFonts w:ascii="Times New Roman" w:hAnsi="Times New Roman"/>
          <w:color w:val="000000"/>
          <w:sz w:val="24"/>
        </w:rPr>
        <w:t>. Except as otherwise provided by the Plan, each Award may be made alone or in addition or in relation to any other Award. The terms of each Award need not be identical, and the Board need not treat Participants uniformly.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Termination of Status</w:t>
      </w:r>
      <w:r>
        <w:rPr>
          <w:rFonts w:ascii="Times New Roman" w:hAnsi="Times New Roman"/>
          <w:color w:val="000000"/>
          <w:sz w:val="24"/>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the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Withholding</w:t>
      </w:r>
      <w:r>
        <w:rPr>
          <w:rFonts w:ascii="Times New Roman" w:hAnsi="Times New Roman"/>
          <w:color w:val="000000"/>
          <w:sz w:val="24"/>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 Shares used to satisfy tax withholding requirements cannot be subject to any repurchase, forfeiture, unfulfilled vesting or other similar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Amendment of Award</w:t>
      </w:r>
      <w:r>
        <w:rPr>
          <w:rFonts w:ascii="Times New Roman" w:hAnsi="Times New Roman"/>
          <w:color w:val="000000"/>
          <w:sz w:val="24"/>
        </w:rPr>
        <w:t>. Except as otherwise provided in Sections 5(f) and 6(e) with respect to repricings, the Board may amend, modify or terminate any outstanding Award, including but not limited to, substituting therefor another Award of the same or a different type and changing the date of exercise or realization.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Conditions on Delivery of Stock</w:t>
      </w:r>
      <w:r>
        <w:rPr>
          <w:rFonts w:ascii="Times New Roman" w:hAnsi="Times New Roman"/>
          <w:color w:val="000000"/>
          <w:sz w:val="24"/>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Acceleration</w:t>
      </w:r>
      <w:r>
        <w:rPr>
          <w:rFonts w:ascii="Times New Roman" w:hAnsi="Times New Roman"/>
          <w:color w:val="000000"/>
          <w:sz w:val="24"/>
        </w:rPr>
        <w:t>. The Board may at any time provide that any Award shall become immediately exercisable in whole or in part, free from some or all restrictions or conditions, or otherwise realizable in whole or in part, as the case may be.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Right To Employment or Other Status</w:t>
      </w:r>
      <w:r>
        <w:rPr>
          <w:rFonts w:ascii="Times New Roman" w:hAnsi="Times New Roman"/>
          <w:color w:val="000000"/>
          <w:sz w:val="24"/>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Rights As Stockholder; Clawback Policy</w:t>
      </w:r>
      <w:r>
        <w:rPr>
          <w:rFonts w:ascii="Times New Roman" w:hAnsi="Times New Roman"/>
          <w:color w:val="000000"/>
          <w:sz w:val="24"/>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a Participant agrees to be bound by any clawback policy the Company has in effect or may adopt in the future.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Effective Date</w:t>
      </w:r>
      <w:r>
        <w:rPr>
          <w:rFonts w:ascii="Times New Roman" w:hAnsi="Times New Roman"/>
          <w:color w:val="000000"/>
          <w:sz w:val="24"/>
        </w:rPr>
        <w:t>. The Plan shall become effective on the date on which it is adopted by the Board. It is expressly intended that approval of the Company’s stockholders not be required as a condition to the effectiveness of the Plan, and the Plan’s provisions shall be interpreted in a manner consistent with such intent for all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Amendment of Plan</w:t>
      </w:r>
      <w:r>
        <w:rPr>
          <w:rFonts w:ascii="Times New Roman" w:hAnsi="Times New Roman"/>
          <w:color w:val="000000"/>
          <w:sz w:val="24"/>
        </w:rPr>
        <w:t xml:space="preserve">. The Board may amend, suspend or terminate the Plan or any portion thereof at any time provided that no amendment that would require stockholder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approval under the rules of the Exchange may be made effective unless and until the Company’s stockholders approve such amendment.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Authorization of Sub-Plans (including for Grants to non-U.S. Employees)</w:t>
      </w:r>
      <w:r>
        <w:rPr>
          <w:rFonts w:ascii="Times New Roman" w:hAnsi="Times New Roman"/>
          <w:color w:val="000000"/>
          <w:sz w:val="24"/>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Compliance with Section 409A of the Code</w:t>
      </w:r>
      <w:r>
        <w:rPr>
          <w:rFonts w:ascii="Times New Roman" w:hAnsi="Times New Roman"/>
          <w:color w:val="000000"/>
          <w:sz w:val="24"/>
        </w:rPr>
        <w:t>. If and to the extent (i)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Times New Roman" w:hAnsi="Times New Roman"/>
          <w:b/>
          <w:i/>
          <w:color w:val="000000"/>
          <w:sz w:val="24"/>
        </w:rPr>
        <w:t>New Payment Date</w:t>
      </w:r>
      <w:r>
        <w:rPr>
          <w:color w:val="000000"/>
        </w:rPr>
        <w:t>”</w:t>
      </w:r>
      <w:r>
        <w:rPr>
          <w:rFonts w:ascii="Times New Roman" w:hAnsi="Times New Roman"/>
          <w:color w:val="000000"/>
          <w:sz w:val="24"/>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Limitations on Liability</w:t>
      </w:r>
      <w:r>
        <w:rPr>
          <w:rFonts w:ascii="Times New Roman" w:hAnsi="Times New Roman"/>
          <w:color w:val="000000"/>
          <w:sz w:val="24"/>
        </w:rPr>
        <w:t xml:space="preserve">.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paid in settlement of a claim with the Board’s approval) arising out of any act or omission to act concerning the Plan unless arising out of such person’s own fraud or bad faith.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Adopted: November 18, 2022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Amended: November 12, 2024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Amended and Restated: March 7, 2025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Second Amended and Restated: January 20, 2026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Third Amended and Restated: June 10, 2026</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Times New Roman" w:hAnsi="Times New Roman"/>
          <w:b/>
          <w:color w:val="000000"/>
          <w:sz w:val="20"/>
        </w:rPr>
      </w:pPr>
      <w:bookmarkStart w:id="21" w:name="xlo-ex31_1.htm"/>
      <w:bookmarkStart w:id="22" w:name="ksxloex31_1"/>
      <w:bookmarkEnd w:id="21"/>
      <w:bookmarkEnd w:id="22"/>
      <w:r>
        <w:rPr>
          <w:rFonts w:ascii="Times New Roman" w:hAnsi="Times New Roman"/>
          <w:b/>
          <w:color w:val="000000"/>
          <w:sz w:val="20"/>
        </w:rPr>
        <w:t>EXHIBIT 31.1</w:t>
      </w:r>
      <w:r>
        <w:br w:type="page"/>
      </w:r>
    </w:p>
    <w:p>
      <w:pPr>
        <w:pStyle w:val="TextBody"/>
        <w:bidi w:val="0"/>
        <w:jc w:val="center"/>
        <w:rPr>
          <w:rFonts w:ascii="Times New Roman" w:hAnsi="Times New Roman"/>
          <w:sz w:val="20"/>
        </w:rPr>
      </w:pPr>
      <w:r>
        <w:rPr>
          <w:rFonts w:ascii="Times New Roman" w:hAnsi="Times New Roman"/>
          <w:b/>
          <w:color w:val="000000"/>
          <w:sz w:val="20"/>
        </w:rPr>
        <w:t>CERTIFICATION OF THE PRINCIPAL EXECUTIVE OFFICER</w:t>
      </w:r>
      <w:r>
        <w:rPr>
          <w:rFonts w:ascii="Times New Roman" w:hAnsi="Times New Roman"/>
          <w:color w:val="000000"/>
          <w:sz w:val="20"/>
        </w:rPr>
        <w:t xml:space="preserve">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René Russo, certify that: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 I have reviewed this Quarterly Report on Form 10-Q of Xilio Therapeutics,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t>Date: August 12, 2026</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646"/>
        <w:gridCol w:w="3166"/>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René Russo</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René Russo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Times New Roman" w:hAnsi="Times New Roman"/>
          <w:b/>
          <w:color w:val="000000"/>
          <w:sz w:val="20"/>
        </w:rPr>
      </w:pPr>
      <w:bookmarkStart w:id="23" w:name="xlo-ex31_2.htm"/>
      <w:bookmarkStart w:id="24" w:name="ksxlo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FINANCIAL OFFICER</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 Christopher Frankenfield, certify that: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 I have reviewed this Quarterly Report on Form 10-Q of Xilio Therapeutics,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Date: August 12, 2026</w:t>
      </w:r>
    </w:p>
    <w:tbl>
      <w:tblPr>
        <w:tblW w:w="5098" w:type="dxa"/>
        <w:jc w:val="left"/>
        <w:tblInd w:w="0" w:type="dxa"/>
        <w:tblLayout w:type="fixed"/>
        <w:tblCellMar>
          <w:top w:w="28" w:type="dxa"/>
          <w:left w:w="28" w:type="dxa"/>
          <w:bottom w:w="28" w:type="dxa"/>
          <w:right w:w="28" w:type="dxa"/>
        </w:tblCellMar>
      </w:tblPr>
      <w:tblGrid>
        <w:gridCol w:w="646"/>
        <w:gridCol w:w="4261"/>
        <w:gridCol w:w="191"/>
      </w:tblGrid>
      <w:tr>
        <w:trPr/>
        <w:tc>
          <w:tcPr>
            <w:tcW w:w="6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Frankenfield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Frankenfield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Chief Operating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Times New Roman" w:hAnsi="Times New Roman"/>
          <w:b/>
          <w:color w:val="000000"/>
          <w:sz w:val="20"/>
        </w:rPr>
      </w:pPr>
      <w:bookmarkStart w:id="25" w:name="xlo-ex32_1.htm"/>
      <w:bookmarkStart w:id="26" w:name="ksxlo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connection with this Quarterly Report on Form 10-Q of Xilio Therapeutics, Inc. (the “Company”) for the three months ended June 30, 2026, as filed with the Securities and Exchange Commission on the date hereof (the “Report”), we, René Russo, President and Chief Executive Officer of the Company, and Christopher Frankenfield, Chief Financial Officer and Chief Operating Officer of the Company, certify, pursuant to 18 U.S.C. § 1350, as adopted pursuant to § 906 of the Sarbanes-Oxley Act of 2002, to our knowledge that: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8668" w:type="dxa"/>
        <w:jc w:val="left"/>
        <w:tblInd w:w="0" w:type="dxa"/>
        <w:tblLayout w:type="fixed"/>
        <w:tblCellMar>
          <w:top w:w="28" w:type="dxa"/>
          <w:left w:w="28" w:type="dxa"/>
          <w:bottom w:w="28" w:type="dxa"/>
          <w:right w:w="28" w:type="dxa"/>
        </w:tblCellMar>
      </w:tblPr>
      <w:tblGrid>
        <w:gridCol w:w="3676"/>
        <w:gridCol w:w="146"/>
        <w:gridCol w:w="484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René Russo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8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Frankenfield</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René Russo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Christopher Frankenfield</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Chief Financial Officer and Chief Operating Officer </w:t>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r>
        <w:trPr/>
        <w:tc>
          <w:tcPr>
            <w:tcW w:w="3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0233/000119312526118550/xlo-ex3_1.htm" TargetMode="External"/><Relationship Id="rId3" Type="http://schemas.openxmlformats.org/officeDocument/2006/relationships/hyperlink" Target="https://www.sec.gov/Archives/edgar/data/1840233/000155837023005393/xlo-20230328xex3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83691</Words>
  <Characters>461540</Characters>
  <CharactersWithSpaces>545701</CharactersWithSpaces>
  <Paragraphs>6964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