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3" w:lineRule="exact"/>
        <w:rPr>
          <w:sz w:val="24"/>
          <w:szCs w:val="24"/>
          <w:color w:val="auto"/>
        </w:rPr>
      </w:pPr>
    </w:p>
    <w:p>
      <w:pPr>
        <w:ind w:left="3820"/>
        <w:spacing w:after="0"/>
        <w:rPr>
          <w:sz w:val="20"/>
          <w:szCs w:val="20"/>
          <w:color w:val="auto"/>
        </w:rPr>
      </w:pPr>
      <w:r>
        <w:rPr>
          <w:rFonts w:ascii="Arial" w:cs="Arial" w:eastAsia="Arial" w:hAnsi="Arial"/>
          <w:sz w:val="248"/>
          <w:szCs w:val="248"/>
          <w:color w:val="FFFFFF"/>
        </w:rPr>
        <w:t>2025</w:t>
      </w:r>
    </w:p>
    <w:p>
      <w:pPr>
        <w:sectPr>
          <w:pgSz w:w="12240" w:h="15840" w:orient="portrait"/>
          <w:cols w:equalWidth="0" w:num="1">
            <w:col w:w="9940"/>
          </w:cols>
          <w:pgMar w:left="1440" w:top="1440" w:right="86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8"/>
          <w:szCs w:val="8"/>
          <w:color w:val="auto"/>
        </w:rPr>
        <w:t>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26035</wp:posOffset>
                </wp:positionV>
                <wp:extent cx="647700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00" cy="4763"/>
                        </a:xfrm>
                        <a:prstGeom prst="line">
                          <a:avLst/>
                        </a:prstGeom>
                        <a:solidFill>
                          <a:srgbClr val="FFFFFF"/>
                        </a:solidFill>
                        <a:ln w="26987">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05pt" to="510pt,2.05pt" o:allowincell="f" strokecolor="#000000" strokeweight="2.125pt"/>
            </w:pict>
          </mc:Fallback>
        </mc:AlternateConten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-114935</wp:posOffset>
                </wp:positionV>
                <wp:extent cx="647700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00" cy="4763"/>
                        </a:xfrm>
                        <a:prstGeom prst="line">
                          <a:avLst/>
                        </a:prstGeom>
                        <a:solidFill>
                          <a:srgbClr val="FFFFFF"/>
                        </a:solidFill>
                        <a:ln w="8991">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9.0499pt" to="510pt,-9.0499pt" o:allowincell="f" strokecolor="#000000" strokeweight="0.708pt"/>
            </w:pict>
          </mc:Fallback>
        </mc:AlternateConten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10-K</w:t>
      </w:r>
    </w:p>
    <w:p>
      <w:pPr>
        <w:spacing w:after="0" w:line="77" w:lineRule="exact"/>
        <w:rPr>
          <w:sz w:val="20"/>
          <w:szCs w:val="20"/>
          <w:color w:val="auto"/>
        </w:rPr>
      </w:pPr>
    </w:p>
    <w:p>
      <w:pPr>
        <w:ind w:left="3680" w:right="2500" w:hanging="3680"/>
        <w:spacing w:after="0" w:line="334" w:lineRule="auto"/>
        <w:tabs>
          <w:tab w:leader="none" w:pos="313" w:val="left"/>
        </w:tabs>
        <w:numPr>
          <w:ilvl w:val="0"/>
          <w:numId w:val="1"/>
        </w:numPr>
        <w:rPr>
          <w:rFonts w:ascii="Segoe UI" w:cs="Segoe UI" w:eastAsia="Segoe UI" w:hAnsi="Segoe UI"/>
          <w:sz w:val="15"/>
          <w:szCs w:val="15"/>
          <w:color w:val="auto"/>
          <w:highlight w:val="black"/>
        </w:rPr>
      </w:pPr>
      <w:r>
        <w:rPr>
          <w:rFonts w:ascii="Times New Roman" w:cs="Times New Roman" w:eastAsia="Times New Roman" w:hAnsi="Times New Roman"/>
          <w:sz w:val="15"/>
          <w:szCs w:val="15"/>
          <w:b w:val="1"/>
          <w:bCs w:val="1"/>
          <w:color w:val="auto"/>
        </w:rPr>
        <w:t>ANNUAL REPORT PURSUANT TO SECTION 13 OR 15(d) OF THE SECURITIES EXCHANGE ACT OF 1934 For the fiscal year ended December 31, 2025</w:t>
      </w:r>
    </w:p>
    <w:p>
      <w:pPr>
        <w:ind w:left="4980"/>
        <w:spacing w:after="0"/>
        <w:rPr>
          <w:rFonts w:ascii="Segoe UI" w:cs="Segoe UI" w:eastAsia="Segoe UI" w:hAnsi="Segoe UI"/>
          <w:sz w:val="15"/>
          <w:szCs w:val="15"/>
          <w:color w:val="auto"/>
          <w:highlight w:val="black"/>
        </w:rPr>
      </w:pPr>
      <w:r>
        <w:rPr>
          <w:rFonts w:ascii="Times New Roman" w:cs="Times New Roman" w:eastAsia="Times New Roman" w:hAnsi="Times New Roman"/>
          <w:sz w:val="15"/>
          <w:szCs w:val="15"/>
          <w:b w:val="1"/>
          <w:bCs w:val="1"/>
          <w:color w:val="auto"/>
        </w:rPr>
        <w:t>OR</w:t>
      </w:r>
    </w:p>
    <w:p>
      <w:pPr>
        <w:spacing w:after="0" w:line="90" w:lineRule="exact"/>
        <w:rPr>
          <w:sz w:val="20"/>
          <w:szCs w:val="20"/>
          <w:color w:val="auto"/>
        </w:rPr>
      </w:pPr>
    </w:p>
    <w:p>
      <w:pPr>
        <w:spacing w:after="0"/>
        <w:rPr>
          <w:sz w:val="20"/>
          <w:szCs w:val="20"/>
          <w:color w:val="auto"/>
        </w:rPr>
      </w:pPr>
      <w:r>
        <w:rPr>
          <w:rFonts w:ascii="Segoe UI" w:cs="Segoe UI" w:eastAsia="Segoe UI" w:hAnsi="Segoe UI"/>
          <w:sz w:val="15"/>
          <w:szCs w:val="15"/>
          <w:color w:val="auto"/>
        </w:rPr>
        <w:t>ն</w:t>
      </w:r>
      <w:r>
        <w:rPr>
          <w:sz w:val="1"/>
          <w:szCs w:val="1"/>
          <w:color w:val="auto"/>
        </w:rPr>
        <w:drawing>
          <wp:inline distT="0" distB="0" distL="0" distR="0">
            <wp:extent cx="4763" cy="698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extLst>
                    </a:blip>
                    <a:srcRect/>
                    <a:stretch>
                      <a:fillRect/>
                    </a:stretch>
                  </pic:blipFill>
                  <pic:spPr bwMode="auto">
                    <a:xfrm>
                      <a:off x="0" y="0"/>
                      <a:ext cx="4763" cy="69850"/>
                    </a:xfrm>
                    <a:prstGeom prst="rect">
                      <a:avLst/>
                    </a:prstGeom>
                    <a:noFill/>
                    <a:ln>
                      <a:noFill/>
                    </a:ln>
                  </pic:spPr>
                </pic:pic>
              </a:graphicData>
            </a:graphic>
          </wp:inline>
        </w:drawing>
        <w:drawing>
          <wp:inline distT="0" distB="0" distL="0" distR="0">
            <wp:extent cx="4763" cy="5842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extLst>
                    </a:blip>
                    <a:srcRect/>
                    <a:stretch>
                      <a:fillRect/>
                    </a:stretch>
                  </pic:blipFill>
                  <pic:spPr bwMode="auto">
                    <a:xfrm>
                      <a:off x="0" y="0"/>
                      <a:ext cx="4763" cy="58420"/>
                    </a:xfrm>
                    <a:prstGeom prst="rect">
                      <a:avLst/>
                    </a:prstGeom>
                    <a:noFill/>
                    <a:ln>
                      <a:noFill/>
                    </a:ln>
                  </pic:spPr>
                </pic:pic>
              </a:graphicData>
            </a:graphic>
          </wp:inline>
        </w:drawing>
        <w:drawing>
          <wp:inline distT="0" distB="0" distL="0" distR="0">
            <wp:extent cx="4763" cy="5842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extLst>
                    </a:blip>
                    <a:srcRect/>
                    <a:stretch>
                      <a:fillRect/>
                    </a:stretch>
                  </pic:blipFill>
                  <pic:spPr bwMode="auto">
                    <a:xfrm>
                      <a:off x="0" y="0"/>
                      <a:ext cx="4763" cy="58420"/>
                    </a:xfrm>
                    <a:prstGeom prst="rect">
                      <a:avLst/>
                    </a:prstGeom>
                    <a:noFill/>
                    <a:ln>
                      <a:noFill/>
                    </a:ln>
                  </pic:spPr>
                </pic:pic>
              </a:graphicData>
            </a:graphic>
          </wp:inline>
        </w:drawing>
        <w:drawing>
          <wp:inline distT="0" distB="0" distL="0" distR="0">
            <wp:extent cx="4763" cy="698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extLst>
                    </a:blip>
                    <a:srcRect/>
                    <a:stretch>
                      <a:fillRect/>
                    </a:stretch>
                  </pic:blipFill>
                  <pic:spPr bwMode="auto">
                    <a:xfrm>
                      <a:off x="0" y="0"/>
                      <a:ext cx="4763" cy="69850"/>
                    </a:xfrm>
                    <a:prstGeom prst="rect">
                      <a:avLst/>
                    </a:prstGeom>
                    <a:noFill/>
                    <a:ln>
                      <a:noFill/>
                    </a:ln>
                  </pic:spPr>
                </pic:pic>
              </a:graphicData>
            </a:graphic>
          </wp:inline>
        </w:drawing>
      </w:r>
      <w:r>
        <w:rPr>
          <w:rFonts w:ascii="Times New Roman" w:cs="Times New Roman" w:eastAsia="Times New Roman" w:hAnsi="Times New Roman"/>
          <w:sz w:val="15"/>
          <w:szCs w:val="15"/>
          <w:b w:val="1"/>
          <w:bCs w:val="1"/>
          <w:color w:val="auto"/>
        </w:rPr>
        <w:t xml:space="preserve">   TRANSITION REPORT PURSUANT TO SECTION 13 OR 15(d) OF THE SECURITIES EXCHANGE ACT OF 1934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-12700</wp:posOffset>
                </wp:positionV>
                <wp:extent cx="70485"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485" cy="4763"/>
                        </a:xfrm>
                        <a:prstGeom prst="line">
                          <a:avLst/>
                        </a:prstGeom>
                        <a:solidFill>
                          <a:srgbClr val="FFFFFF"/>
                        </a:solidFill>
                        <a:ln w="2882">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1pt" to="6pt,-1pt" o:allowincell="f" strokecolor="#000000" strokeweight="0.2269pt"/>
            </w:pict>
          </mc:Fallback>
        </mc:AlternateContent>
        <mc:AlternateContent>
          <mc:Choice Requires="wps">
            <w:drawing>
              <wp:anchor simplePos="0" relativeHeight="251657728" behindDoc="1" locked="0" layoutInCell="0" allowOverlap="1">
                <wp:simplePos x="0" y="0"/>
                <wp:positionH relativeFrom="column">
                  <wp:posOffset>5715</wp:posOffset>
                </wp:positionH>
                <wp:positionV relativeFrom="paragraph">
                  <wp:posOffset>-80010</wp:posOffset>
                </wp:positionV>
                <wp:extent cx="70485"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485" cy="4763"/>
                        </a:xfrm>
                        <a:prstGeom prst="line">
                          <a:avLst/>
                        </a:prstGeom>
                        <a:solidFill>
                          <a:srgbClr val="FFFFFF"/>
                        </a:solidFill>
                        <a:ln w="2882">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6.2999pt" to="6pt,-6.2999pt" o:allowincell="f" strokecolor="#000000" strokeweight="0.2269pt"/>
            </w:pict>
          </mc:Fallback>
        </mc:AlternateContent>
        <mc:AlternateContent>
          <mc:Choice Requires="wps">
            <w:drawing>
              <wp:anchor simplePos="0" relativeHeight="251657728" behindDoc="1" locked="0" layoutInCell="0" allowOverlap="1">
                <wp:simplePos x="0" y="0"/>
                <wp:positionH relativeFrom="column">
                  <wp:posOffset>12065</wp:posOffset>
                </wp:positionH>
                <wp:positionV relativeFrom="paragraph">
                  <wp:posOffset>-74295</wp:posOffset>
                </wp:positionV>
                <wp:extent cx="58420"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420" cy="4763"/>
                        </a:xfrm>
                        <a:prstGeom prst="line">
                          <a:avLst/>
                        </a:prstGeom>
                        <a:solidFill>
                          <a:srgbClr val="FFFFFF"/>
                        </a:solidFill>
                        <a:ln w="2882">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95pt,-5.8499pt" to="5.55pt,-5.8499pt" o:allowincell="f" strokecolor="#000000" strokeweight="0.2269pt"/>
            </w:pict>
          </mc:Fallback>
        </mc:AlternateContent>
        <mc:AlternateContent>
          <mc:Choice Requires="wps">
            <w:drawing>
              <wp:anchor simplePos="0" relativeHeight="251657728" behindDoc="1" locked="0" layoutInCell="0" allowOverlap="1">
                <wp:simplePos x="0" y="0"/>
                <wp:positionH relativeFrom="column">
                  <wp:posOffset>12065</wp:posOffset>
                </wp:positionH>
                <wp:positionV relativeFrom="paragraph">
                  <wp:posOffset>-18415</wp:posOffset>
                </wp:positionV>
                <wp:extent cx="58420"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420" cy="4763"/>
                        </a:xfrm>
                        <a:prstGeom prst="line">
                          <a:avLst/>
                        </a:prstGeom>
                        <a:solidFill>
                          <a:srgbClr val="FFFFFF"/>
                        </a:solidFill>
                        <a:ln w="2882">
                          <a:solidFill>
                            <a:srgbClr val="00000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95pt,-1.4499pt" to="5.55pt,-1.4499pt" o:allowincell="f" strokecolor="#000000" strokeweight="0.2269pt"/>
            </w:pict>
          </mc:Fallback>
        </mc:AlternateContent>
      </w:r>
    </w:p>
    <w:p>
      <w:pPr>
        <w:spacing w:after="0" w:line="6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5"/>
          <w:szCs w:val="15"/>
          <w:b w:val="1"/>
          <w:bCs w:val="1"/>
          <w:color w:val="auto"/>
        </w:rPr>
        <w:t>For the transition period from ________ to ________.</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Commission file number: 001-40925</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XILIO THERAPEUTICS,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(Exact name of registrant as specified in its charter)</w:t>
      </w:r>
    </w:p>
    <w:p>
      <w:pPr>
        <w:spacing w:after="0" w:line="64" w:lineRule="exact"/>
        <w:rPr>
          <w:sz w:val="20"/>
          <w:szCs w:val="20"/>
          <w:color w:val="auto"/>
        </w:rPr>
      </w:pPr>
    </w:p>
    <w:tbl>
      <w:tblPr>
        <w:tblLayout w:type="fixed"/>
        <w:tblInd w:w="700" w:type="dxa"/>
        <w:tblCellMar>
          <w:top w:w="0" w:type="dxa"/>
          <w:left w:w="0" w:type="dxa"/>
          <w:bottom w:w="0" w:type="dxa"/>
          <w:right w:w="0" w:type="dxa"/>
        </w:tblCellMar>
      </w:tblPr>
      <w:tr>
        <w:trPr>
          <w:trHeight w:val="176"/>
        </w:trPr>
        <w:tc>
          <w:tcPr>
            <w:tcW w:w="4780" w:type="dxa"/>
            <w:vAlign w:val="bottom"/>
          </w:tcPr>
          <w:p>
            <w:pPr>
              <w:jc w:val="center"/>
              <w:ind w:right="1004"/>
              <w:spacing w:after="0"/>
              <w:rPr>
                <w:sz w:val="20"/>
                <w:szCs w:val="20"/>
                <w:color w:val="auto"/>
              </w:rPr>
            </w:pPr>
            <w:r>
              <w:rPr>
                <w:rFonts w:ascii="Times New Roman" w:cs="Times New Roman" w:eastAsia="Times New Roman" w:hAnsi="Times New Roman"/>
                <w:sz w:val="15"/>
                <w:szCs w:val="15"/>
                <w:b w:val="1"/>
                <w:bCs w:val="1"/>
                <w:color w:val="auto"/>
              </w:rPr>
              <w:t>Delaware</w:t>
            </w:r>
          </w:p>
        </w:tc>
        <w:tc>
          <w:tcPr>
            <w:tcW w:w="3260" w:type="dxa"/>
            <w:vAlign w:val="bottom"/>
          </w:tcPr>
          <w:p>
            <w:pPr>
              <w:jc w:val="right"/>
              <w:ind w:right="644"/>
              <w:spacing w:after="0"/>
              <w:rPr>
                <w:sz w:val="20"/>
                <w:szCs w:val="20"/>
                <w:color w:val="auto"/>
              </w:rPr>
            </w:pPr>
            <w:r>
              <w:rPr>
                <w:rFonts w:ascii="Times New Roman" w:cs="Times New Roman" w:eastAsia="Times New Roman" w:hAnsi="Times New Roman"/>
                <w:sz w:val="15"/>
                <w:szCs w:val="15"/>
                <w:b w:val="1"/>
                <w:bCs w:val="1"/>
                <w:color w:val="auto"/>
              </w:rPr>
              <w:t>85-1623397</w:t>
            </w:r>
          </w:p>
        </w:tc>
      </w:tr>
      <w:tr>
        <w:trPr>
          <w:trHeight w:val="172"/>
        </w:trPr>
        <w:tc>
          <w:tcPr>
            <w:tcW w:w="4780" w:type="dxa"/>
            <w:vAlign w:val="bottom"/>
          </w:tcPr>
          <w:p>
            <w:pPr>
              <w:jc w:val="center"/>
              <w:ind w:right="1004"/>
              <w:spacing w:after="0"/>
              <w:rPr>
                <w:sz w:val="20"/>
                <w:szCs w:val="20"/>
                <w:color w:val="auto"/>
              </w:rPr>
            </w:pPr>
            <w:r>
              <w:rPr>
                <w:rFonts w:ascii="Times New Roman" w:cs="Times New Roman" w:eastAsia="Times New Roman" w:hAnsi="Times New Roman"/>
                <w:sz w:val="15"/>
                <w:szCs w:val="15"/>
                <w:color w:val="auto"/>
              </w:rPr>
              <w:t>(State of Other Jurisdiction of incorporation or Organization)</w:t>
            </w:r>
          </w:p>
        </w:tc>
        <w:tc>
          <w:tcPr>
            <w:tcW w:w="3260" w:type="dxa"/>
            <w:vAlign w:val="bottom"/>
          </w:tcPr>
          <w:p>
            <w:pPr>
              <w:jc w:val="center"/>
              <w:ind w:left="1004"/>
              <w:spacing w:after="0"/>
              <w:rPr>
                <w:sz w:val="20"/>
                <w:szCs w:val="20"/>
                <w:color w:val="auto"/>
              </w:rPr>
            </w:pPr>
            <w:r>
              <w:rPr>
                <w:rFonts w:ascii="Times New Roman" w:cs="Times New Roman" w:eastAsia="Times New Roman" w:hAnsi="Times New Roman"/>
                <w:sz w:val="15"/>
                <w:szCs w:val="15"/>
                <w:color w:val="auto"/>
              </w:rPr>
              <w:t>(I.R.S. Employer Identification No.)</w:t>
            </w:r>
          </w:p>
        </w:tc>
      </w:tr>
      <w:tr>
        <w:trPr>
          <w:trHeight w:val="176"/>
        </w:trPr>
        <w:tc>
          <w:tcPr>
            <w:tcW w:w="4780" w:type="dxa"/>
            <w:vAlign w:val="bottom"/>
          </w:tcPr>
          <w:p>
            <w:pPr>
              <w:jc w:val="center"/>
              <w:ind w:right="1004"/>
              <w:spacing w:after="0"/>
              <w:rPr>
                <w:sz w:val="20"/>
                <w:szCs w:val="20"/>
                <w:color w:val="auto"/>
              </w:rPr>
            </w:pPr>
            <w:r>
              <w:rPr>
                <w:rFonts w:ascii="Times New Roman" w:cs="Times New Roman" w:eastAsia="Times New Roman" w:hAnsi="Times New Roman"/>
                <w:sz w:val="15"/>
                <w:szCs w:val="15"/>
                <w:b w:val="1"/>
                <w:bCs w:val="1"/>
                <w:color w:val="auto"/>
              </w:rPr>
              <w:t>828 Winter Street, Suite 300, Waltham, MA</w:t>
            </w:r>
          </w:p>
        </w:tc>
        <w:tc>
          <w:tcPr>
            <w:tcW w:w="3260" w:type="dxa"/>
            <w:vAlign w:val="bottom"/>
          </w:tcPr>
          <w:p>
            <w:pPr>
              <w:jc w:val="right"/>
              <w:ind w:right="824"/>
              <w:spacing w:after="0"/>
              <w:rPr>
                <w:sz w:val="20"/>
                <w:szCs w:val="20"/>
                <w:color w:val="auto"/>
              </w:rPr>
            </w:pPr>
            <w:r>
              <w:rPr>
                <w:rFonts w:ascii="Times New Roman" w:cs="Times New Roman" w:eastAsia="Times New Roman" w:hAnsi="Times New Roman"/>
                <w:sz w:val="15"/>
                <w:szCs w:val="15"/>
                <w:b w:val="1"/>
                <w:bCs w:val="1"/>
                <w:color w:val="auto"/>
              </w:rPr>
              <w:t>02451</w:t>
            </w:r>
          </w:p>
        </w:tc>
      </w:tr>
      <w:tr>
        <w:trPr>
          <w:trHeight w:val="203"/>
        </w:trPr>
        <w:tc>
          <w:tcPr>
            <w:tcW w:w="4780" w:type="dxa"/>
            <w:vAlign w:val="bottom"/>
          </w:tcPr>
          <w:p>
            <w:pPr>
              <w:jc w:val="center"/>
              <w:ind w:right="984"/>
              <w:spacing w:after="0"/>
              <w:rPr>
                <w:sz w:val="20"/>
                <w:szCs w:val="20"/>
                <w:color w:val="auto"/>
              </w:rPr>
            </w:pPr>
            <w:r>
              <w:rPr>
                <w:rFonts w:ascii="Times New Roman" w:cs="Times New Roman" w:eastAsia="Times New Roman" w:hAnsi="Times New Roman"/>
                <w:sz w:val="15"/>
                <w:szCs w:val="15"/>
                <w:color w:val="auto"/>
              </w:rPr>
              <w:t>(Address of principal executive offices)</w:t>
            </w:r>
          </w:p>
        </w:tc>
        <w:tc>
          <w:tcPr>
            <w:tcW w:w="3260" w:type="dxa"/>
            <w:vAlign w:val="bottom"/>
          </w:tcPr>
          <w:p>
            <w:pPr>
              <w:jc w:val="center"/>
              <w:ind w:left="1004"/>
              <w:spacing w:after="0"/>
              <w:rPr>
                <w:sz w:val="20"/>
                <w:szCs w:val="20"/>
                <w:color w:val="auto"/>
              </w:rPr>
            </w:pPr>
            <w:r>
              <w:rPr>
                <w:rFonts w:ascii="Times New Roman" w:cs="Times New Roman" w:eastAsia="Times New Roman" w:hAnsi="Times New Roman"/>
                <w:sz w:val="15"/>
                <w:szCs w:val="15"/>
                <w:color w:val="auto"/>
                <w:w w:val="98"/>
              </w:rPr>
              <w:t>(Zip code)</w:t>
            </w:r>
          </w:p>
        </w:tc>
      </w:tr>
    </w:tbl>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Registrant’s telephone number, including area code: (857) 524</w:t>
      </w:r>
      <w:r>
        <w:rPr>
          <w:rFonts w:ascii="Arial" w:cs="Arial" w:eastAsia="Arial" w:hAnsi="Arial"/>
          <w:sz w:val="15"/>
          <w:szCs w:val="15"/>
          <w:color w:val="auto"/>
        </w:rPr>
        <w:t>̻</w:t>
      </w:r>
      <w:r>
        <w:rPr>
          <w:rFonts w:ascii="Times New Roman" w:cs="Times New Roman" w:eastAsia="Times New Roman" w:hAnsi="Times New Roman"/>
          <w:sz w:val="15"/>
          <w:szCs w:val="15"/>
          <w:b w:val="1"/>
          <w:bCs w:val="1"/>
          <w:color w:val="auto"/>
        </w:rPr>
        <w:t>2466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4401820</wp:posOffset>
                </wp:positionH>
                <wp:positionV relativeFrom="paragraph">
                  <wp:posOffset>-46990</wp:posOffset>
                </wp:positionV>
                <wp:extent cx="27305"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305" cy="4763"/>
                        </a:xfrm>
                        <a:prstGeom prst="line">
                          <a:avLst/>
                        </a:prstGeom>
                        <a:solidFill>
                          <a:srgbClr val="FFFFFF"/>
                        </a:solidFill>
                        <a:ln w="2882">
                          <a:solidFill>
                            <a:srgbClr val="00000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6.6pt,-3.6999pt" to="348.75pt,-3.6999pt" o:allowincell="f" strokecolor="#000000" strokeweight="0.2269pt"/>
            </w:pict>
          </mc:Fallback>
        </mc:AlternateContent>
        <mc:AlternateContent>
          <mc:Choice Requires="wps">
            <w:drawing>
              <wp:anchor simplePos="0" relativeHeight="251657728" behindDoc="1" locked="0" layoutInCell="0" allowOverlap="1">
                <wp:simplePos x="0" y="0"/>
                <wp:positionH relativeFrom="column">
                  <wp:posOffset>4401820</wp:posOffset>
                </wp:positionH>
                <wp:positionV relativeFrom="paragraph">
                  <wp:posOffset>-40005</wp:posOffset>
                </wp:positionV>
                <wp:extent cx="27305"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305" cy="4763"/>
                        </a:xfrm>
                        <a:prstGeom prst="line">
                          <a:avLst/>
                        </a:prstGeom>
                        <a:solidFill>
                          <a:srgbClr val="FFFFFF"/>
                        </a:solidFill>
                        <a:ln w="2882">
                          <a:solidFill>
                            <a:srgbClr val="00000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6.6pt,-3.1499pt" to="348.75pt,-3.1499pt" o:allowincell="f" strokecolor="#000000" strokeweight="0.2269pt"/>
            </w:pict>
          </mc:Fallback>
        </mc:AlternateContent>
        <mc:AlternateContent>
          <mc:Choice Requires="wps">
            <w:drawing>
              <wp:anchor simplePos="0" relativeHeight="251657728" behindDoc="1" locked="0" layoutInCell="0" allowOverlap="1">
                <wp:simplePos x="0" y="0"/>
                <wp:positionH relativeFrom="column">
                  <wp:posOffset>4403725</wp:posOffset>
                </wp:positionH>
                <wp:positionV relativeFrom="paragraph">
                  <wp:posOffset>-48260</wp:posOffset>
                </wp:positionV>
                <wp:extent cx="0" cy="9525"/>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525"/>
                        </a:xfrm>
                        <a:prstGeom prst="line">
                          <a:avLst/>
                        </a:prstGeom>
                        <a:solidFill>
                          <a:srgbClr val="FFFFFF"/>
                        </a:solidFill>
                        <a:ln w="2882">
                          <a:solidFill>
                            <a:srgbClr val="000000"/>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6.75pt,-3.7999pt" to="346.75pt,-3.0499pt" o:allowincell="f" strokecolor="#000000" strokeweight="0.2269pt"/>
            </w:pict>
          </mc:Fallback>
        </mc:AlternateContent>
        <mc:AlternateContent>
          <mc:Choice Requires="wps">
            <w:drawing>
              <wp:anchor simplePos="0" relativeHeight="251657728" behindDoc="1" locked="0" layoutInCell="0" allowOverlap="1">
                <wp:simplePos x="0" y="0"/>
                <wp:positionH relativeFrom="column">
                  <wp:posOffset>4427855</wp:posOffset>
                </wp:positionH>
                <wp:positionV relativeFrom="paragraph">
                  <wp:posOffset>-48260</wp:posOffset>
                </wp:positionV>
                <wp:extent cx="0" cy="9525"/>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525"/>
                        </a:xfrm>
                        <a:prstGeom prst="line">
                          <a:avLst/>
                        </a:prstGeom>
                        <a:solidFill>
                          <a:srgbClr val="FFFFFF"/>
                        </a:solidFill>
                        <a:ln w="2882">
                          <a:solidFill>
                            <a:srgbClr val="000000"/>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8.65pt,-3.7999pt" to="348.65pt,-3.0499pt" o:allowincell="f" strokecolor="#000000" strokeweight="0.2269pt"/>
            </w:pict>
          </mc:Fallback>
        </mc:AlternateConten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12(b) of the Act:</w:t>
      </w:r>
    </w:p>
    <w:p>
      <w:pPr>
        <w:sectPr>
          <w:pgSz w:w="12240" w:h="15840" w:orient="portrait"/>
          <w:cols w:equalWidth="0" w:num="1">
            <w:col w:w="10200"/>
          </w:cols>
          <w:pgMar w:left="1020" w:top="1330" w:right="1020" w:bottom="1440" w:gutter="0" w:footer="0" w:header="0"/>
        </w:sectPr>
      </w:pPr>
    </w:p>
    <w:p>
      <w:pPr>
        <w:spacing w:after="0" w:line="94"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5"/>
          <w:szCs w:val="15"/>
          <w:i w:val="1"/>
          <w:iCs w:val="1"/>
          <w:color w:val="auto"/>
        </w:rPr>
        <w:t>Title of Class</w:t>
      </w:r>
    </w:p>
    <w:p>
      <w:pPr>
        <w:spacing w:after="0" w:line="1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5"/>
          <w:szCs w:val="15"/>
          <w:b w:val="1"/>
          <w:bCs w:val="1"/>
          <w:color w:val="auto"/>
        </w:rPr>
        <w:t>Common stock, par value $0.0001 per share</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4"/>
          <w:szCs w:val="14"/>
          <w:i w:val="1"/>
          <w:iCs w:val="1"/>
          <w:color w:val="auto"/>
        </w:rPr>
        <w:t>Trading Symbols</w:t>
      </w:r>
    </w:p>
    <w:p>
      <w:pPr>
        <w:spacing w:after="0" w:line="31"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5"/>
          <w:szCs w:val="15"/>
          <w:b w:val="1"/>
          <w:bCs w:val="1"/>
          <w:color w:val="auto"/>
        </w:rPr>
        <w:t>XLO</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5"/>
          <w:szCs w:val="15"/>
          <w:i w:val="1"/>
          <w:iCs w:val="1"/>
          <w:color w:val="auto"/>
        </w:rPr>
        <w:t>Name of Exchanges on Which Registered</w:t>
      </w:r>
    </w:p>
    <w:p>
      <w:pPr>
        <w:spacing w:after="0" w:line="19"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5"/>
          <w:szCs w:val="15"/>
          <w:b w:val="1"/>
          <w:bCs w:val="1"/>
          <w:color w:val="auto"/>
        </w:rPr>
        <w:t>Nasdaq Capital Market</w:t>
      </w:r>
    </w:p>
    <w:p>
      <w:pPr>
        <w:spacing w:after="0" w:line="64" w:lineRule="exact"/>
        <w:rPr>
          <w:sz w:val="20"/>
          <w:szCs w:val="20"/>
          <w:color w:val="auto"/>
        </w:rPr>
      </w:pPr>
    </w:p>
    <w:p>
      <w:pPr>
        <w:sectPr>
          <w:pgSz w:w="12240" w:h="15840" w:orient="portrait"/>
          <w:cols w:equalWidth="0" w:num="3">
            <w:col w:w="3820" w:space="720"/>
            <w:col w:w="1500" w:space="720"/>
            <w:col w:w="3440"/>
          </w:cols>
          <w:pgMar w:left="1020" w:top="1330" w:right="102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5"/>
          <w:szCs w:val="15"/>
          <w:color w:val="auto"/>
        </w:rPr>
        <w:t xml:space="preserve">Securities registered pursuant to Section 12(g) of the Act: </w:t>
      </w:r>
      <w:r>
        <w:rPr>
          <w:rFonts w:ascii="Times New Roman" w:cs="Times New Roman" w:eastAsia="Times New Roman" w:hAnsi="Times New Roman"/>
          <w:sz w:val="15"/>
          <w:szCs w:val="15"/>
          <w:b w:val="1"/>
          <w:bCs w:val="1"/>
          <w:color w:val="auto"/>
        </w:rPr>
        <w:t>None</w:t>
      </w:r>
    </w:p>
    <w:p>
      <w:pPr>
        <w:spacing w:after="0" w:line="78" w:lineRule="exact"/>
        <w:rPr>
          <w:sz w:val="20"/>
          <w:szCs w:val="20"/>
          <w:color w:val="auto"/>
        </w:rPr>
      </w:pPr>
    </w:p>
    <w:p>
      <w:pPr>
        <w:ind w:left="460" w:right="1600"/>
        <w:spacing w:after="0" w:line="333" w:lineRule="auto"/>
        <w:rPr>
          <w:sz w:val="20"/>
          <w:szCs w:val="20"/>
          <w:color w:val="auto"/>
        </w:rPr>
      </w:pPr>
      <w:r>
        <w:rPr>
          <w:rFonts w:ascii="Times New Roman" w:cs="Times New Roman" w:eastAsia="Times New Roman" w:hAnsi="Times New Roman"/>
          <w:sz w:val="15"/>
          <w:szCs w:val="15"/>
          <w:color w:val="auto"/>
        </w:rPr>
        <w:t xml:space="preserve">Indicate by check mark if the registrant is a well-known seasoned issuer, as defined in Rule 405 of the Securities Act. Yes </w:t>
      </w:r>
      <w:r>
        <w:rPr>
          <w:rFonts w:ascii="Segoe UI" w:cs="Segoe UI" w:eastAsia="Segoe UI" w:hAnsi="Segoe UI"/>
          <w:sz w:val="15"/>
          <w:szCs w:val="15"/>
          <w:color w:val="auto"/>
        </w:rPr>
        <w:t>ն</w:t>
      </w:r>
      <w:r>
        <w:rPr>
          <w:rFonts w:ascii="Times New Roman" w:cs="Times New Roman" w:eastAsia="Times New Roman" w:hAnsi="Times New Roman"/>
          <w:sz w:val="15"/>
          <w:szCs w:val="15"/>
          <w:color w:val="auto"/>
        </w:rPr>
        <w:t xml:space="preserve"> No </w:t>
      </w:r>
      <w:r>
        <w:rPr>
          <w:rFonts w:ascii="Segoe UI" w:cs="Segoe UI" w:eastAsia="Segoe UI" w:hAnsi="Segoe UI"/>
          <w:sz w:val="15"/>
          <w:szCs w:val="15"/>
          <w:color w:val="auto"/>
        </w:rPr>
        <w:t>շ</w:t>
      </w:r>
      <w:r>
        <w:rPr>
          <w:rFonts w:ascii="Times New Roman" w:cs="Times New Roman" w:eastAsia="Times New Roman" w:hAnsi="Times New Roman"/>
          <w:sz w:val="15"/>
          <w:szCs w:val="15"/>
          <w:color w:val="auto"/>
        </w:rPr>
        <w:t xml:space="preserve"> Indicate by check mark if the registrant is not required to file reports pursuant to Section 13 or Section 15(d) of the Act. Yes </w:t>
      </w:r>
      <w:r>
        <w:rPr>
          <w:rFonts w:ascii="Segoe UI" w:cs="Segoe UI" w:eastAsia="Segoe UI" w:hAnsi="Segoe UI"/>
          <w:sz w:val="15"/>
          <w:szCs w:val="15"/>
          <w:color w:val="auto"/>
        </w:rPr>
        <w:t>ն</w:t>
      </w:r>
      <w:r>
        <w:rPr>
          <w:rFonts w:ascii="Times New Roman" w:cs="Times New Roman" w:eastAsia="Times New Roman" w:hAnsi="Times New Roman"/>
          <w:sz w:val="15"/>
          <w:szCs w:val="15"/>
          <w:color w:val="auto"/>
        </w:rPr>
        <w:t xml:space="preserve"> No </w:t>
      </w:r>
      <w:r>
        <w:rPr>
          <w:rFonts w:ascii="Segoe UI" w:cs="Segoe UI" w:eastAsia="Segoe UI" w:hAnsi="Segoe UI"/>
          <w:sz w:val="15"/>
          <w:szCs w:val="15"/>
          <w:color w:val="auto"/>
        </w:rPr>
        <w:t>շ</w:t>
      </w:r>
    </w:p>
    <w:p>
      <w:pPr>
        <w:ind w:right="40" w:firstLine="462"/>
        <w:spacing w:after="0" w:line="252" w:lineRule="auto"/>
        <w:rPr>
          <w:sz w:val="20"/>
          <w:szCs w:val="20"/>
          <w:color w:val="auto"/>
        </w:rPr>
      </w:pPr>
      <w:r>
        <w:rPr>
          <w:rFonts w:ascii="Times New Roman" w:cs="Times New Roman" w:eastAsia="Times New Roman" w:hAnsi="Times New Roman"/>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90 days. Yes </w:t>
      </w:r>
      <w:r>
        <w:rPr>
          <w:rFonts w:ascii="Segoe UI" w:cs="Segoe UI" w:eastAsia="Segoe UI" w:hAnsi="Segoe UI"/>
          <w:sz w:val="15"/>
          <w:szCs w:val="15"/>
          <w:color w:val="auto"/>
        </w:rPr>
        <w:t>շ</w:t>
      </w:r>
      <w:r>
        <w:rPr>
          <w:rFonts w:ascii="Times New Roman" w:cs="Times New Roman" w:eastAsia="Times New Roman" w:hAnsi="Times New Roman"/>
          <w:sz w:val="15"/>
          <w:szCs w:val="15"/>
          <w:color w:val="auto"/>
        </w:rPr>
        <w:t xml:space="preserve"> No </w:t>
      </w:r>
      <w:r>
        <w:rPr>
          <w:rFonts w:ascii="Segoe UI" w:cs="Segoe UI" w:eastAsia="Segoe UI" w:hAnsi="Segoe UI"/>
          <w:sz w:val="15"/>
          <w:szCs w:val="15"/>
          <w:color w:val="auto"/>
        </w:rPr>
        <w:t>ն</w:t>
      </w:r>
    </w:p>
    <w:p>
      <w:pPr>
        <w:spacing w:after="0" w:line="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Indicate by check mark whether the Registrant has submitted electronically; every Interactive Data File required to be submitted pursuant to Rule 405 of</w:t>
      </w:r>
    </w:p>
    <w:p>
      <w:pPr>
        <w:spacing w:after="0" w:line="1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5"/>
          <w:szCs w:val="15"/>
          <w:color w:val="auto"/>
        </w:rPr>
        <w:t xml:space="preserve">Regulation S-T (§232.0405 of this chapter) during the preceding 12 months (or for such shorter period that the registrant was required to submit such files). Yes </w:t>
      </w:r>
      <w:r>
        <w:rPr>
          <w:rFonts w:ascii="Segoe UI" w:cs="Segoe UI" w:eastAsia="Segoe UI" w:hAnsi="Segoe UI"/>
          <w:sz w:val="15"/>
          <w:szCs w:val="15"/>
          <w:color w:val="auto"/>
        </w:rPr>
        <w:t>շ</w:t>
      </w:r>
      <w:r>
        <w:rPr>
          <w:rFonts w:ascii="Times New Roman" w:cs="Times New Roman" w:eastAsia="Times New Roman" w:hAnsi="Times New Roman"/>
          <w:sz w:val="15"/>
          <w:szCs w:val="15"/>
          <w:color w:val="auto"/>
        </w:rPr>
        <w:t xml:space="preserve"> No </w:t>
      </w:r>
      <w:r>
        <w:rPr>
          <w:rFonts w:ascii="Segoe UI" w:cs="Segoe UI" w:eastAsia="Segoe UI" w:hAnsi="Segoe UI"/>
          <w:sz w:val="15"/>
          <w:szCs w:val="15"/>
          <w:color w:val="auto"/>
        </w:rPr>
        <w:t>ն</w:t>
      </w:r>
    </w:p>
    <w:p>
      <w:pPr>
        <w:spacing w:after="0" w:line="248" w:lineRule="exact"/>
        <w:rPr>
          <w:sz w:val="20"/>
          <w:szCs w:val="20"/>
          <w:color w:val="auto"/>
        </w:rPr>
      </w:pPr>
    </w:p>
    <w:p>
      <w:pPr>
        <w:ind w:right="140" w:firstLine="462"/>
        <w:spacing w:after="0" w:line="270"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w:t>
      </w:r>
      <w:r>
        <w:rPr>
          <w:rFonts w:ascii="Arial" w:cs="Arial" w:eastAsia="Arial" w:hAnsi="Arial"/>
          <w:sz w:val="15"/>
          <w:szCs w:val="15"/>
          <w:color w:val="auto"/>
        </w:rPr>
        <w:t>̻</w:t>
      </w:r>
      <w:r>
        <w:rPr>
          <w:rFonts w:ascii="Times New Roman" w:cs="Times New Roman" w:eastAsia="Times New Roman" w:hAnsi="Times New Roman"/>
          <w:sz w:val="15"/>
          <w:szCs w:val="15"/>
          <w:color w:val="auto"/>
        </w:rPr>
        <w:t>2 of the Exchange Act.</w:t>
      </w:r>
    </w:p>
    <w:p>
      <w:pPr>
        <w:spacing w:after="0" w:line="91" w:lineRule="exact"/>
        <w:rPr>
          <w:sz w:val="20"/>
          <w:szCs w:val="20"/>
          <w:color w:val="auto"/>
        </w:rPr>
      </w:pPr>
    </w:p>
    <w:p>
      <w:pPr>
        <w:spacing w:after="0"/>
        <w:tabs>
          <w:tab w:leader="none" w:pos="2180" w:val="left"/>
          <w:tab w:leader="none" w:pos="4040" w:val="left"/>
          <w:tab w:leader="none" w:pos="5960" w:val="left"/>
          <w:tab w:leader="none" w:pos="8040" w:val="left"/>
        </w:tabs>
        <w:rPr>
          <w:sz w:val="20"/>
          <w:szCs w:val="20"/>
          <w:color w:val="auto"/>
        </w:rPr>
      </w:pPr>
      <w:r>
        <w:rPr>
          <w:rFonts w:ascii="Times New Roman" w:cs="Times New Roman" w:eastAsia="Times New Roman" w:hAnsi="Times New Roman"/>
          <w:sz w:val="15"/>
          <w:szCs w:val="15"/>
          <w:color w:val="auto"/>
        </w:rPr>
        <w:t xml:space="preserve">Large accelerated filer </w:t>
      </w:r>
      <w:r>
        <w:rPr>
          <w:rFonts w:ascii="Segoe UI" w:cs="Segoe UI" w:eastAsia="Segoe UI" w:hAnsi="Segoe UI"/>
          <w:sz w:val="15"/>
          <w:szCs w:val="15"/>
          <w:color w:val="auto"/>
        </w:rPr>
        <w:t>ն</w:t>
      </w:r>
      <w:r>
        <w:rPr>
          <w:sz w:val="20"/>
          <w:szCs w:val="20"/>
          <w:color w:val="auto"/>
        </w:rPr>
        <w:tab/>
      </w:r>
      <w:r>
        <w:rPr>
          <w:rFonts w:ascii="Times New Roman" w:cs="Times New Roman" w:eastAsia="Times New Roman" w:hAnsi="Times New Roman"/>
          <w:sz w:val="15"/>
          <w:szCs w:val="15"/>
          <w:color w:val="auto"/>
        </w:rPr>
        <w:t xml:space="preserve">Accelerated filer </w:t>
      </w:r>
      <w:r>
        <w:rPr>
          <w:rFonts w:ascii="Segoe UI" w:cs="Segoe UI" w:eastAsia="Segoe UI" w:hAnsi="Segoe UI"/>
          <w:sz w:val="15"/>
          <w:szCs w:val="15"/>
          <w:color w:val="auto"/>
        </w:rPr>
        <w:t>ն</w:t>
      </w:r>
      <w:r>
        <w:rPr>
          <w:sz w:val="20"/>
          <w:szCs w:val="20"/>
          <w:color w:val="auto"/>
        </w:rPr>
        <w:tab/>
      </w:r>
      <w:r>
        <w:rPr>
          <w:rFonts w:ascii="Times New Roman" w:cs="Times New Roman" w:eastAsia="Times New Roman" w:hAnsi="Times New Roman"/>
          <w:sz w:val="15"/>
          <w:szCs w:val="15"/>
          <w:color w:val="auto"/>
        </w:rPr>
        <w:t xml:space="preserve">Non-accelerated filer </w:t>
      </w:r>
      <w:r>
        <w:rPr>
          <w:rFonts w:ascii="Segoe UI" w:cs="Segoe UI" w:eastAsia="Segoe UI" w:hAnsi="Segoe UI"/>
          <w:sz w:val="15"/>
          <w:szCs w:val="15"/>
          <w:color w:val="auto"/>
        </w:rPr>
        <w:t>շ</w:t>
      </w:r>
      <w:r>
        <w:rPr>
          <w:sz w:val="20"/>
          <w:szCs w:val="20"/>
          <w:color w:val="auto"/>
        </w:rPr>
        <w:tab/>
      </w:r>
      <w:r>
        <w:rPr>
          <w:rFonts w:ascii="Times New Roman" w:cs="Times New Roman" w:eastAsia="Times New Roman" w:hAnsi="Times New Roman"/>
          <w:sz w:val="15"/>
          <w:szCs w:val="15"/>
          <w:color w:val="auto"/>
        </w:rPr>
        <w:t xml:space="preserve">Smaller reporting company </w:t>
      </w:r>
      <w:r>
        <w:rPr>
          <w:rFonts w:ascii="Segoe UI" w:cs="Segoe UI" w:eastAsia="Segoe UI" w:hAnsi="Segoe UI"/>
          <w:sz w:val="15"/>
          <w:szCs w:val="15"/>
          <w:color w:val="auto"/>
        </w:rPr>
        <w:t>շ</w:t>
      </w:r>
      <w:r>
        <w:rPr>
          <w:sz w:val="20"/>
          <w:szCs w:val="20"/>
          <w:color w:val="auto"/>
        </w:rPr>
        <w:tab/>
      </w:r>
      <w:r>
        <w:rPr>
          <w:rFonts w:ascii="Times New Roman" w:cs="Times New Roman" w:eastAsia="Times New Roman" w:hAnsi="Times New Roman"/>
          <w:sz w:val="15"/>
          <w:szCs w:val="15"/>
          <w:color w:val="auto"/>
        </w:rPr>
        <w:t xml:space="preserve">Emerging growth company </w:t>
      </w:r>
      <w:r>
        <w:rPr>
          <w:rFonts w:ascii="Segoe UI" w:cs="Segoe UI" w:eastAsia="Segoe UI" w:hAnsi="Segoe UI"/>
          <w:sz w:val="15"/>
          <w:szCs w:val="15"/>
          <w:color w:val="auto"/>
        </w:rPr>
        <w:t>շ</w:t>
      </w:r>
    </w:p>
    <w:p>
      <w:pPr>
        <w:spacing w:after="0" w:line="132" w:lineRule="exact"/>
        <w:rPr>
          <w:sz w:val="20"/>
          <w:szCs w:val="20"/>
          <w:color w:val="auto"/>
        </w:rPr>
      </w:pPr>
    </w:p>
    <w:p>
      <w:pPr>
        <w:ind w:right="260" w:firstLine="462"/>
        <w:spacing w:after="0" w:line="290" w:lineRule="auto"/>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w:cs="Segoe UI" w:eastAsia="Segoe UI" w:hAnsi="Segoe UI"/>
          <w:sz w:val="15"/>
          <w:szCs w:val="15"/>
          <w:color w:val="auto"/>
        </w:rPr>
        <w:t>ն</w:t>
      </w:r>
    </w:p>
    <w:p>
      <w:pPr>
        <w:spacing w:after="0" w:line="1" w:lineRule="exact"/>
        <w:rPr>
          <w:sz w:val="20"/>
          <w:szCs w:val="20"/>
          <w:color w:val="auto"/>
        </w:rPr>
      </w:pPr>
    </w:p>
    <w:p>
      <w:pPr>
        <w:jc w:val="both"/>
        <w:ind w:right="20" w:firstLine="462"/>
        <w:spacing w:after="0" w:line="252" w:lineRule="auto"/>
        <w:rPr>
          <w:sz w:val="20"/>
          <w:szCs w:val="20"/>
          <w:color w:val="auto"/>
        </w:rPr>
      </w:pPr>
      <w:r>
        <w:rPr>
          <w:rFonts w:ascii="Times New Roman" w:cs="Times New Roman" w:eastAsia="Times New Roman" w:hAnsi="Times New Roman"/>
          <w:sz w:val="15"/>
          <w:szCs w:val="15"/>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1" w:lineRule="exact"/>
        <w:rPr>
          <w:sz w:val="20"/>
          <w:szCs w:val="20"/>
          <w:color w:val="auto"/>
        </w:rPr>
      </w:pPr>
    </w:p>
    <w:p>
      <w:pPr>
        <w:spacing w:after="0"/>
        <w:rPr>
          <w:sz w:val="20"/>
          <w:szCs w:val="20"/>
          <w:color w:val="auto"/>
        </w:rPr>
      </w:pPr>
      <w:r>
        <w:rPr>
          <w:rFonts w:ascii="Segoe UI" w:cs="Segoe UI" w:eastAsia="Segoe UI" w:hAnsi="Segoe UI"/>
          <w:sz w:val="15"/>
          <w:szCs w:val="15"/>
          <w:color w:val="auto"/>
        </w:rPr>
        <w:t>ն</w:t>
      </w:r>
    </w:p>
    <w:p>
      <w:pPr>
        <w:spacing w:after="0" w:line="62" w:lineRule="exact"/>
        <w:rPr>
          <w:sz w:val="20"/>
          <w:szCs w:val="20"/>
          <w:color w:val="auto"/>
        </w:rPr>
      </w:pPr>
    </w:p>
    <w:p>
      <w:pPr>
        <w:ind w:right="200" w:firstLine="462"/>
        <w:spacing w:after="0" w:line="290" w:lineRule="auto"/>
        <w:rPr>
          <w:sz w:val="20"/>
          <w:szCs w:val="20"/>
          <w:color w:val="auto"/>
        </w:rPr>
      </w:pPr>
      <w:r>
        <w:rPr>
          <w:rFonts w:ascii="Times New Roman" w:cs="Times New Roman" w:eastAsia="Times New Roman" w:hAnsi="Times New Roman"/>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w:cs="Segoe UI" w:eastAsia="Segoe UI" w:hAnsi="Segoe UI"/>
          <w:sz w:val="15"/>
          <w:szCs w:val="15"/>
          <w:color w:val="auto"/>
        </w:rPr>
        <w:t>ն</w:t>
      </w:r>
    </w:p>
    <w:p>
      <w:pPr>
        <w:spacing w:after="0" w:line="1" w:lineRule="exact"/>
        <w:rPr>
          <w:sz w:val="20"/>
          <w:szCs w:val="20"/>
          <w:color w:val="auto"/>
        </w:rPr>
      </w:pPr>
    </w:p>
    <w:p>
      <w:pPr>
        <w:ind w:right="200" w:firstLine="462"/>
        <w:spacing w:after="0" w:line="290" w:lineRule="auto"/>
        <w:rPr>
          <w:sz w:val="20"/>
          <w:szCs w:val="20"/>
          <w:color w:val="auto"/>
        </w:rPr>
      </w:pPr>
      <w:r>
        <w:rPr>
          <w:rFonts w:ascii="Times New Roman" w:cs="Times New Roman" w:eastAsia="Times New Roman" w:hAnsi="Times New Roman"/>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Section 240.10D-1(b). </w:t>
      </w:r>
      <w:r>
        <w:rPr>
          <w:rFonts w:ascii="Segoe UI" w:cs="Segoe UI" w:eastAsia="Segoe UI" w:hAnsi="Segoe UI"/>
          <w:sz w:val="15"/>
          <w:szCs w:val="15"/>
          <w:color w:val="auto"/>
        </w:rPr>
        <w:t>ն</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Indicate by check mark whether the registrant is a shell company (as defined in Rule 12b</w:t>
      </w:r>
      <w:r>
        <w:rPr>
          <w:rFonts w:ascii="Arial" w:cs="Arial" w:eastAsia="Arial" w:hAnsi="Arial"/>
          <w:sz w:val="15"/>
          <w:szCs w:val="15"/>
          <w:color w:val="auto"/>
        </w:rPr>
        <w:t>̻</w:t>
      </w:r>
      <w:r>
        <w:rPr>
          <w:rFonts w:ascii="Times New Roman" w:cs="Times New Roman" w:eastAsia="Times New Roman" w:hAnsi="Times New Roman"/>
          <w:sz w:val="15"/>
          <w:szCs w:val="15"/>
          <w:color w:val="auto"/>
        </w:rPr>
        <w:t xml:space="preserve">2 of the Exchange Act). Yes </w:t>
      </w:r>
      <w:r>
        <w:rPr>
          <w:rFonts w:ascii="Segoe UI" w:cs="Segoe UI" w:eastAsia="Segoe UI" w:hAnsi="Segoe UI"/>
          <w:sz w:val="15"/>
          <w:szCs w:val="15"/>
          <w:color w:val="auto"/>
        </w:rPr>
        <w:t>ն</w:t>
      </w:r>
      <w:r>
        <w:rPr>
          <w:rFonts w:ascii="Times New Roman" w:cs="Times New Roman" w:eastAsia="Times New Roman" w:hAnsi="Times New Roman"/>
          <w:sz w:val="15"/>
          <w:szCs w:val="15"/>
          <w:color w:val="auto"/>
        </w:rPr>
        <w:t xml:space="preserve"> No </w:t>
      </w:r>
      <w:r>
        <w:rPr>
          <w:rFonts w:ascii="Segoe UI" w:cs="Segoe UI" w:eastAsia="Segoe UI" w:hAnsi="Segoe UI"/>
          <w:sz w:val="15"/>
          <w:szCs w:val="15"/>
          <w:color w:val="auto"/>
        </w:rPr>
        <w:t>շ</w:t>
      </w:r>
    </w:p>
    <w:p>
      <w:pPr>
        <w:spacing w:after="0" w:line="83" w:lineRule="exact"/>
        <w:rPr>
          <w:sz w:val="20"/>
          <w:szCs w:val="20"/>
          <w:color w:val="auto"/>
        </w:rPr>
      </w:pPr>
    </w:p>
    <w:p>
      <w:pPr>
        <w:ind w:right="280" w:firstLine="462"/>
        <w:spacing w:after="0" w:line="283" w:lineRule="auto"/>
        <w:rPr>
          <w:sz w:val="20"/>
          <w:szCs w:val="20"/>
          <w:color w:val="auto"/>
        </w:rPr>
      </w:pPr>
      <w:r>
        <w:rPr>
          <w:rFonts w:ascii="Times New Roman" w:cs="Times New Roman" w:eastAsia="Times New Roman" w:hAnsi="Times New Roman"/>
          <w:sz w:val="15"/>
          <w:szCs w:val="15"/>
          <w:color w:val="auto"/>
        </w:rPr>
        <w:t>As of June 30, 2025, the last business day of the registrant’s most recently completed second fiscal quarter, the aggregate market value of the common stock held by non-affiliates of the registrant was approximately $34.9 million based on the closing price of the registrant’s common stock on June 30, 2025.</w:t>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The number of shares of the registrant’s common stock outstanding as of March 18, 2026 was 5,782,511.</w:t>
      </w:r>
    </w:p>
    <w:p>
      <w:pPr>
        <w:spacing w:after="0" w:line="7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5"/>
          <w:szCs w:val="15"/>
          <w:b w:val="1"/>
          <w:bCs w:val="1"/>
          <w:color w:val="auto"/>
        </w:rPr>
        <w:t>Documents Incorporated by Reference</w:t>
      </w:r>
    </w:p>
    <w:p>
      <w:pPr>
        <w:spacing w:after="0" w:line="79" w:lineRule="exact"/>
        <w:rPr>
          <w:sz w:val="20"/>
          <w:szCs w:val="20"/>
          <w:color w:val="auto"/>
        </w:rPr>
      </w:pPr>
    </w:p>
    <w:p>
      <w:pPr>
        <w:jc w:val="both"/>
        <w:ind w:firstLine="462"/>
        <w:spacing w:after="0" w:line="262" w:lineRule="auto"/>
        <w:rPr>
          <w:sz w:val="20"/>
          <w:szCs w:val="20"/>
          <w:color w:val="auto"/>
        </w:rPr>
      </w:pPr>
      <w:r>
        <w:rPr>
          <w:rFonts w:ascii="Times New Roman" w:cs="Times New Roman" w:eastAsia="Times New Roman" w:hAnsi="Times New Roman"/>
          <w:sz w:val="15"/>
          <w:szCs w:val="15"/>
          <w:color w:val="auto"/>
        </w:rPr>
        <w:t>Portions of the registrant’s definitive proxy statement for its 2026 Annual Meeting of Stockholders, which the registrant intends to file with the Securities and Exchange Commission pursuant to Regulation 14A within 120 days after the end of the registrant’s fiscal year ended December 31, 2025, are incorporated by reference into Part III of this Annual Report on 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53340</wp:posOffset>
                </wp:positionV>
                <wp:extent cx="6477000"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00" cy="4763"/>
                        </a:xfrm>
                        <a:prstGeom prst="line">
                          <a:avLst/>
                        </a:prstGeom>
                        <a:solidFill>
                          <a:srgbClr val="FFFFFF"/>
                        </a:solidFill>
                        <a:ln w="8991">
                          <a:solidFill>
                            <a:srgbClr val="000000"/>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2pt" to="510pt,4.2pt" o:allowincell="f" strokecolor="#000000" strokeweight="0.708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97155</wp:posOffset>
                </wp:positionV>
                <wp:extent cx="6477000"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00" cy="4763"/>
                        </a:xfrm>
                        <a:prstGeom prst="line">
                          <a:avLst/>
                        </a:prstGeom>
                        <a:solidFill>
                          <a:srgbClr val="FFFFFF"/>
                        </a:solidFill>
                        <a:ln w="26987">
                          <a:solidFill>
                            <a:srgbClr val="000000"/>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65pt" to="510pt,7.65pt" o:allowincell="f" strokecolor="#000000" strokeweight="2.125pt"/>
            </w:pict>
          </mc:Fallback>
        </mc:AlternateContent>
      </w:r>
    </w:p>
    <w:p>
      <w:pPr>
        <w:sectPr>
          <w:pgSz w:w="12240" w:h="15840" w:orient="portrait"/>
          <w:cols w:equalWidth="0" w:num="1">
            <w:col w:w="10200"/>
          </w:cols>
          <w:pgMar w:left="1020" w:top="1330" w:right="1020"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58"/>
        </w:trPr>
        <w:tc>
          <w:tcPr>
            <w:tcW w:w="9620" w:type="dxa"/>
            <w:vAlign w:val="bottom"/>
          </w:tcPr>
          <w:p>
            <w:pPr>
              <w:ind w:left="4080"/>
              <w:spacing w:after="0"/>
              <w:rPr>
                <w:sz w:val="20"/>
                <w:szCs w:val="20"/>
                <w:color w:val="auto"/>
              </w:rPr>
            </w:pPr>
            <w:r>
              <w:rPr>
                <w:rFonts w:ascii="Times New Roman" w:cs="Times New Roman" w:eastAsia="Times New Roman" w:hAnsi="Times New Roman"/>
                <w:sz w:val="19"/>
                <w:szCs w:val="19"/>
                <w:b w:val="1"/>
                <w:bCs w:val="1"/>
                <w:color w:val="auto"/>
              </w:rPr>
              <w:t>TABLE OF CONTENTS</w:t>
            </w:r>
          </w:p>
        </w:tc>
        <w:tc>
          <w:tcPr>
            <w:tcW w:w="580" w:type="dxa"/>
            <w:vAlign w:val="bottom"/>
          </w:tcPr>
          <w:p>
            <w:pPr>
              <w:spacing w:after="0"/>
              <w:rPr>
                <w:sz w:val="22"/>
                <w:szCs w:val="22"/>
                <w:color w:val="auto"/>
              </w:rPr>
            </w:pPr>
          </w:p>
        </w:tc>
      </w:tr>
      <w:tr>
        <w:trPr>
          <w:trHeight w:val="453"/>
        </w:trPr>
        <w:tc>
          <w:tcPr>
            <w:tcW w:w="9620" w:type="dxa"/>
            <w:vAlign w:val="bottom"/>
          </w:tcPr>
          <w:p>
            <w:pPr>
              <w:spacing w:after="0"/>
              <w:rPr>
                <w:sz w:val="24"/>
                <w:szCs w:val="24"/>
                <w:color w:val="auto"/>
              </w:rPr>
            </w:pPr>
          </w:p>
        </w:tc>
        <w:tc>
          <w:tcPr>
            <w:tcW w:w="5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9"/>
                <w:szCs w:val="19"/>
                <w:b w:val="1"/>
                <w:bCs w:val="1"/>
                <w:color w:val="auto"/>
              </w:rPr>
              <w:t>Page</w:t>
            </w:r>
          </w:p>
        </w:tc>
      </w:tr>
      <w:tr>
        <w:trPr>
          <w:trHeight w:val="388"/>
        </w:trPr>
        <w:tc>
          <w:tcPr>
            <w:tcW w:w="9620" w:type="dxa"/>
            <w:vAlign w:val="bottom"/>
          </w:tcPr>
          <w:p>
            <w:pPr>
              <w:jc w:val="center"/>
              <w:ind w:right="46"/>
              <w:spacing w:after="0"/>
              <w:rPr>
                <w:sz w:val="20"/>
                <w:szCs w:val="20"/>
                <w:color w:val="auto"/>
              </w:rPr>
            </w:pPr>
            <w:r>
              <w:rPr>
                <w:rFonts w:ascii="Times New Roman" w:cs="Times New Roman" w:eastAsia="Times New Roman" w:hAnsi="Times New Roman"/>
                <w:sz w:val="19"/>
                <w:szCs w:val="19"/>
                <w:b w:val="1"/>
                <w:bCs w:val="1"/>
                <w:color w:val="auto"/>
              </w:rPr>
              <w:t>PART I</w:t>
            </w:r>
          </w:p>
        </w:tc>
        <w:tc>
          <w:tcPr>
            <w:tcW w:w="580" w:type="dxa"/>
            <w:vAlign w:val="bottom"/>
          </w:tcPr>
          <w:p>
            <w:pPr>
              <w:spacing w:after="0"/>
              <w:rPr>
                <w:sz w:val="24"/>
                <w:szCs w:val="24"/>
                <w:color w:val="auto"/>
              </w:rPr>
            </w:pPr>
          </w:p>
        </w:tc>
      </w:tr>
      <w:tr>
        <w:trPr>
          <w:trHeight w:val="390"/>
        </w:trPr>
        <w:tc>
          <w:tcPr>
            <w:tcW w:w="9620" w:type="dxa"/>
            <w:vAlign w:val="bottom"/>
          </w:tcPr>
          <w:p>
            <w:pPr>
              <w:spacing w:after="0"/>
              <w:rPr>
                <w:sz w:val="20"/>
                <w:szCs w:val="20"/>
                <w:color w:val="auto"/>
              </w:rPr>
            </w:pPr>
            <w:r>
              <w:rPr>
                <w:rFonts w:ascii="Times New Roman" w:cs="Times New Roman" w:eastAsia="Times New Roman" w:hAnsi="Times New Roman"/>
                <w:sz w:val="19"/>
                <w:szCs w:val="19"/>
                <w:color w:val="auto"/>
              </w:rPr>
              <w:t>Item 1. Business</w:t>
            </w:r>
          </w:p>
        </w:tc>
        <w:tc>
          <w:tcPr>
            <w:tcW w:w="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w:t>
            </w:r>
          </w:p>
        </w:tc>
      </w:tr>
      <w:tr>
        <w:trPr>
          <w:trHeight w:val="394"/>
        </w:trPr>
        <w:tc>
          <w:tcPr>
            <w:tcW w:w="9620" w:type="dxa"/>
            <w:vAlign w:val="bottom"/>
          </w:tcPr>
          <w:p>
            <w:pPr>
              <w:spacing w:after="0"/>
              <w:rPr>
                <w:sz w:val="20"/>
                <w:szCs w:val="20"/>
                <w:color w:val="auto"/>
              </w:rPr>
            </w:pPr>
            <w:r>
              <w:rPr>
                <w:rFonts w:ascii="Times New Roman" w:cs="Times New Roman" w:eastAsia="Times New Roman" w:hAnsi="Times New Roman"/>
                <w:sz w:val="19"/>
                <w:szCs w:val="19"/>
                <w:color w:val="auto"/>
              </w:rPr>
              <w:t>Item 1A. Risk Factors</w:t>
            </w:r>
          </w:p>
        </w:tc>
        <w:tc>
          <w:tcPr>
            <w:tcW w:w="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36</w:t>
            </w:r>
          </w:p>
        </w:tc>
      </w:tr>
      <w:tr>
        <w:trPr>
          <w:trHeight w:val="394"/>
        </w:trPr>
        <w:tc>
          <w:tcPr>
            <w:tcW w:w="9620" w:type="dxa"/>
            <w:vAlign w:val="bottom"/>
          </w:tcPr>
          <w:p>
            <w:pPr>
              <w:spacing w:after="0"/>
              <w:rPr>
                <w:sz w:val="20"/>
                <w:szCs w:val="20"/>
                <w:color w:val="auto"/>
              </w:rPr>
            </w:pPr>
            <w:r>
              <w:rPr>
                <w:rFonts w:ascii="Times New Roman" w:cs="Times New Roman" w:eastAsia="Times New Roman" w:hAnsi="Times New Roman"/>
                <w:sz w:val="19"/>
                <w:szCs w:val="19"/>
                <w:color w:val="auto"/>
              </w:rPr>
              <w:t>Item 1B. Unresolved Staff Comments</w:t>
            </w:r>
          </w:p>
        </w:tc>
        <w:tc>
          <w:tcPr>
            <w:tcW w:w="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96</w:t>
            </w:r>
          </w:p>
        </w:tc>
      </w:tr>
      <w:tr>
        <w:trPr>
          <w:trHeight w:val="394"/>
        </w:trPr>
        <w:tc>
          <w:tcPr>
            <w:tcW w:w="9620" w:type="dxa"/>
            <w:vAlign w:val="bottom"/>
          </w:tcPr>
          <w:p>
            <w:pPr>
              <w:spacing w:after="0"/>
              <w:rPr>
                <w:sz w:val="20"/>
                <w:szCs w:val="20"/>
                <w:color w:val="auto"/>
              </w:rPr>
            </w:pPr>
            <w:r>
              <w:rPr>
                <w:rFonts w:ascii="Times New Roman" w:cs="Times New Roman" w:eastAsia="Times New Roman" w:hAnsi="Times New Roman"/>
                <w:sz w:val="19"/>
                <w:szCs w:val="19"/>
                <w:color w:val="auto"/>
              </w:rPr>
              <w:t>Item 1C. Cybersecurity</w:t>
            </w:r>
          </w:p>
        </w:tc>
        <w:tc>
          <w:tcPr>
            <w:tcW w:w="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96</w:t>
            </w:r>
          </w:p>
        </w:tc>
      </w:tr>
      <w:tr>
        <w:trPr>
          <w:trHeight w:val="394"/>
        </w:trPr>
        <w:tc>
          <w:tcPr>
            <w:tcW w:w="9620" w:type="dxa"/>
            <w:vAlign w:val="bottom"/>
          </w:tcPr>
          <w:p>
            <w:pPr>
              <w:spacing w:after="0"/>
              <w:rPr>
                <w:sz w:val="20"/>
                <w:szCs w:val="20"/>
                <w:color w:val="auto"/>
              </w:rPr>
            </w:pPr>
            <w:r>
              <w:rPr>
                <w:rFonts w:ascii="Times New Roman" w:cs="Times New Roman" w:eastAsia="Times New Roman" w:hAnsi="Times New Roman"/>
                <w:sz w:val="19"/>
                <w:szCs w:val="19"/>
                <w:color w:val="auto"/>
              </w:rPr>
              <w:t>Item 2. Properties</w:t>
            </w:r>
          </w:p>
        </w:tc>
        <w:tc>
          <w:tcPr>
            <w:tcW w:w="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97</w:t>
            </w:r>
          </w:p>
        </w:tc>
      </w:tr>
      <w:tr>
        <w:trPr>
          <w:trHeight w:val="394"/>
        </w:trPr>
        <w:tc>
          <w:tcPr>
            <w:tcW w:w="9620" w:type="dxa"/>
            <w:vAlign w:val="bottom"/>
          </w:tcPr>
          <w:p>
            <w:pPr>
              <w:spacing w:after="0"/>
              <w:rPr>
                <w:sz w:val="20"/>
                <w:szCs w:val="20"/>
                <w:color w:val="auto"/>
              </w:rPr>
            </w:pPr>
            <w:r>
              <w:rPr>
                <w:rFonts w:ascii="Times New Roman" w:cs="Times New Roman" w:eastAsia="Times New Roman" w:hAnsi="Times New Roman"/>
                <w:sz w:val="19"/>
                <w:szCs w:val="19"/>
                <w:color w:val="auto"/>
              </w:rPr>
              <w:t>Item 3. Legal Proceedings</w:t>
            </w:r>
          </w:p>
        </w:tc>
        <w:tc>
          <w:tcPr>
            <w:tcW w:w="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97</w:t>
            </w:r>
          </w:p>
        </w:tc>
      </w:tr>
      <w:tr>
        <w:trPr>
          <w:trHeight w:val="394"/>
        </w:trPr>
        <w:tc>
          <w:tcPr>
            <w:tcW w:w="9620" w:type="dxa"/>
            <w:vAlign w:val="bottom"/>
          </w:tcPr>
          <w:p>
            <w:pPr>
              <w:spacing w:after="0"/>
              <w:rPr>
                <w:sz w:val="20"/>
                <w:szCs w:val="20"/>
                <w:color w:val="auto"/>
              </w:rPr>
            </w:pPr>
            <w:r>
              <w:rPr>
                <w:rFonts w:ascii="Times New Roman" w:cs="Times New Roman" w:eastAsia="Times New Roman" w:hAnsi="Times New Roman"/>
                <w:sz w:val="19"/>
                <w:szCs w:val="19"/>
                <w:color w:val="auto"/>
              </w:rPr>
              <w:t>Item 4. Mine Safety Disclosures</w:t>
            </w:r>
          </w:p>
        </w:tc>
        <w:tc>
          <w:tcPr>
            <w:tcW w:w="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97</w:t>
            </w:r>
          </w:p>
        </w:tc>
      </w:tr>
      <w:tr>
        <w:trPr>
          <w:trHeight w:val="398"/>
        </w:trPr>
        <w:tc>
          <w:tcPr>
            <w:tcW w:w="9620" w:type="dxa"/>
            <w:vAlign w:val="bottom"/>
          </w:tcPr>
          <w:p>
            <w:pPr>
              <w:jc w:val="center"/>
              <w:ind w:right="46"/>
              <w:spacing w:after="0"/>
              <w:rPr>
                <w:sz w:val="20"/>
                <w:szCs w:val="20"/>
                <w:color w:val="auto"/>
              </w:rPr>
            </w:pPr>
            <w:r>
              <w:rPr>
                <w:rFonts w:ascii="Times New Roman" w:cs="Times New Roman" w:eastAsia="Times New Roman" w:hAnsi="Times New Roman"/>
                <w:sz w:val="19"/>
                <w:szCs w:val="19"/>
                <w:b w:val="1"/>
                <w:bCs w:val="1"/>
                <w:color w:val="auto"/>
              </w:rPr>
              <w:t>PART II</w:t>
            </w:r>
          </w:p>
        </w:tc>
        <w:tc>
          <w:tcPr>
            <w:tcW w:w="580" w:type="dxa"/>
            <w:vAlign w:val="bottom"/>
          </w:tcPr>
          <w:p>
            <w:pPr>
              <w:spacing w:after="0"/>
              <w:rPr>
                <w:sz w:val="24"/>
                <w:szCs w:val="24"/>
                <w:color w:val="auto"/>
              </w:rPr>
            </w:pPr>
          </w:p>
        </w:tc>
      </w:tr>
      <w:tr>
        <w:trPr>
          <w:trHeight w:val="390"/>
        </w:trPr>
        <w:tc>
          <w:tcPr>
            <w:tcW w:w="9620" w:type="dxa"/>
            <w:vAlign w:val="bottom"/>
          </w:tcPr>
          <w:p>
            <w:pPr>
              <w:spacing w:after="0"/>
              <w:rPr>
                <w:sz w:val="20"/>
                <w:szCs w:val="20"/>
                <w:color w:val="auto"/>
              </w:rPr>
            </w:pPr>
            <w:r>
              <w:rPr>
                <w:rFonts w:ascii="Times New Roman" w:cs="Times New Roman" w:eastAsia="Times New Roman" w:hAnsi="Times New Roman"/>
                <w:sz w:val="19"/>
                <w:szCs w:val="19"/>
                <w:color w:val="auto"/>
              </w:rPr>
              <w:t>Item 5. Market for Registrant’s Common Equity, Related Stockholder Matters and Issuer Purchases of Equity Securities</w:t>
            </w:r>
          </w:p>
        </w:tc>
        <w:tc>
          <w:tcPr>
            <w:tcW w:w="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98</w:t>
            </w:r>
          </w:p>
        </w:tc>
      </w:tr>
      <w:tr>
        <w:trPr>
          <w:trHeight w:val="394"/>
        </w:trPr>
        <w:tc>
          <w:tcPr>
            <w:tcW w:w="9620" w:type="dxa"/>
            <w:vAlign w:val="bottom"/>
          </w:tcPr>
          <w:p>
            <w:pPr>
              <w:spacing w:after="0"/>
              <w:rPr>
                <w:sz w:val="20"/>
                <w:szCs w:val="20"/>
                <w:color w:val="auto"/>
              </w:rPr>
            </w:pPr>
            <w:r>
              <w:rPr>
                <w:rFonts w:ascii="Times New Roman" w:cs="Times New Roman" w:eastAsia="Times New Roman" w:hAnsi="Times New Roman"/>
                <w:sz w:val="19"/>
                <w:szCs w:val="19"/>
                <w:color w:val="auto"/>
              </w:rPr>
              <w:t>Item 6. [Reserved]</w:t>
            </w:r>
          </w:p>
        </w:tc>
        <w:tc>
          <w:tcPr>
            <w:tcW w:w="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98</w:t>
            </w:r>
          </w:p>
        </w:tc>
      </w:tr>
      <w:tr>
        <w:trPr>
          <w:trHeight w:val="394"/>
        </w:trPr>
        <w:tc>
          <w:tcPr>
            <w:tcW w:w="9620" w:type="dxa"/>
            <w:vAlign w:val="bottom"/>
          </w:tcPr>
          <w:p>
            <w:pPr>
              <w:spacing w:after="0"/>
              <w:rPr>
                <w:sz w:val="20"/>
                <w:szCs w:val="20"/>
                <w:color w:val="auto"/>
              </w:rPr>
            </w:pPr>
            <w:r>
              <w:rPr>
                <w:rFonts w:ascii="Times New Roman" w:cs="Times New Roman" w:eastAsia="Times New Roman" w:hAnsi="Times New Roman"/>
                <w:sz w:val="19"/>
                <w:szCs w:val="19"/>
                <w:color w:val="auto"/>
              </w:rPr>
              <w:t>Item 7. Management’s Discussion and Analysis of Financial Condition and Results of Operations</w:t>
            </w:r>
          </w:p>
        </w:tc>
        <w:tc>
          <w:tcPr>
            <w:tcW w:w="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99</w:t>
            </w:r>
          </w:p>
        </w:tc>
      </w:tr>
      <w:tr>
        <w:trPr>
          <w:trHeight w:val="394"/>
        </w:trPr>
        <w:tc>
          <w:tcPr>
            <w:tcW w:w="9620" w:type="dxa"/>
            <w:vAlign w:val="bottom"/>
          </w:tcPr>
          <w:p>
            <w:pPr>
              <w:spacing w:after="0"/>
              <w:rPr>
                <w:sz w:val="20"/>
                <w:szCs w:val="20"/>
                <w:color w:val="auto"/>
              </w:rPr>
            </w:pPr>
            <w:r>
              <w:rPr>
                <w:rFonts w:ascii="Times New Roman" w:cs="Times New Roman" w:eastAsia="Times New Roman" w:hAnsi="Times New Roman"/>
                <w:sz w:val="19"/>
                <w:szCs w:val="19"/>
                <w:color w:val="auto"/>
              </w:rPr>
              <w:t>Item 7A. Quantitative and Qualitative Disclosures About Market Risk</w:t>
            </w:r>
          </w:p>
        </w:tc>
        <w:tc>
          <w:tcPr>
            <w:tcW w:w="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113</w:t>
            </w:r>
          </w:p>
        </w:tc>
      </w:tr>
      <w:tr>
        <w:trPr>
          <w:trHeight w:val="394"/>
        </w:trPr>
        <w:tc>
          <w:tcPr>
            <w:tcW w:w="9620" w:type="dxa"/>
            <w:vAlign w:val="bottom"/>
          </w:tcPr>
          <w:p>
            <w:pPr>
              <w:spacing w:after="0"/>
              <w:rPr>
                <w:sz w:val="20"/>
                <w:szCs w:val="20"/>
                <w:color w:val="auto"/>
              </w:rPr>
            </w:pPr>
            <w:r>
              <w:rPr>
                <w:rFonts w:ascii="Times New Roman" w:cs="Times New Roman" w:eastAsia="Times New Roman" w:hAnsi="Times New Roman"/>
                <w:sz w:val="19"/>
                <w:szCs w:val="19"/>
                <w:color w:val="auto"/>
              </w:rPr>
              <w:t>Item 8. Financial Statements and Supplementary Data</w:t>
            </w:r>
          </w:p>
        </w:tc>
        <w:tc>
          <w:tcPr>
            <w:tcW w:w="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113</w:t>
            </w:r>
          </w:p>
        </w:tc>
      </w:tr>
      <w:tr>
        <w:trPr>
          <w:trHeight w:val="394"/>
        </w:trPr>
        <w:tc>
          <w:tcPr>
            <w:tcW w:w="9620" w:type="dxa"/>
            <w:vAlign w:val="bottom"/>
          </w:tcPr>
          <w:p>
            <w:pPr>
              <w:spacing w:after="0"/>
              <w:rPr>
                <w:sz w:val="20"/>
                <w:szCs w:val="20"/>
                <w:color w:val="auto"/>
              </w:rPr>
            </w:pPr>
            <w:r>
              <w:rPr>
                <w:rFonts w:ascii="Times New Roman" w:cs="Times New Roman" w:eastAsia="Times New Roman" w:hAnsi="Times New Roman"/>
                <w:sz w:val="19"/>
                <w:szCs w:val="19"/>
                <w:color w:val="auto"/>
              </w:rPr>
              <w:t>Item 9. Changes in and Disagreements with Accountants on Accounting and Financial Disclosure</w:t>
            </w:r>
          </w:p>
        </w:tc>
        <w:tc>
          <w:tcPr>
            <w:tcW w:w="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114</w:t>
            </w:r>
          </w:p>
        </w:tc>
      </w:tr>
      <w:tr>
        <w:trPr>
          <w:trHeight w:val="394"/>
        </w:trPr>
        <w:tc>
          <w:tcPr>
            <w:tcW w:w="9620" w:type="dxa"/>
            <w:vAlign w:val="bottom"/>
          </w:tcPr>
          <w:p>
            <w:pPr>
              <w:spacing w:after="0"/>
              <w:rPr>
                <w:sz w:val="20"/>
                <w:szCs w:val="20"/>
                <w:color w:val="auto"/>
              </w:rPr>
            </w:pPr>
            <w:r>
              <w:rPr>
                <w:rFonts w:ascii="Times New Roman" w:cs="Times New Roman" w:eastAsia="Times New Roman" w:hAnsi="Times New Roman"/>
                <w:sz w:val="19"/>
                <w:szCs w:val="19"/>
                <w:color w:val="auto"/>
              </w:rPr>
              <w:t>Item 9A. Controls and Procedures</w:t>
            </w:r>
          </w:p>
        </w:tc>
        <w:tc>
          <w:tcPr>
            <w:tcW w:w="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114</w:t>
            </w:r>
          </w:p>
        </w:tc>
      </w:tr>
      <w:tr>
        <w:trPr>
          <w:trHeight w:val="394"/>
        </w:trPr>
        <w:tc>
          <w:tcPr>
            <w:tcW w:w="9620" w:type="dxa"/>
            <w:vAlign w:val="bottom"/>
          </w:tcPr>
          <w:p>
            <w:pPr>
              <w:spacing w:after="0"/>
              <w:rPr>
                <w:sz w:val="20"/>
                <w:szCs w:val="20"/>
                <w:color w:val="auto"/>
              </w:rPr>
            </w:pPr>
            <w:r>
              <w:rPr>
                <w:rFonts w:ascii="Times New Roman" w:cs="Times New Roman" w:eastAsia="Times New Roman" w:hAnsi="Times New Roman"/>
                <w:sz w:val="19"/>
                <w:szCs w:val="19"/>
                <w:color w:val="auto"/>
              </w:rPr>
              <w:t>Item 9B. Other Information</w:t>
            </w:r>
          </w:p>
        </w:tc>
        <w:tc>
          <w:tcPr>
            <w:tcW w:w="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115</w:t>
            </w:r>
          </w:p>
        </w:tc>
      </w:tr>
      <w:tr>
        <w:trPr>
          <w:trHeight w:val="394"/>
        </w:trPr>
        <w:tc>
          <w:tcPr>
            <w:tcW w:w="9620" w:type="dxa"/>
            <w:vAlign w:val="bottom"/>
          </w:tcPr>
          <w:p>
            <w:pPr>
              <w:spacing w:after="0"/>
              <w:rPr>
                <w:sz w:val="20"/>
                <w:szCs w:val="20"/>
                <w:color w:val="auto"/>
              </w:rPr>
            </w:pPr>
            <w:r>
              <w:rPr>
                <w:rFonts w:ascii="Times New Roman" w:cs="Times New Roman" w:eastAsia="Times New Roman" w:hAnsi="Times New Roman"/>
                <w:sz w:val="19"/>
                <w:szCs w:val="19"/>
                <w:color w:val="auto"/>
              </w:rPr>
              <w:t>Item 9C. Disclosure Regarding Foreign Jurisdictions That Prevent Inspections</w:t>
            </w:r>
          </w:p>
        </w:tc>
        <w:tc>
          <w:tcPr>
            <w:tcW w:w="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115</w:t>
            </w:r>
          </w:p>
        </w:tc>
      </w:tr>
      <w:tr>
        <w:trPr>
          <w:trHeight w:val="398"/>
        </w:trPr>
        <w:tc>
          <w:tcPr>
            <w:tcW w:w="9620" w:type="dxa"/>
            <w:vAlign w:val="bottom"/>
          </w:tcPr>
          <w:p>
            <w:pPr>
              <w:jc w:val="center"/>
              <w:ind w:right="26"/>
              <w:spacing w:after="0"/>
              <w:rPr>
                <w:sz w:val="20"/>
                <w:szCs w:val="20"/>
                <w:color w:val="auto"/>
              </w:rPr>
            </w:pPr>
            <w:r>
              <w:rPr>
                <w:rFonts w:ascii="Times New Roman" w:cs="Times New Roman" w:eastAsia="Times New Roman" w:hAnsi="Times New Roman"/>
                <w:sz w:val="19"/>
                <w:szCs w:val="19"/>
                <w:b w:val="1"/>
                <w:bCs w:val="1"/>
                <w:color w:val="auto"/>
                <w:w w:val="99"/>
              </w:rPr>
              <w:t>PART III</w:t>
            </w:r>
          </w:p>
        </w:tc>
        <w:tc>
          <w:tcPr>
            <w:tcW w:w="580" w:type="dxa"/>
            <w:vAlign w:val="bottom"/>
          </w:tcPr>
          <w:p>
            <w:pPr>
              <w:spacing w:after="0"/>
              <w:rPr>
                <w:sz w:val="24"/>
                <w:szCs w:val="24"/>
                <w:color w:val="auto"/>
              </w:rPr>
            </w:pPr>
          </w:p>
        </w:tc>
      </w:tr>
      <w:tr>
        <w:trPr>
          <w:trHeight w:val="390"/>
        </w:trPr>
        <w:tc>
          <w:tcPr>
            <w:tcW w:w="9620" w:type="dxa"/>
            <w:vAlign w:val="bottom"/>
          </w:tcPr>
          <w:p>
            <w:pPr>
              <w:spacing w:after="0"/>
              <w:rPr>
                <w:sz w:val="20"/>
                <w:szCs w:val="20"/>
                <w:color w:val="auto"/>
              </w:rPr>
            </w:pPr>
            <w:r>
              <w:rPr>
                <w:rFonts w:ascii="Times New Roman" w:cs="Times New Roman" w:eastAsia="Times New Roman" w:hAnsi="Times New Roman"/>
                <w:sz w:val="19"/>
                <w:szCs w:val="19"/>
                <w:color w:val="auto"/>
              </w:rPr>
              <w:t>Item 10. Directors, Executive Officers and Corporate Governance</w:t>
            </w:r>
          </w:p>
        </w:tc>
        <w:tc>
          <w:tcPr>
            <w:tcW w:w="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116</w:t>
            </w:r>
          </w:p>
        </w:tc>
      </w:tr>
      <w:tr>
        <w:trPr>
          <w:trHeight w:val="394"/>
        </w:trPr>
        <w:tc>
          <w:tcPr>
            <w:tcW w:w="9620" w:type="dxa"/>
            <w:vAlign w:val="bottom"/>
          </w:tcPr>
          <w:p>
            <w:pPr>
              <w:spacing w:after="0"/>
              <w:rPr>
                <w:sz w:val="20"/>
                <w:szCs w:val="20"/>
                <w:color w:val="auto"/>
              </w:rPr>
            </w:pPr>
            <w:r>
              <w:rPr>
                <w:rFonts w:ascii="Times New Roman" w:cs="Times New Roman" w:eastAsia="Times New Roman" w:hAnsi="Times New Roman"/>
                <w:sz w:val="19"/>
                <w:szCs w:val="19"/>
                <w:color w:val="auto"/>
              </w:rPr>
              <w:t>Item 11. Executive Compensation</w:t>
            </w:r>
          </w:p>
        </w:tc>
        <w:tc>
          <w:tcPr>
            <w:tcW w:w="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116</w:t>
            </w:r>
          </w:p>
        </w:tc>
      </w:tr>
      <w:tr>
        <w:trPr>
          <w:trHeight w:val="394"/>
        </w:trPr>
        <w:tc>
          <w:tcPr>
            <w:tcW w:w="9620" w:type="dxa"/>
            <w:vAlign w:val="bottom"/>
          </w:tcPr>
          <w:p>
            <w:pPr>
              <w:spacing w:after="0"/>
              <w:rPr>
                <w:sz w:val="20"/>
                <w:szCs w:val="20"/>
                <w:color w:val="auto"/>
              </w:rPr>
            </w:pPr>
            <w:r>
              <w:rPr>
                <w:rFonts w:ascii="Times New Roman" w:cs="Times New Roman" w:eastAsia="Times New Roman" w:hAnsi="Times New Roman"/>
                <w:sz w:val="19"/>
                <w:szCs w:val="19"/>
                <w:color w:val="auto"/>
              </w:rPr>
              <w:t>Item 12. Security Ownership of Certain Beneficial Owners and Management and Related Stockholder Matters</w:t>
            </w:r>
          </w:p>
        </w:tc>
        <w:tc>
          <w:tcPr>
            <w:tcW w:w="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116</w:t>
            </w:r>
          </w:p>
        </w:tc>
      </w:tr>
      <w:tr>
        <w:trPr>
          <w:trHeight w:val="394"/>
        </w:trPr>
        <w:tc>
          <w:tcPr>
            <w:tcW w:w="9620" w:type="dxa"/>
            <w:vAlign w:val="bottom"/>
          </w:tcPr>
          <w:p>
            <w:pPr>
              <w:spacing w:after="0"/>
              <w:rPr>
                <w:sz w:val="20"/>
                <w:szCs w:val="20"/>
                <w:color w:val="auto"/>
              </w:rPr>
            </w:pPr>
            <w:r>
              <w:rPr>
                <w:rFonts w:ascii="Times New Roman" w:cs="Times New Roman" w:eastAsia="Times New Roman" w:hAnsi="Times New Roman"/>
                <w:sz w:val="19"/>
                <w:szCs w:val="19"/>
                <w:color w:val="auto"/>
              </w:rPr>
              <w:t>Item 13. Certain Relationships and Related Transactions, and Director Independence</w:t>
            </w:r>
          </w:p>
        </w:tc>
        <w:tc>
          <w:tcPr>
            <w:tcW w:w="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116</w:t>
            </w:r>
          </w:p>
        </w:tc>
      </w:tr>
      <w:tr>
        <w:trPr>
          <w:trHeight w:val="394"/>
        </w:trPr>
        <w:tc>
          <w:tcPr>
            <w:tcW w:w="9620" w:type="dxa"/>
            <w:vAlign w:val="bottom"/>
          </w:tcPr>
          <w:p>
            <w:pPr>
              <w:spacing w:after="0"/>
              <w:rPr>
                <w:sz w:val="20"/>
                <w:szCs w:val="20"/>
                <w:color w:val="auto"/>
              </w:rPr>
            </w:pPr>
            <w:r>
              <w:rPr>
                <w:rFonts w:ascii="Times New Roman" w:cs="Times New Roman" w:eastAsia="Times New Roman" w:hAnsi="Times New Roman"/>
                <w:sz w:val="19"/>
                <w:szCs w:val="19"/>
                <w:color w:val="auto"/>
              </w:rPr>
              <w:t>Item 14. Principal Accountant Fees and Services</w:t>
            </w:r>
          </w:p>
        </w:tc>
        <w:tc>
          <w:tcPr>
            <w:tcW w:w="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116</w:t>
            </w:r>
          </w:p>
        </w:tc>
      </w:tr>
      <w:tr>
        <w:trPr>
          <w:trHeight w:val="398"/>
        </w:trPr>
        <w:tc>
          <w:tcPr>
            <w:tcW w:w="9620" w:type="dxa"/>
            <w:vAlign w:val="bottom"/>
          </w:tcPr>
          <w:p>
            <w:pPr>
              <w:jc w:val="center"/>
              <w:ind w:right="46"/>
              <w:spacing w:after="0"/>
              <w:rPr>
                <w:sz w:val="20"/>
                <w:szCs w:val="20"/>
                <w:color w:val="auto"/>
              </w:rPr>
            </w:pPr>
            <w:r>
              <w:rPr>
                <w:rFonts w:ascii="Times New Roman" w:cs="Times New Roman" w:eastAsia="Times New Roman" w:hAnsi="Times New Roman"/>
                <w:sz w:val="19"/>
                <w:szCs w:val="19"/>
                <w:b w:val="1"/>
                <w:bCs w:val="1"/>
                <w:color w:val="auto"/>
                <w:w w:val="97"/>
              </w:rPr>
              <w:t>PART IV</w:t>
            </w:r>
          </w:p>
        </w:tc>
        <w:tc>
          <w:tcPr>
            <w:tcW w:w="580" w:type="dxa"/>
            <w:vAlign w:val="bottom"/>
          </w:tcPr>
          <w:p>
            <w:pPr>
              <w:spacing w:after="0"/>
              <w:rPr>
                <w:sz w:val="24"/>
                <w:szCs w:val="24"/>
                <w:color w:val="auto"/>
              </w:rPr>
            </w:pPr>
          </w:p>
        </w:tc>
      </w:tr>
      <w:tr>
        <w:trPr>
          <w:trHeight w:val="390"/>
        </w:trPr>
        <w:tc>
          <w:tcPr>
            <w:tcW w:w="9620" w:type="dxa"/>
            <w:vAlign w:val="bottom"/>
          </w:tcPr>
          <w:p>
            <w:pPr>
              <w:spacing w:after="0"/>
              <w:rPr>
                <w:sz w:val="20"/>
                <w:szCs w:val="20"/>
                <w:color w:val="auto"/>
              </w:rPr>
            </w:pPr>
            <w:r>
              <w:rPr>
                <w:rFonts w:ascii="Times New Roman" w:cs="Times New Roman" w:eastAsia="Times New Roman" w:hAnsi="Times New Roman"/>
                <w:sz w:val="19"/>
                <w:szCs w:val="19"/>
                <w:color w:val="auto"/>
              </w:rPr>
              <w:t>Item 15. Exhibits and Financial Statement Schedules</w:t>
            </w:r>
          </w:p>
        </w:tc>
        <w:tc>
          <w:tcPr>
            <w:tcW w:w="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117</w:t>
            </w:r>
          </w:p>
        </w:tc>
      </w:tr>
      <w:tr>
        <w:trPr>
          <w:trHeight w:val="394"/>
        </w:trPr>
        <w:tc>
          <w:tcPr>
            <w:tcW w:w="9620" w:type="dxa"/>
            <w:vAlign w:val="bottom"/>
          </w:tcPr>
          <w:p>
            <w:pPr>
              <w:spacing w:after="0"/>
              <w:rPr>
                <w:sz w:val="20"/>
                <w:szCs w:val="20"/>
                <w:color w:val="auto"/>
              </w:rPr>
            </w:pPr>
            <w:r>
              <w:rPr>
                <w:rFonts w:ascii="Times New Roman" w:cs="Times New Roman" w:eastAsia="Times New Roman" w:hAnsi="Times New Roman"/>
                <w:sz w:val="19"/>
                <w:szCs w:val="19"/>
                <w:color w:val="auto"/>
              </w:rPr>
              <w:t>Item 16. Form 10-K Summary</w:t>
            </w:r>
          </w:p>
        </w:tc>
        <w:tc>
          <w:tcPr>
            <w:tcW w:w="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119</w:t>
            </w:r>
          </w:p>
        </w:tc>
      </w:tr>
    </w:tbl>
    <w:p>
      <w:pPr>
        <w:spacing w:after="0" w:line="200" w:lineRule="exact"/>
        <w:rPr>
          <w:sz w:val="20"/>
          <w:szCs w:val="20"/>
          <w:color w:val="auto"/>
        </w:rPr>
      </w:pPr>
    </w:p>
    <w:p>
      <w:pPr>
        <w:sectPr>
          <w:pgSz w:w="12240" w:h="15840" w:orient="portrait"/>
          <w:cols w:equalWidth="0" w:num="1">
            <w:col w:w="10200"/>
          </w:cols>
          <w:pgMar w:left="1020" w:top="1315" w:right="1020" w:bottom="63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ectPr>
          <w:pgSz w:w="12240" w:h="15840" w:orient="portrait"/>
          <w:cols w:equalWidth="0" w:num="1">
            <w:col w:w="10200"/>
          </w:cols>
          <w:pgMar w:left="1020" w:top="1315" w:right="1020" w:bottom="632" w:gutter="0" w:footer="0" w:header="0"/>
          <w:type w:val="continuous"/>
        </w:sectPr>
      </w:pPr>
    </w:p>
    <w:bookmarkStart w:id="3" w:name="page4"/>
    <w:bookmarkEnd w:id="3"/>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i w:val="1"/>
          <w:iCs w:val="1"/>
          <w:color w:val="auto"/>
        </w:rPr>
        <w:t>References to Xilio</w:t>
      </w:r>
    </w:p>
    <w:p>
      <w:pPr>
        <w:spacing w:after="0" w:line="22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9"/>
          <w:szCs w:val="19"/>
          <w:i w:val="1"/>
          <w:iCs w:val="1"/>
          <w:color w:val="auto"/>
        </w:rPr>
        <w:t>Unless otherwise stated, all references to “us,” “our,” “we,” “Xilio,” “Xilio Therapeutics,” “the Company” and similar references in this Annual Report on Form 10-K refer to Xilio Therapeutics, Inc. and its consolidated subsidiaries. Xilio Therapeutics and its associated logos are registered trademarks of Xilio Therapeutics, Inc. Other brands, names and trademarks contained in this Annual Report on Form 10-K are the property of their respective owners.</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i w:val="1"/>
          <w:iCs w:val="1"/>
          <w:color w:val="auto"/>
        </w:rPr>
        <w:t>Reverse Stock Split</w:t>
      </w:r>
    </w:p>
    <w:p>
      <w:pPr>
        <w:spacing w:after="0" w:line="21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i w:val="1"/>
          <w:iCs w:val="1"/>
          <w:color w:val="auto"/>
        </w:rPr>
        <w:t>Unless otherwise indicated, all share amounts and per share amounts have been adjusted retroactively in this Annual Report on Form 10-K to give effect to the 1-for-14 reverse stock split of our common stock effected on March 13, 2026.</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i w:val="1"/>
          <w:iCs w:val="1"/>
          <w:color w:val="auto"/>
        </w:rPr>
        <w:t>Cautionary Note Regarding Forward-Looking Statements</w:t>
      </w:r>
    </w:p>
    <w:p>
      <w:pPr>
        <w:spacing w:after="0" w:line="22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color w:val="auto"/>
        </w:rPr>
        <w:t>This Annual Report on Form 10-K contains forward-looking statements within the meaning of the U.S. Private Securities Litigation Reform Act of 1995 that involve substantial risks and uncertainties. All statements, other than statements of historical facts, contained in this Annual Report on Form 10-K are forward-looking statements. In some cases, you can identify forward-looking statements by words such as “aim,” “anticipate,” “believe,” “contemplate,” “continue,” “could,” “estimate,” “expect,” “intend,” “may,” “might,” “plan,” “potential,” “predict,” “project,” “should,” “target,” “would,” or the negative of these words or other comparable terminology, although not all forward-looking statements contain these identifying words.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forward-looking statements in this Annual Report on Form 10-K include, but are not limited to, statements about:</w:t>
      </w:r>
    </w:p>
    <w:p>
      <w:pPr>
        <w:spacing w:after="0" w:line="239" w:lineRule="exact"/>
        <w:rPr>
          <w:sz w:val="20"/>
          <w:szCs w:val="20"/>
          <w:color w:val="auto"/>
        </w:rPr>
      </w:pPr>
    </w:p>
    <w:p>
      <w:pPr>
        <w:ind w:left="920" w:hanging="458"/>
        <w:spacing w:after="0" w:line="274" w:lineRule="auto"/>
        <w:tabs>
          <w:tab w:leader="none" w:pos="920" w:val="left"/>
        </w:tabs>
        <w:numPr>
          <w:ilvl w:val="0"/>
          <w:numId w:val="2"/>
        </w:numPr>
        <w:rPr>
          <w:rFonts w:ascii="Arial" w:cs="Arial" w:eastAsia="Arial" w:hAnsi="Arial"/>
          <w:sz w:val="19"/>
          <w:szCs w:val="19"/>
          <w:color w:val="auto"/>
        </w:rPr>
      </w:pPr>
      <w:r>
        <w:rPr>
          <w:rFonts w:ascii="Times New Roman" w:cs="Times New Roman" w:eastAsia="Times New Roman" w:hAnsi="Times New Roman"/>
          <w:sz w:val="19"/>
          <w:szCs w:val="19"/>
          <w:color w:val="auto"/>
        </w:rPr>
        <w:t>the initiation, timing, progress and results of our research and development programs, including preclinical studies and clinical trials;</w:t>
      </w:r>
    </w:p>
    <w:p>
      <w:pPr>
        <w:spacing w:after="0" w:line="174"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2"/>
        </w:numPr>
        <w:rPr>
          <w:rFonts w:ascii="Arial" w:cs="Arial" w:eastAsia="Arial" w:hAnsi="Arial"/>
          <w:sz w:val="19"/>
          <w:szCs w:val="19"/>
          <w:color w:val="auto"/>
        </w:rPr>
      </w:pPr>
      <w:r>
        <w:rPr>
          <w:rFonts w:ascii="Times New Roman" w:cs="Times New Roman" w:eastAsia="Times New Roman" w:hAnsi="Times New Roman"/>
          <w:sz w:val="19"/>
          <w:szCs w:val="19"/>
          <w:color w:val="auto"/>
        </w:rPr>
        <w:t>our estimates regarding expenses, future revenue and capital requirements and our expectations regarding our ability to fund our operating expenses and capital expenditure requirements with our cash and cash equivalents;</w:t>
      </w:r>
    </w:p>
    <w:p>
      <w:pPr>
        <w:spacing w:after="0" w:line="174" w:lineRule="exact"/>
        <w:rPr>
          <w:rFonts w:ascii="Arial" w:cs="Arial" w:eastAsia="Arial" w:hAnsi="Arial"/>
          <w:sz w:val="19"/>
          <w:szCs w:val="19"/>
          <w:color w:val="auto"/>
        </w:rPr>
      </w:pPr>
    </w:p>
    <w:p>
      <w:pPr>
        <w:jc w:val="both"/>
        <w:ind w:left="920" w:hanging="458"/>
        <w:spacing w:after="0" w:line="256" w:lineRule="auto"/>
        <w:tabs>
          <w:tab w:leader="none" w:pos="920" w:val="left"/>
        </w:tabs>
        <w:numPr>
          <w:ilvl w:val="0"/>
          <w:numId w:val="2"/>
        </w:numPr>
        <w:rPr>
          <w:rFonts w:ascii="Arial" w:cs="Arial" w:eastAsia="Arial" w:hAnsi="Arial"/>
          <w:sz w:val="19"/>
          <w:szCs w:val="19"/>
          <w:color w:val="auto"/>
        </w:rPr>
      </w:pPr>
      <w:r>
        <w:rPr>
          <w:rFonts w:ascii="Times New Roman" w:cs="Times New Roman" w:eastAsia="Times New Roman" w:hAnsi="Times New Roman"/>
          <w:sz w:val="19"/>
          <w:szCs w:val="19"/>
          <w:color w:val="auto"/>
        </w:rPr>
        <w:t>our ability to establish and maintain collaborations and strategic partnerships and realize the expected benefits of such arrangements, including our collaboration agreement with AbbVie Group Holdings Limited, or AbbVie, and our license agreement with Gilead Sciences, Inc., or Gilead;</w:t>
      </w:r>
    </w:p>
    <w:p>
      <w:pPr>
        <w:spacing w:after="0" w:line="191"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2"/>
        </w:numPr>
        <w:rPr>
          <w:rFonts w:ascii="Arial" w:cs="Arial" w:eastAsia="Arial" w:hAnsi="Arial"/>
          <w:sz w:val="19"/>
          <w:szCs w:val="19"/>
          <w:color w:val="auto"/>
        </w:rPr>
      </w:pPr>
      <w:r>
        <w:rPr>
          <w:rFonts w:ascii="Times New Roman" w:cs="Times New Roman" w:eastAsia="Times New Roman" w:hAnsi="Times New Roman"/>
          <w:sz w:val="19"/>
          <w:szCs w:val="19"/>
          <w:color w:val="auto"/>
        </w:rPr>
        <w:t>our expectations regarding milestones, option-related fees and other contingent payments under our collaboration agreement with AbbVie and our license agreement with Gilead;</w:t>
      </w:r>
    </w:p>
    <w:p>
      <w:pPr>
        <w:spacing w:after="0" w:line="174" w:lineRule="exact"/>
        <w:rPr>
          <w:rFonts w:ascii="Arial" w:cs="Arial" w:eastAsia="Arial" w:hAnsi="Arial"/>
          <w:sz w:val="19"/>
          <w:szCs w:val="19"/>
          <w:color w:val="auto"/>
        </w:rPr>
      </w:pPr>
    </w:p>
    <w:p>
      <w:pPr>
        <w:jc w:val="both"/>
        <w:ind w:left="920" w:hanging="458"/>
        <w:spacing w:after="0" w:line="256" w:lineRule="auto"/>
        <w:tabs>
          <w:tab w:leader="none" w:pos="920" w:val="left"/>
        </w:tabs>
        <w:numPr>
          <w:ilvl w:val="0"/>
          <w:numId w:val="2"/>
        </w:numPr>
        <w:rPr>
          <w:rFonts w:ascii="Arial" w:cs="Arial" w:eastAsia="Arial" w:hAnsi="Arial"/>
          <w:sz w:val="19"/>
          <w:szCs w:val="19"/>
          <w:color w:val="auto"/>
        </w:rPr>
      </w:pPr>
      <w:r>
        <w:rPr>
          <w:rFonts w:ascii="Times New Roman" w:cs="Times New Roman" w:eastAsia="Times New Roman" w:hAnsi="Times New Roman"/>
          <w:sz w:val="19"/>
          <w:szCs w:val="19"/>
          <w:color w:val="auto"/>
        </w:rPr>
        <w:t>the potential receipt of up to $36.2 million in additional gross proceeds in the second half of 2026 if all of the Series C common stock warrants issued in connection with our June 2025 follow-on offering are exercised at their current exercise price of $10.50 per warrant;</w:t>
      </w:r>
    </w:p>
    <w:p>
      <w:pPr>
        <w:spacing w:after="0" w:line="191" w:lineRule="exact"/>
        <w:rPr>
          <w:rFonts w:ascii="Arial" w:cs="Arial" w:eastAsia="Arial" w:hAnsi="Arial"/>
          <w:sz w:val="19"/>
          <w:szCs w:val="19"/>
          <w:color w:val="auto"/>
        </w:rPr>
      </w:pPr>
    </w:p>
    <w:p>
      <w:pPr>
        <w:ind w:left="920" w:hanging="458"/>
        <w:spacing w:after="0"/>
        <w:tabs>
          <w:tab w:leader="none" w:pos="920" w:val="left"/>
        </w:tabs>
        <w:numPr>
          <w:ilvl w:val="0"/>
          <w:numId w:val="2"/>
        </w:numPr>
        <w:rPr>
          <w:rFonts w:ascii="Arial" w:cs="Arial" w:eastAsia="Arial" w:hAnsi="Arial"/>
          <w:sz w:val="19"/>
          <w:szCs w:val="19"/>
          <w:color w:val="auto"/>
        </w:rPr>
      </w:pPr>
      <w:r>
        <w:rPr>
          <w:rFonts w:ascii="Times New Roman" w:cs="Times New Roman" w:eastAsia="Times New Roman" w:hAnsi="Times New Roman"/>
          <w:sz w:val="19"/>
          <w:szCs w:val="19"/>
          <w:color w:val="auto"/>
        </w:rPr>
        <w:t>our ability to secure additional capital in the future;</w:t>
      </w:r>
    </w:p>
    <w:p>
      <w:pPr>
        <w:spacing w:after="0" w:line="238"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2"/>
        </w:numPr>
        <w:rPr>
          <w:rFonts w:ascii="Arial" w:cs="Arial" w:eastAsia="Arial" w:hAnsi="Arial"/>
          <w:sz w:val="19"/>
          <w:szCs w:val="19"/>
          <w:color w:val="auto"/>
        </w:rPr>
      </w:pPr>
      <w:r>
        <w:rPr>
          <w:rFonts w:ascii="Times New Roman" w:cs="Times New Roman" w:eastAsia="Times New Roman" w:hAnsi="Times New Roman"/>
          <w:sz w:val="19"/>
          <w:szCs w:val="19"/>
          <w:color w:val="auto"/>
        </w:rPr>
        <w:t>the potential advantages and benefits of our current and future product candidates, including our beliefs regarding the potential benefits of our current and future product candidates in combination with other agents;</w:t>
      </w:r>
    </w:p>
    <w:p>
      <w:pPr>
        <w:spacing w:after="0" w:line="174"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2"/>
        </w:numPr>
        <w:rPr>
          <w:rFonts w:ascii="Arial" w:cs="Arial" w:eastAsia="Arial" w:hAnsi="Arial"/>
          <w:sz w:val="19"/>
          <w:szCs w:val="19"/>
          <w:color w:val="auto"/>
        </w:rPr>
      </w:pPr>
      <w:r>
        <w:rPr>
          <w:rFonts w:ascii="Times New Roman" w:cs="Times New Roman" w:eastAsia="Times New Roman" w:hAnsi="Times New Roman"/>
          <w:sz w:val="19"/>
          <w:szCs w:val="19"/>
          <w:color w:val="auto"/>
        </w:rPr>
        <w:t>our strategic plans to research, develop and, if approved, subsequently commercialize any product candidates we may develop;</w:t>
      </w:r>
    </w:p>
    <w:p>
      <w:pPr>
        <w:spacing w:after="0" w:line="174"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2"/>
        </w:numPr>
        <w:rPr>
          <w:rFonts w:ascii="Arial" w:cs="Arial" w:eastAsia="Arial" w:hAnsi="Arial"/>
          <w:sz w:val="19"/>
          <w:szCs w:val="19"/>
          <w:color w:val="auto"/>
        </w:rPr>
      </w:pPr>
      <w:r>
        <w:rPr>
          <w:rFonts w:ascii="Times New Roman" w:cs="Times New Roman" w:eastAsia="Times New Roman" w:hAnsi="Times New Roman"/>
          <w:sz w:val="19"/>
          <w:szCs w:val="19"/>
          <w:color w:val="auto"/>
        </w:rPr>
        <w:t>our ability to identify additional products, product candidates or technologies with significant potential that are consistent with our research, development and commercial objectives;</w:t>
      </w:r>
    </w:p>
    <w:p>
      <w:pPr>
        <w:spacing w:after="0" w:line="174"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2"/>
        </w:numPr>
        <w:rPr>
          <w:rFonts w:ascii="Arial" w:cs="Arial" w:eastAsia="Arial" w:hAnsi="Arial"/>
          <w:sz w:val="19"/>
          <w:szCs w:val="19"/>
          <w:color w:val="auto"/>
        </w:rPr>
      </w:pPr>
      <w:r>
        <w:rPr>
          <w:rFonts w:ascii="Times New Roman" w:cs="Times New Roman" w:eastAsia="Times New Roman" w:hAnsi="Times New Roman"/>
          <w:sz w:val="19"/>
          <w:szCs w:val="19"/>
          <w:color w:val="auto"/>
        </w:rPr>
        <w:t>our manufacturing capabilities and strategy, including our reliance on third parties to manufacture our current or future product candidates;</w:t>
      </w:r>
    </w:p>
    <w:p>
      <w:pPr>
        <w:spacing w:after="0" w:line="174" w:lineRule="exact"/>
        <w:rPr>
          <w:rFonts w:ascii="Arial" w:cs="Arial" w:eastAsia="Arial" w:hAnsi="Arial"/>
          <w:sz w:val="19"/>
          <w:szCs w:val="19"/>
          <w:color w:val="auto"/>
        </w:rPr>
      </w:pPr>
    </w:p>
    <w:p>
      <w:pPr>
        <w:ind w:left="920" w:hanging="458"/>
        <w:spacing w:after="0"/>
        <w:tabs>
          <w:tab w:leader="none" w:pos="920" w:val="left"/>
        </w:tabs>
        <w:numPr>
          <w:ilvl w:val="0"/>
          <w:numId w:val="2"/>
        </w:numPr>
        <w:rPr>
          <w:rFonts w:ascii="Arial" w:cs="Arial" w:eastAsia="Arial" w:hAnsi="Arial"/>
          <w:sz w:val="19"/>
          <w:szCs w:val="19"/>
          <w:color w:val="auto"/>
        </w:rPr>
      </w:pPr>
      <w:r>
        <w:rPr>
          <w:rFonts w:ascii="Times New Roman" w:cs="Times New Roman" w:eastAsia="Times New Roman" w:hAnsi="Times New Roman"/>
          <w:sz w:val="19"/>
          <w:szCs w:val="19"/>
          <w:color w:val="auto"/>
        </w:rPr>
        <w:t>our expectations regarding our ability to obtain and maintain intellectual property protection for our product candidates;</w:t>
      </w:r>
    </w:p>
    <w:p>
      <w:pPr>
        <w:sectPr>
          <w:pgSz w:w="12240" w:h="15840" w:orient="portrait"/>
          <w:cols w:equalWidth="0" w:num="1">
            <w:col w:w="10200"/>
          </w:cols>
          <w:pgMar w:left="1020" w:top="1440" w:right="1020" w:bottom="60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2240" w:h="15840" w:orient="portrait"/>
          <w:cols w:equalWidth="0" w:num="1">
            <w:col w:w="10200"/>
          </w:cols>
          <w:pgMar w:left="1020" w:top="1440" w:right="1020" w:bottom="609" w:gutter="0" w:footer="0" w:header="0"/>
          <w:type w:val="continuous"/>
        </w:sectPr>
      </w:pPr>
    </w:p>
    <w:bookmarkStart w:id="4" w:name="page5"/>
    <w:bookmarkEnd w:id="4"/>
    <w:p>
      <w:pPr>
        <w:ind w:left="920" w:hanging="458"/>
        <w:spacing w:after="0" w:line="274" w:lineRule="auto"/>
        <w:tabs>
          <w:tab w:leader="none" w:pos="920" w:val="left"/>
        </w:tabs>
        <w:numPr>
          <w:ilvl w:val="0"/>
          <w:numId w:val="3"/>
        </w:numPr>
        <w:rPr>
          <w:rFonts w:ascii="Arial" w:cs="Arial" w:eastAsia="Arial" w:hAnsi="Arial"/>
          <w:sz w:val="19"/>
          <w:szCs w:val="19"/>
          <w:color w:val="auto"/>
        </w:rPr>
      </w:pPr>
      <w:r>
        <w:rPr>
          <w:rFonts w:ascii="Times New Roman" w:cs="Times New Roman" w:eastAsia="Times New Roman" w:hAnsi="Times New Roman"/>
          <w:sz w:val="19"/>
          <w:szCs w:val="19"/>
          <w:color w:val="auto"/>
        </w:rPr>
        <w:t>the timing of and our ability to submit investigational new drug applications or biologic license applications for, and, if cleared or approved, maintain such regulatory applications or approvals for our product candidates;</w:t>
      </w:r>
    </w:p>
    <w:p>
      <w:pPr>
        <w:spacing w:after="0" w:line="174" w:lineRule="exact"/>
        <w:rPr>
          <w:rFonts w:ascii="Arial" w:cs="Arial" w:eastAsia="Arial" w:hAnsi="Arial"/>
          <w:sz w:val="19"/>
          <w:szCs w:val="19"/>
          <w:color w:val="auto"/>
        </w:rPr>
      </w:pPr>
    </w:p>
    <w:p>
      <w:pPr>
        <w:ind w:left="920" w:hanging="458"/>
        <w:spacing w:after="0"/>
        <w:tabs>
          <w:tab w:leader="none" w:pos="920" w:val="left"/>
        </w:tabs>
        <w:numPr>
          <w:ilvl w:val="0"/>
          <w:numId w:val="3"/>
        </w:numPr>
        <w:rPr>
          <w:rFonts w:ascii="Arial" w:cs="Arial" w:eastAsia="Arial" w:hAnsi="Arial"/>
          <w:sz w:val="19"/>
          <w:szCs w:val="19"/>
          <w:color w:val="auto"/>
        </w:rPr>
      </w:pPr>
      <w:r>
        <w:rPr>
          <w:rFonts w:ascii="Times New Roman" w:cs="Times New Roman" w:eastAsia="Times New Roman" w:hAnsi="Times New Roman"/>
          <w:sz w:val="19"/>
          <w:szCs w:val="19"/>
          <w:color w:val="auto"/>
        </w:rPr>
        <w:t>our commercialization and marketing capabilities and strategy related to our product candidates, if approved;</w:t>
      </w:r>
    </w:p>
    <w:p>
      <w:pPr>
        <w:spacing w:after="0" w:line="238" w:lineRule="exact"/>
        <w:rPr>
          <w:rFonts w:ascii="Arial" w:cs="Arial" w:eastAsia="Arial" w:hAnsi="Arial"/>
          <w:sz w:val="19"/>
          <w:szCs w:val="19"/>
          <w:color w:val="auto"/>
        </w:rPr>
      </w:pPr>
    </w:p>
    <w:p>
      <w:pPr>
        <w:ind w:left="920" w:hanging="458"/>
        <w:spacing w:after="0"/>
        <w:tabs>
          <w:tab w:leader="none" w:pos="920" w:val="left"/>
        </w:tabs>
        <w:numPr>
          <w:ilvl w:val="0"/>
          <w:numId w:val="3"/>
        </w:numPr>
        <w:rPr>
          <w:rFonts w:ascii="Arial" w:cs="Arial" w:eastAsia="Arial" w:hAnsi="Arial"/>
          <w:sz w:val="19"/>
          <w:szCs w:val="19"/>
          <w:color w:val="auto"/>
        </w:rPr>
      </w:pPr>
      <w:r>
        <w:rPr>
          <w:rFonts w:ascii="Times New Roman" w:cs="Times New Roman" w:eastAsia="Times New Roman" w:hAnsi="Times New Roman"/>
          <w:sz w:val="19"/>
          <w:szCs w:val="19"/>
          <w:color w:val="auto"/>
        </w:rPr>
        <w:t>the rate and degree of market acceptance of our product candidates, if approved;</w:t>
      </w:r>
    </w:p>
    <w:p>
      <w:pPr>
        <w:spacing w:after="0" w:line="238"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3"/>
        </w:numPr>
        <w:rPr>
          <w:rFonts w:ascii="Arial" w:cs="Arial" w:eastAsia="Arial" w:hAnsi="Arial"/>
          <w:sz w:val="19"/>
          <w:szCs w:val="19"/>
          <w:color w:val="auto"/>
        </w:rPr>
      </w:pPr>
      <w:r>
        <w:rPr>
          <w:rFonts w:ascii="Times New Roman" w:cs="Times New Roman" w:eastAsia="Times New Roman" w:hAnsi="Times New Roman"/>
          <w:sz w:val="19"/>
          <w:szCs w:val="19"/>
          <w:color w:val="auto"/>
        </w:rPr>
        <w:t>our estimates regarding the addressable patient population and potential market opportunity for our current and future product candidates;</w:t>
      </w:r>
    </w:p>
    <w:p>
      <w:pPr>
        <w:spacing w:after="0" w:line="174"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3"/>
        </w:numPr>
        <w:rPr>
          <w:rFonts w:ascii="Arial" w:cs="Arial" w:eastAsia="Arial" w:hAnsi="Arial"/>
          <w:sz w:val="19"/>
          <w:szCs w:val="19"/>
          <w:color w:val="auto"/>
        </w:rPr>
      </w:pPr>
      <w:r>
        <w:rPr>
          <w:rFonts w:ascii="Times New Roman" w:cs="Times New Roman" w:eastAsia="Times New Roman" w:hAnsi="Times New Roman"/>
          <w:sz w:val="19"/>
          <w:szCs w:val="19"/>
          <w:color w:val="auto"/>
        </w:rPr>
        <w:t>developments relating to or impacting our competitors and our industry, including the impact of current or future government laws and regulations on us, third parties with whom we do business and our industry;</w:t>
      </w:r>
    </w:p>
    <w:p>
      <w:pPr>
        <w:spacing w:after="0" w:line="174"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3"/>
        </w:numPr>
        <w:rPr>
          <w:rFonts w:ascii="Arial" w:cs="Arial" w:eastAsia="Arial" w:hAnsi="Arial"/>
          <w:sz w:val="19"/>
          <w:szCs w:val="19"/>
          <w:color w:val="auto"/>
        </w:rPr>
      </w:pPr>
      <w:r>
        <w:rPr>
          <w:rFonts w:ascii="Times New Roman" w:cs="Times New Roman" w:eastAsia="Times New Roman" w:hAnsi="Times New Roman"/>
          <w:sz w:val="19"/>
          <w:szCs w:val="19"/>
          <w:color w:val="auto"/>
        </w:rPr>
        <w:t>the impact of current or future government laws and regulations on us or third parties with whom we do business and our industry;</w:t>
      </w:r>
    </w:p>
    <w:p>
      <w:pPr>
        <w:spacing w:after="0" w:line="174"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3"/>
        </w:numPr>
        <w:rPr>
          <w:rFonts w:ascii="Arial" w:cs="Arial" w:eastAsia="Arial" w:hAnsi="Arial"/>
          <w:sz w:val="19"/>
          <w:szCs w:val="19"/>
          <w:color w:val="auto"/>
        </w:rPr>
      </w:pPr>
      <w:r>
        <w:rPr>
          <w:rFonts w:ascii="Times New Roman" w:cs="Times New Roman" w:eastAsia="Times New Roman" w:hAnsi="Times New Roman"/>
          <w:sz w:val="19"/>
          <w:szCs w:val="19"/>
          <w:color w:val="auto"/>
        </w:rPr>
        <w:t>our competitive position and expectations regarding developments and projections relating to our current or future competitors and any competing therapies that are or become available;</w:t>
      </w:r>
    </w:p>
    <w:p>
      <w:pPr>
        <w:spacing w:after="0" w:line="174"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3"/>
        </w:numPr>
        <w:rPr>
          <w:rFonts w:ascii="Arial" w:cs="Arial" w:eastAsia="Arial" w:hAnsi="Arial"/>
          <w:sz w:val="19"/>
          <w:szCs w:val="19"/>
          <w:color w:val="auto"/>
        </w:rPr>
      </w:pPr>
      <w:r>
        <w:rPr>
          <w:rFonts w:ascii="Times New Roman" w:cs="Times New Roman" w:eastAsia="Times New Roman" w:hAnsi="Times New Roman"/>
          <w:sz w:val="19"/>
          <w:szCs w:val="19"/>
          <w:color w:val="auto"/>
        </w:rPr>
        <w:t>our expectations regarding the time during which we will be an emerging growth company under the Jumpstart Our Business Startups Act, or JOBS Act; and</w:t>
      </w:r>
    </w:p>
    <w:p>
      <w:pPr>
        <w:spacing w:after="0" w:line="174" w:lineRule="exact"/>
        <w:rPr>
          <w:rFonts w:ascii="Arial" w:cs="Arial" w:eastAsia="Arial" w:hAnsi="Arial"/>
          <w:sz w:val="19"/>
          <w:szCs w:val="19"/>
          <w:color w:val="auto"/>
        </w:rPr>
      </w:pPr>
    </w:p>
    <w:p>
      <w:pPr>
        <w:ind w:left="920" w:hanging="458"/>
        <w:spacing w:after="0"/>
        <w:tabs>
          <w:tab w:leader="none" w:pos="920" w:val="left"/>
        </w:tabs>
        <w:numPr>
          <w:ilvl w:val="0"/>
          <w:numId w:val="3"/>
        </w:numPr>
        <w:rPr>
          <w:rFonts w:ascii="Arial" w:cs="Arial" w:eastAsia="Arial" w:hAnsi="Arial"/>
          <w:sz w:val="19"/>
          <w:szCs w:val="19"/>
          <w:color w:val="auto"/>
        </w:rPr>
      </w:pPr>
      <w:r>
        <w:rPr>
          <w:rFonts w:ascii="Times New Roman" w:cs="Times New Roman" w:eastAsia="Times New Roman" w:hAnsi="Times New Roman"/>
          <w:sz w:val="19"/>
          <w:szCs w:val="19"/>
          <w:color w:val="auto"/>
        </w:rPr>
        <w:t>the impact of general economic conditions, including inflation and the imposition of new or revised global trade tariffs.</w:t>
      </w:r>
    </w:p>
    <w:p>
      <w:pPr>
        <w:spacing w:after="0" w:line="22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color w:val="auto"/>
        </w:rPr>
        <w:t>Any forward-looking statements in this Annual Report on Form 10-K reflect our current views with respect to future events or to our future financial performance and involve known and unknown risks, uncertainties and other important factors that may cause our actual results, performance or achievements to be materially different from any future results, performance or achievements expressed or implied by these forward -looking statements.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Annual Report on Form 10-K, particularly those described in the “Risk Factor Summary” and “Risk Factors” section in Part I, Item 1A of this Annual Report on Form 10-K, that could cause actual results or events to differ materially from the forward-looking statements that we make. Given these uncertainties, you should not place undue reliance on these forward-looking statements. Our forward-looking statements do not reflect the potential impact of any future acquisitions, mergers, dispositions, joint ventures or investments we may make or enter into.</w:t>
      </w:r>
    </w:p>
    <w:p>
      <w:pPr>
        <w:spacing w:after="0" w:line="19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You should read this Annual Report on Form 10-K and the documents that we have filed as exhibits to this Annual Report on Form 10-K completely and with the understanding that our actual future results, performance or achievements may be materially different from what we expect. Except as required by law, we assume no obligation to update or revise these forward-looking statements for any reason, even if new information becomes available in the future.</w:t>
      </w:r>
    </w:p>
    <w:p>
      <w:pPr>
        <w:sectPr>
          <w:pgSz w:w="12240" w:h="15840" w:orient="portrait"/>
          <w:cols w:equalWidth="0" w:num="1">
            <w:col w:w="10200"/>
          </w:cols>
          <w:pgMar w:left="1020" w:top="1330" w:right="1020" w:bottom="60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2240" w:h="15840" w:orient="portrait"/>
          <w:cols w:equalWidth="0" w:num="1">
            <w:col w:w="10200"/>
          </w:cols>
          <w:pgMar w:left="1020" w:top="1330" w:right="1020" w:bottom="609"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19"/>
          <w:szCs w:val="19"/>
          <w:b w:val="1"/>
          <w:bCs w:val="1"/>
          <w:i w:val="1"/>
          <w:iCs w:val="1"/>
          <w:color w:val="auto"/>
        </w:rPr>
        <w:t>Risk Factor Summary</w:t>
      </w:r>
    </w:p>
    <w:p>
      <w:pPr>
        <w:spacing w:after="0" w:line="2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Our business is subject to numerous risks that, if realized, could materially and adversely affect our business, financial condition, results of operations and future growth prospects. These risks are discussed more fully in Part I, Item 1A. “Risk Factors” in this Annual Report on Form 10-K. These risks include, but are not limited to, the following:</w:t>
      </w:r>
    </w:p>
    <w:p>
      <w:pPr>
        <w:spacing w:after="0" w:line="190" w:lineRule="exact"/>
        <w:rPr>
          <w:sz w:val="20"/>
          <w:szCs w:val="20"/>
          <w:color w:val="auto"/>
        </w:rPr>
      </w:pPr>
    </w:p>
    <w:p>
      <w:pPr>
        <w:ind w:left="920" w:hanging="457"/>
        <w:spacing w:after="0" w:line="274" w:lineRule="auto"/>
        <w:tabs>
          <w:tab w:leader="none" w:pos="920" w:val="left"/>
        </w:tabs>
        <w:numPr>
          <w:ilvl w:val="0"/>
          <w:numId w:val="4"/>
        </w:numPr>
        <w:rPr>
          <w:rFonts w:ascii="Arial" w:cs="Arial" w:eastAsia="Arial" w:hAnsi="Arial"/>
          <w:sz w:val="19"/>
          <w:szCs w:val="19"/>
          <w:color w:val="auto"/>
        </w:rPr>
      </w:pPr>
      <w:r>
        <w:rPr>
          <w:rFonts w:ascii="Times New Roman" w:cs="Times New Roman" w:eastAsia="Times New Roman" w:hAnsi="Times New Roman"/>
          <w:sz w:val="19"/>
          <w:szCs w:val="19"/>
          <w:color w:val="auto"/>
        </w:rPr>
        <w:t>We will need to obtain substantial additional capital in the future to finance our operations and complete the development of any current or future product candidates.</w:t>
      </w:r>
    </w:p>
    <w:p>
      <w:pPr>
        <w:spacing w:after="0" w:line="174" w:lineRule="exact"/>
        <w:rPr>
          <w:rFonts w:ascii="Arial" w:cs="Arial" w:eastAsia="Arial" w:hAnsi="Arial"/>
          <w:sz w:val="19"/>
          <w:szCs w:val="19"/>
          <w:color w:val="auto"/>
        </w:rPr>
      </w:pPr>
    </w:p>
    <w:p>
      <w:pPr>
        <w:jc w:val="both"/>
        <w:ind w:left="920" w:hanging="457"/>
        <w:spacing w:after="0" w:line="256" w:lineRule="auto"/>
        <w:tabs>
          <w:tab w:leader="none" w:pos="920" w:val="left"/>
        </w:tabs>
        <w:numPr>
          <w:ilvl w:val="0"/>
          <w:numId w:val="4"/>
        </w:numPr>
        <w:rPr>
          <w:rFonts w:ascii="Arial" w:cs="Arial" w:eastAsia="Arial" w:hAnsi="Arial"/>
          <w:sz w:val="19"/>
          <w:szCs w:val="19"/>
          <w:color w:val="auto"/>
        </w:rPr>
      </w:pPr>
      <w:r>
        <w:rPr>
          <w:rFonts w:ascii="Times New Roman" w:cs="Times New Roman" w:eastAsia="Times New Roman" w:hAnsi="Times New Roman"/>
          <w:sz w:val="19"/>
          <w:szCs w:val="19"/>
          <w:color w:val="auto"/>
        </w:rPr>
        <w:t>If we fail to regain and maintain compliance with the continued listing requirements of The Nasdaq Capital Market, our common stock may be delisted and the price of our common stock and our ability to access the capital markets could be negatively impacted.</w:t>
      </w:r>
    </w:p>
    <w:p>
      <w:pPr>
        <w:spacing w:after="0" w:line="191" w:lineRule="exact"/>
        <w:rPr>
          <w:rFonts w:ascii="Arial" w:cs="Arial" w:eastAsia="Arial" w:hAnsi="Arial"/>
          <w:sz w:val="19"/>
          <w:szCs w:val="19"/>
          <w:color w:val="auto"/>
        </w:rPr>
      </w:pPr>
    </w:p>
    <w:p>
      <w:pPr>
        <w:ind w:left="920" w:hanging="457"/>
        <w:spacing w:after="0" w:line="274" w:lineRule="auto"/>
        <w:tabs>
          <w:tab w:leader="none" w:pos="920" w:val="left"/>
        </w:tabs>
        <w:numPr>
          <w:ilvl w:val="0"/>
          <w:numId w:val="4"/>
        </w:numPr>
        <w:rPr>
          <w:rFonts w:ascii="Arial" w:cs="Arial" w:eastAsia="Arial" w:hAnsi="Arial"/>
          <w:sz w:val="19"/>
          <w:szCs w:val="19"/>
          <w:color w:val="auto"/>
        </w:rPr>
      </w:pPr>
      <w:r>
        <w:rPr>
          <w:rFonts w:ascii="Times New Roman" w:cs="Times New Roman" w:eastAsia="Times New Roman" w:hAnsi="Times New Roman"/>
          <w:sz w:val="19"/>
          <w:szCs w:val="19"/>
          <w:color w:val="auto"/>
        </w:rPr>
        <w:t>The recently implemented reverse stock split of our common stock may not achieve the intended benefits and could have a materially adverse effect on the market price of our common stock.</w:t>
      </w:r>
    </w:p>
    <w:p>
      <w:pPr>
        <w:spacing w:after="0" w:line="174" w:lineRule="exact"/>
        <w:rPr>
          <w:rFonts w:ascii="Arial" w:cs="Arial" w:eastAsia="Arial" w:hAnsi="Arial"/>
          <w:sz w:val="19"/>
          <w:szCs w:val="19"/>
          <w:color w:val="auto"/>
        </w:rPr>
      </w:pPr>
    </w:p>
    <w:p>
      <w:pPr>
        <w:ind w:left="920" w:hanging="457"/>
        <w:spacing w:after="0" w:line="274" w:lineRule="auto"/>
        <w:tabs>
          <w:tab w:leader="none" w:pos="920" w:val="left"/>
        </w:tabs>
        <w:numPr>
          <w:ilvl w:val="0"/>
          <w:numId w:val="4"/>
        </w:numPr>
        <w:rPr>
          <w:rFonts w:ascii="Arial" w:cs="Arial" w:eastAsia="Arial" w:hAnsi="Arial"/>
          <w:sz w:val="19"/>
          <w:szCs w:val="19"/>
          <w:color w:val="auto"/>
        </w:rPr>
      </w:pPr>
      <w:r>
        <w:rPr>
          <w:rFonts w:ascii="Times New Roman" w:cs="Times New Roman" w:eastAsia="Times New Roman" w:hAnsi="Times New Roman"/>
          <w:sz w:val="19"/>
          <w:szCs w:val="19"/>
          <w:color w:val="auto"/>
        </w:rPr>
        <w:t>We have incurred significant operating losses since our inception and expect to incur significant losses for the foreseeable future.</w:t>
      </w:r>
    </w:p>
    <w:p>
      <w:pPr>
        <w:spacing w:after="0" w:line="174" w:lineRule="exact"/>
        <w:rPr>
          <w:rFonts w:ascii="Arial" w:cs="Arial" w:eastAsia="Arial" w:hAnsi="Arial"/>
          <w:sz w:val="19"/>
          <w:szCs w:val="19"/>
          <w:color w:val="auto"/>
        </w:rPr>
      </w:pPr>
    </w:p>
    <w:p>
      <w:pPr>
        <w:jc w:val="both"/>
        <w:ind w:left="920" w:hanging="457"/>
        <w:spacing w:after="0" w:line="256" w:lineRule="auto"/>
        <w:tabs>
          <w:tab w:leader="none" w:pos="920" w:val="left"/>
        </w:tabs>
        <w:numPr>
          <w:ilvl w:val="0"/>
          <w:numId w:val="4"/>
        </w:numPr>
        <w:rPr>
          <w:rFonts w:ascii="Arial" w:cs="Arial" w:eastAsia="Arial" w:hAnsi="Arial"/>
          <w:sz w:val="19"/>
          <w:szCs w:val="19"/>
          <w:color w:val="auto"/>
        </w:rPr>
      </w:pPr>
      <w:r>
        <w:rPr>
          <w:rFonts w:ascii="Times New Roman" w:cs="Times New Roman" w:eastAsia="Times New Roman" w:hAnsi="Times New Roman"/>
          <w:sz w:val="19"/>
          <w:szCs w:val="19"/>
          <w:color w:val="auto"/>
        </w:rPr>
        <w:t>Our business is highly dependent on the success of our current product candidates, which are in the early stages of development and will require significant additional preclinical and clinical development before we can seek regulatory approval for and commercially launch a product.</w:t>
      </w:r>
    </w:p>
    <w:p>
      <w:pPr>
        <w:spacing w:after="0" w:line="191" w:lineRule="exact"/>
        <w:rPr>
          <w:rFonts w:ascii="Arial" w:cs="Arial" w:eastAsia="Arial" w:hAnsi="Arial"/>
          <w:sz w:val="19"/>
          <w:szCs w:val="19"/>
          <w:color w:val="auto"/>
        </w:rPr>
      </w:pPr>
    </w:p>
    <w:p>
      <w:pPr>
        <w:ind w:left="920" w:hanging="457"/>
        <w:spacing w:after="0" w:line="274" w:lineRule="auto"/>
        <w:tabs>
          <w:tab w:leader="none" w:pos="920" w:val="left"/>
        </w:tabs>
        <w:numPr>
          <w:ilvl w:val="0"/>
          <w:numId w:val="4"/>
        </w:numPr>
        <w:rPr>
          <w:rFonts w:ascii="Arial" w:cs="Arial" w:eastAsia="Arial" w:hAnsi="Arial"/>
          <w:sz w:val="19"/>
          <w:szCs w:val="19"/>
          <w:color w:val="auto"/>
        </w:rPr>
      </w:pPr>
      <w:r>
        <w:rPr>
          <w:rFonts w:ascii="Times New Roman" w:cs="Times New Roman" w:eastAsia="Times New Roman" w:hAnsi="Times New Roman"/>
          <w:sz w:val="19"/>
          <w:szCs w:val="19"/>
          <w:color w:val="auto"/>
        </w:rPr>
        <w:t>Our approach to the discovery and development of product candidates based on our technological approaches is unproven, and we do not know whether we will be able to develop any products of commercial value.</w:t>
      </w:r>
    </w:p>
    <w:p>
      <w:pPr>
        <w:spacing w:after="0" w:line="174" w:lineRule="exact"/>
        <w:rPr>
          <w:rFonts w:ascii="Arial" w:cs="Arial" w:eastAsia="Arial" w:hAnsi="Arial"/>
          <w:sz w:val="19"/>
          <w:szCs w:val="19"/>
          <w:color w:val="auto"/>
        </w:rPr>
      </w:pPr>
    </w:p>
    <w:p>
      <w:pPr>
        <w:jc w:val="both"/>
        <w:ind w:left="920" w:hanging="457"/>
        <w:spacing w:after="0" w:line="256" w:lineRule="auto"/>
        <w:tabs>
          <w:tab w:leader="none" w:pos="920" w:val="left"/>
        </w:tabs>
        <w:numPr>
          <w:ilvl w:val="0"/>
          <w:numId w:val="4"/>
        </w:numPr>
        <w:rPr>
          <w:rFonts w:ascii="Arial" w:cs="Arial" w:eastAsia="Arial" w:hAnsi="Arial"/>
          <w:sz w:val="19"/>
          <w:szCs w:val="19"/>
          <w:color w:val="auto"/>
        </w:rPr>
      </w:pPr>
      <w:r>
        <w:rPr>
          <w:rFonts w:ascii="Times New Roman" w:cs="Times New Roman" w:eastAsia="Times New Roman" w:hAnsi="Times New Roman"/>
          <w:sz w:val="19"/>
          <w:szCs w:val="19"/>
          <w:color w:val="auto"/>
        </w:rPr>
        <w:t>Preclinical development is uncertain. Our preclinical programs may experience delays or may never advance to clinical trials, which would adversely affect our ability to obtain regulatory approvals or commercialize these programs on a timely basis or at all, which would have an adverse effect on our business.</w:t>
      </w:r>
    </w:p>
    <w:p>
      <w:pPr>
        <w:spacing w:after="0" w:line="191" w:lineRule="exact"/>
        <w:rPr>
          <w:rFonts w:ascii="Arial" w:cs="Arial" w:eastAsia="Arial" w:hAnsi="Arial"/>
          <w:sz w:val="19"/>
          <w:szCs w:val="19"/>
          <w:color w:val="auto"/>
        </w:rPr>
      </w:pPr>
    </w:p>
    <w:p>
      <w:pPr>
        <w:jc w:val="both"/>
        <w:ind w:left="920" w:hanging="457"/>
        <w:spacing w:after="0" w:line="256" w:lineRule="auto"/>
        <w:tabs>
          <w:tab w:leader="none" w:pos="920" w:val="left"/>
        </w:tabs>
        <w:numPr>
          <w:ilvl w:val="0"/>
          <w:numId w:val="4"/>
        </w:numPr>
        <w:rPr>
          <w:rFonts w:ascii="Arial" w:cs="Arial" w:eastAsia="Arial" w:hAnsi="Arial"/>
          <w:sz w:val="19"/>
          <w:szCs w:val="19"/>
          <w:color w:val="auto"/>
        </w:rPr>
      </w:pPr>
      <w:r>
        <w:rPr>
          <w:rFonts w:ascii="Times New Roman" w:cs="Times New Roman" w:eastAsia="Times New Roman" w:hAnsi="Times New Roman"/>
          <w:sz w:val="19"/>
          <w:szCs w:val="19"/>
          <w:color w:val="auto"/>
        </w:rPr>
        <w:t>We may encounter substantial delays in the commencement or completion, or termination or suspension, of our clinical trials, which could result in increased costs to us, delay or limit our ability to generate revenue and adversely affect our commercial prospects.</w:t>
      </w:r>
    </w:p>
    <w:p>
      <w:pPr>
        <w:spacing w:after="0" w:line="191" w:lineRule="exact"/>
        <w:rPr>
          <w:rFonts w:ascii="Arial" w:cs="Arial" w:eastAsia="Arial" w:hAnsi="Arial"/>
          <w:sz w:val="19"/>
          <w:szCs w:val="19"/>
          <w:color w:val="auto"/>
        </w:rPr>
      </w:pPr>
    </w:p>
    <w:p>
      <w:pPr>
        <w:jc w:val="both"/>
        <w:ind w:left="920" w:hanging="457"/>
        <w:spacing w:after="0" w:line="256" w:lineRule="auto"/>
        <w:tabs>
          <w:tab w:leader="none" w:pos="920" w:val="left"/>
        </w:tabs>
        <w:numPr>
          <w:ilvl w:val="0"/>
          <w:numId w:val="4"/>
        </w:numPr>
        <w:rPr>
          <w:rFonts w:ascii="Arial" w:cs="Arial" w:eastAsia="Arial" w:hAnsi="Arial"/>
          <w:sz w:val="19"/>
          <w:szCs w:val="19"/>
          <w:color w:val="auto"/>
        </w:rPr>
      </w:pPr>
      <w:r>
        <w:rPr>
          <w:rFonts w:ascii="Times New Roman" w:cs="Times New Roman" w:eastAsia="Times New Roman" w:hAnsi="Times New Roman"/>
          <w:sz w:val="19"/>
          <w:szCs w:val="19"/>
          <w:color w:val="auto"/>
        </w:rPr>
        <w:t>Our product candidates may cause undesirable or unexpectedly severe side effects that could delay or prevent their regulatory approval, limit the commercial profile of an approved label, or result in significant negative consequences following marketing approval, if any.</w:t>
      </w:r>
    </w:p>
    <w:p>
      <w:pPr>
        <w:spacing w:after="0" w:line="191" w:lineRule="exact"/>
        <w:rPr>
          <w:rFonts w:ascii="Arial" w:cs="Arial" w:eastAsia="Arial" w:hAnsi="Arial"/>
          <w:sz w:val="19"/>
          <w:szCs w:val="19"/>
          <w:color w:val="auto"/>
        </w:rPr>
      </w:pPr>
    </w:p>
    <w:p>
      <w:pPr>
        <w:jc w:val="both"/>
        <w:ind w:left="920" w:hanging="457"/>
        <w:spacing w:after="0" w:line="256" w:lineRule="auto"/>
        <w:tabs>
          <w:tab w:leader="none" w:pos="920" w:val="left"/>
        </w:tabs>
        <w:numPr>
          <w:ilvl w:val="0"/>
          <w:numId w:val="4"/>
        </w:numPr>
        <w:rPr>
          <w:rFonts w:ascii="Arial" w:cs="Arial" w:eastAsia="Arial" w:hAnsi="Arial"/>
          <w:sz w:val="19"/>
          <w:szCs w:val="19"/>
          <w:color w:val="auto"/>
        </w:rPr>
      </w:pPr>
      <w:r>
        <w:rPr>
          <w:rFonts w:ascii="Times New Roman" w:cs="Times New Roman" w:eastAsia="Times New Roman" w:hAnsi="Times New Roman"/>
          <w:sz w:val="19"/>
          <w:szCs w:val="19"/>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91" w:lineRule="exact"/>
        <w:rPr>
          <w:rFonts w:ascii="Arial" w:cs="Arial" w:eastAsia="Arial" w:hAnsi="Arial"/>
          <w:sz w:val="19"/>
          <w:szCs w:val="19"/>
          <w:color w:val="auto"/>
        </w:rPr>
      </w:pPr>
    </w:p>
    <w:p>
      <w:pPr>
        <w:ind w:left="920" w:hanging="457"/>
        <w:spacing w:after="0" w:line="274" w:lineRule="auto"/>
        <w:tabs>
          <w:tab w:leader="none" w:pos="920" w:val="left"/>
        </w:tabs>
        <w:numPr>
          <w:ilvl w:val="0"/>
          <w:numId w:val="4"/>
        </w:numPr>
        <w:rPr>
          <w:rFonts w:ascii="Arial" w:cs="Arial" w:eastAsia="Arial" w:hAnsi="Arial"/>
          <w:sz w:val="19"/>
          <w:szCs w:val="19"/>
          <w:color w:val="auto"/>
        </w:rPr>
      </w:pPr>
      <w:r>
        <w:rPr>
          <w:rFonts w:ascii="Times New Roman" w:cs="Times New Roman" w:eastAsia="Times New Roman" w:hAnsi="Times New Roman"/>
          <w:sz w:val="19"/>
          <w:szCs w:val="19"/>
          <w:color w:val="auto"/>
        </w:rPr>
        <w:t>We expect to develop certain of our product candidates in combination with third-party drugs and we will have limited or no control over the safety, supply, regulatory status or regulatory approval of such drugs.</w:t>
      </w:r>
    </w:p>
    <w:p>
      <w:pPr>
        <w:spacing w:after="0" w:line="174" w:lineRule="exact"/>
        <w:rPr>
          <w:rFonts w:ascii="Arial" w:cs="Arial" w:eastAsia="Arial" w:hAnsi="Arial"/>
          <w:sz w:val="19"/>
          <w:szCs w:val="19"/>
          <w:color w:val="auto"/>
        </w:rPr>
      </w:pPr>
    </w:p>
    <w:p>
      <w:pPr>
        <w:jc w:val="both"/>
        <w:ind w:left="920" w:hanging="457"/>
        <w:spacing w:after="0" w:line="247" w:lineRule="auto"/>
        <w:tabs>
          <w:tab w:leader="none" w:pos="920" w:val="left"/>
        </w:tabs>
        <w:numPr>
          <w:ilvl w:val="0"/>
          <w:numId w:val="4"/>
        </w:numPr>
        <w:rPr>
          <w:rFonts w:ascii="Arial" w:cs="Arial" w:eastAsia="Arial" w:hAnsi="Arial"/>
          <w:sz w:val="19"/>
          <w:szCs w:val="19"/>
          <w:color w:val="auto"/>
        </w:rPr>
      </w:pPr>
      <w:r>
        <w:rPr>
          <w:rFonts w:ascii="Times New Roman" w:cs="Times New Roman" w:eastAsia="Times New Roman" w:hAnsi="Times New Roman"/>
          <w:sz w:val="19"/>
          <w:szCs w:val="19"/>
          <w:color w:val="auto"/>
        </w:rPr>
        <w:t>Manufacturing biologics is complex, and we may experience manufacturing problems that result in delays in our development or commercialization programs. In addition, certain of our research and development and manufacturing activities take place in China through WuXi Biologics (Hong Kong) Limited, or WuXi Biologics. A significant disruption in our ability to rely on WuXi Biologics could materially adversely affect our business, financial condition and results of operations.</w:t>
      </w:r>
    </w:p>
    <w:p>
      <w:pPr>
        <w:spacing w:after="0" w:line="201" w:lineRule="exact"/>
        <w:rPr>
          <w:rFonts w:ascii="Arial" w:cs="Arial" w:eastAsia="Arial" w:hAnsi="Arial"/>
          <w:sz w:val="19"/>
          <w:szCs w:val="19"/>
          <w:color w:val="auto"/>
        </w:rPr>
      </w:pPr>
    </w:p>
    <w:p>
      <w:pPr>
        <w:ind w:left="920" w:hanging="457"/>
        <w:spacing w:after="0" w:line="274" w:lineRule="auto"/>
        <w:tabs>
          <w:tab w:leader="none" w:pos="920" w:val="left"/>
        </w:tabs>
        <w:numPr>
          <w:ilvl w:val="0"/>
          <w:numId w:val="4"/>
        </w:numPr>
        <w:rPr>
          <w:rFonts w:ascii="Arial" w:cs="Arial" w:eastAsia="Arial" w:hAnsi="Arial"/>
          <w:sz w:val="19"/>
          <w:szCs w:val="19"/>
          <w:color w:val="auto"/>
        </w:rPr>
      </w:pPr>
      <w:r>
        <w:rPr>
          <w:rFonts w:ascii="Times New Roman" w:cs="Times New Roman" w:eastAsia="Times New Roman" w:hAnsi="Times New Roman"/>
          <w:sz w:val="19"/>
          <w:szCs w:val="19"/>
          <w:color w:val="auto"/>
        </w:rPr>
        <w:t>We expect to rely on third parties to conduct, supervise and monitor IND-enabling studies and clinical trials, and if these third parties perform in an unsatisfactory manner, it may harm our business, reputation and results of operations.</w:t>
      </w:r>
    </w:p>
    <w:p>
      <w:pPr>
        <w:spacing w:after="0" w:line="174" w:lineRule="exact"/>
        <w:rPr>
          <w:rFonts w:ascii="Arial" w:cs="Arial" w:eastAsia="Arial" w:hAnsi="Arial"/>
          <w:sz w:val="19"/>
          <w:szCs w:val="19"/>
          <w:color w:val="auto"/>
        </w:rPr>
      </w:pPr>
    </w:p>
    <w:p>
      <w:pPr>
        <w:jc w:val="both"/>
        <w:ind w:left="920" w:hanging="457"/>
        <w:spacing w:after="0" w:line="250" w:lineRule="auto"/>
        <w:tabs>
          <w:tab w:leader="none" w:pos="920" w:val="left"/>
        </w:tabs>
        <w:numPr>
          <w:ilvl w:val="0"/>
          <w:numId w:val="4"/>
        </w:numPr>
        <w:rPr>
          <w:rFonts w:ascii="Arial" w:cs="Arial" w:eastAsia="Arial" w:hAnsi="Arial"/>
          <w:sz w:val="19"/>
          <w:szCs w:val="19"/>
          <w:color w:val="auto"/>
        </w:rPr>
      </w:pPr>
      <w:r>
        <w:rPr>
          <w:rFonts w:ascii="Times New Roman" w:cs="Times New Roman" w:eastAsia="Times New Roman" w:hAnsi="Times New Roman"/>
          <w:sz w:val="19"/>
          <w:szCs w:val="19"/>
          <w:color w:val="auto"/>
        </w:rPr>
        <w:t>We have entered into, and may in the future seek to enter into, collaborations, licenses, or similar arrangements with third parties for the research, development and commercialization of certain of our current or future product candidates. If any such arrangements are not successful, we may not be able to capitalize on the market potential of those product candidates.</w:t>
      </w:r>
    </w:p>
    <w:p>
      <w:pPr>
        <w:sectPr>
          <w:pgSz w:w="12240" w:h="15840" w:orient="portrait"/>
          <w:cols w:equalWidth="0" w:num="1">
            <w:col w:w="10200"/>
          </w:cols>
          <w:pgMar w:left="1020" w:top="1319" w:right="1020" w:bottom="609" w:gutter="0" w:footer="0" w:header="0"/>
        </w:sectPr>
      </w:pP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2240" w:h="15840" w:orient="portrait"/>
          <w:cols w:equalWidth="0" w:num="1">
            <w:col w:w="10200"/>
          </w:cols>
          <w:pgMar w:left="1020" w:top="1319" w:right="1020" w:bottom="609" w:gutter="0" w:footer="0" w:header="0"/>
          <w:type w:val="continuous"/>
        </w:sectPr>
      </w:pPr>
    </w:p>
    <w:bookmarkStart w:id="6" w:name="page7"/>
    <w:bookmarkEnd w:id="6"/>
    <w:p>
      <w:pPr>
        <w:ind w:left="920" w:hanging="458"/>
        <w:spacing w:after="0" w:line="274" w:lineRule="auto"/>
        <w:tabs>
          <w:tab w:leader="none" w:pos="920" w:val="left"/>
        </w:tabs>
        <w:numPr>
          <w:ilvl w:val="0"/>
          <w:numId w:val="5"/>
        </w:numPr>
        <w:rPr>
          <w:rFonts w:ascii="Arial" w:cs="Arial" w:eastAsia="Arial" w:hAnsi="Arial"/>
          <w:sz w:val="19"/>
          <w:szCs w:val="19"/>
          <w:color w:val="auto"/>
        </w:rPr>
      </w:pPr>
      <w:r>
        <w:rPr>
          <w:rFonts w:ascii="Times New Roman" w:cs="Times New Roman" w:eastAsia="Times New Roman" w:hAnsi="Times New Roman"/>
          <w:sz w:val="19"/>
          <w:szCs w:val="19"/>
          <w:color w:val="auto"/>
        </w:rPr>
        <w:t>We face substantial competition, which may result in others discovering, developing or commercializing products before or more successfully than we do.</w:t>
      </w:r>
    </w:p>
    <w:p>
      <w:pPr>
        <w:spacing w:after="0" w:line="174" w:lineRule="exact"/>
        <w:rPr>
          <w:rFonts w:ascii="Arial" w:cs="Arial" w:eastAsia="Arial" w:hAnsi="Arial"/>
          <w:sz w:val="19"/>
          <w:szCs w:val="19"/>
          <w:color w:val="auto"/>
        </w:rPr>
      </w:pPr>
    </w:p>
    <w:p>
      <w:pPr>
        <w:jc w:val="both"/>
        <w:ind w:left="920" w:hanging="458"/>
        <w:spacing w:after="0" w:line="247" w:lineRule="auto"/>
        <w:tabs>
          <w:tab w:leader="none" w:pos="920" w:val="left"/>
        </w:tabs>
        <w:numPr>
          <w:ilvl w:val="0"/>
          <w:numId w:val="5"/>
        </w:numPr>
        <w:rPr>
          <w:rFonts w:ascii="Arial" w:cs="Arial" w:eastAsia="Arial" w:hAnsi="Arial"/>
          <w:sz w:val="19"/>
          <w:szCs w:val="19"/>
          <w:color w:val="auto"/>
        </w:rPr>
      </w:pPr>
      <w:r>
        <w:rPr>
          <w:rFonts w:ascii="Times New Roman" w:cs="Times New Roman" w:eastAsia="Times New Roman" w:hAnsi="Times New Roman"/>
          <w:sz w:val="19"/>
          <w:szCs w:val="19"/>
          <w:color w:val="auto"/>
        </w:rPr>
        <w:t>If we are unable to obtain and maintain patent protection for any product candidates we develop or for other proprietary technologies we may develop, or if the scope of the patent protection obtained is not sufficiently broad, our competitors could develop and commercialize product candidates and technology similar or identical to our product candidates and technology, and our ability to successfully commercialize any product candidates we may develop, and our technology may be adversely affected.</w:t>
      </w:r>
    </w:p>
    <w:p>
      <w:pPr>
        <w:spacing w:after="0" w:line="201" w:lineRule="exact"/>
        <w:rPr>
          <w:rFonts w:ascii="Arial" w:cs="Arial" w:eastAsia="Arial" w:hAnsi="Arial"/>
          <w:sz w:val="19"/>
          <w:szCs w:val="19"/>
          <w:color w:val="auto"/>
        </w:rPr>
      </w:pPr>
    </w:p>
    <w:p>
      <w:pPr>
        <w:jc w:val="both"/>
        <w:ind w:left="920" w:hanging="458"/>
        <w:spacing w:after="0" w:line="247" w:lineRule="auto"/>
        <w:tabs>
          <w:tab w:leader="none" w:pos="920" w:val="left"/>
        </w:tabs>
        <w:numPr>
          <w:ilvl w:val="0"/>
          <w:numId w:val="5"/>
        </w:numPr>
        <w:rPr>
          <w:rFonts w:ascii="Arial" w:cs="Arial" w:eastAsia="Arial" w:hAnsi="Arial"/>
          <w:sz w:val="19"/>
          <w:szCs w:val="19"/>
          <w:color w:val="auto"/>
        </w:rPr>
      </w:pPr>
      <w:r>
        <w:rPr>
          <w:rFonts w:ascii="Times New Roman" w:cs="Times New Roman" w:eastAsia="Times New Roman" w:hAnsi="Times New Roman"/>
          <w:sz w:val="19"/>
          <w:szCs w:val="19"/>
          <w:color w:val="auto"/>
        </w:rPr>
        <w:t>We rely on in-license agreements for patent rights with respect to our product candidates and may in the future acquire or in-license additional third-party intellectual property rights on which we may similarly rely. We face risks with respect to such reliance, including the risk that we could lose these rights that are important to our business if we fail to comply with our obligations under these licenses or that we may be unable to acquire or in-license third-party intellectual property that may be necessary or important to our business operations.</w:t>
      </w:r>
    </w:p>
    <w:p>
      <w:pPr>
        <w:spacing w:after="0" w:line="201" w:lineRule="exact"/>
        <w:rPr>
          <w:rFonts w:ascii="Arial" w:cs="Arial" w:eastAsia="Arial" w:hAnsi="Arial"/>
          <w:sz w:val="19"/>
          <w:szCs w:val="19"/>
          <w:color w:val="auto"/>
        </w:rPr>
      </w:pPr>
    </w:p>
    <w:p>
      <w:pPr>
        <w:jc w:val="both"/>
        <w:ind w:left="920" w:hanging="458"/>
        <w:spacing w:after="0" w:line="250" w:lineRule="auto"/>
        <w:tabs>
          <w:tab w:leader="none" w:pos="920" w:val="left"/>
        </w:tabs>
        <w:numPr>
          <w:ilvl w:val="0"/>
          <w:numId w:val="5"/>
        </w:numPr>
        <w:rPr>
          <w:rFonts w:ascii="Arial" w:cs="Arial" w:eastAsia="Arial" w:hAnsi="Arial"/>
          <w:sz w:val="19"/>
          <w:szCs w:val="19"/>
          <w:color w:val="auto"/>
        </w:rPr>
      </w:pPr>
      <w:r>
        <w:rPr>
          <w:rFonts w:ascii="Times New Roman" w:cs="Times New Roman" w:eastAsia="Times New Roman" w:hAnsi="Times New Roman"/>
          <w:sz w:val="19"/>
          <w:szCs w:val="19"/>
          <w:color w:val="auto"/>
        </w:rPr>
        <w:t>Even if we complete the necessary preclinical studies and clinical trials, the regulatory approval process is expensive, time consuming and uncertain and may prevent us from obtaining approvals for the commercialization of some or all of our product candidates. As a result, we cannot predict when or if, and in which territories, we will obtain marketing approval to commercialize a product candidate.</w:t>
      </w:r>
    </w:p>
    <w:p>
      <w:pPr>
        <w:spacing w:after="0" w:line="197"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5"/>
        </w:numPr>
        <w:rPr>
          <w:rFonts w:ascii="Arial" w:cs="Arial" w:eastAsia="Arial" w:hAnsi="Arial"/>
          <w:sz w:val="19"/>
          <w:szCs w:val="19"/>
          <w:color w:val="auto"/>
        </w:rPr>
      </w:pPr>
      <w:r>
        <w:rPr>
          <w:rFonts w:ascii="Times New Roman" w:cs="Times New Roman" w:eastAsia="Times New Roman" w:hAnsi="Times New Roman"/>
          <w:sz w:val="19"/>
          <w:szCs w:val="19"/>
          <w:color w:val="auto"/>
        </w:rPr>
        <w:t>The price of our common stock has been and, in the future, could be subject to volatility related or unrelated to our operations, and purchasers of our common stock could suffer a decline in value.</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i w:val="1"/>
          <w:iCs w:val="1"/>
          <w:color w:val="auto"/>
        </w:rPr>
        <w:t>Availability of Other Information About Xilio Therapeutics, Inc.</w:t>
      </w:r>
    </w:p>
    <w:p>
      <w:pPr>
        <w:spacing w:after="0" w:line="22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Investors and others should note that we communicate with our investors and the public using our company website (www.xiliotx.com), including but not limited to investor presentations and scientific presentations, filings with the U.S. Securities and Exchange Commission, press releases, public conference calls and webcasts. You can also connect with us on LinkedIn. The information that we post on these channels and websites could be deemed to be material information. As a result, we encourage investors, the media and others interested in our company to review the information that we post on these channels, including our investor relations website, on a regular basis. This list of channels may be updated from time to time on our investor relations website (ir.xiliotx.com) and may include other social media channels than the ones described above. The contents of our website or these channels, or any other website that may be accessed from our website or these channels, shall not be deemed incorporated by reference in any filing under the Securities Act of 1933, as amended.</w:t>
      </w:r>
    </w:p>
    <w:p>
      <w:pPr>
        <w:sectPr>
          <w:pgSz w:w="12240" w:h="15840" w:orient="portrait"/>
          <w:cols w:equalWidth="0" w:num="1">
            <w:col w:w="10200"/>
          </w:cols>
          <w:pgMar w:left="1020" w:top="1330" w:right="1020" w:bottom="60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2240" w:h="15840" w:orient="portrait"/>
          <w:cols w:equalWidth="0" w:num="1">
            <w:col w:w="10200"/>
          </w:cols>
          <w:pgMar w:left="1020" w:top="1330" w:right="1020" w:bottom="609"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9"/>
          <w:szCs w:val="19"/>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Overview</w:t>
      </w:r>
    </w:p>
    <w:p>
      <w:pPr>
        <w:spacing w:after="0" w:line="22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We are a clinical-stage biotechnology company discovering and developing masked immuno-oncology, or I-O, therapies with the goal of significantly improving outcomes for people living with cancer. Leveraging our clinically-validated masking technology and capabilities, we are developing I-O therapies designed to selectively activate within the tumor microenvironment to achieve durable efficacy without the severe side effects associated with systemically active I-O agents. Our integrated biology and protein engineering approach enables us to design and develop highly potent, masked biologics that are activated, or unmasked, by tumor-specific proteases within the tumor microenvironment. We are currently advancing multiple programs in preclinical and clinical development, including masked multi-specifics, and our clinically-validated masking technology has enabled us to establish top-tier strategic partnerships, including with AbbVie Group Holdings Limited, or AbbVie, and Gilead Sciences, Inc., or Gilead.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Our Masking Technology and Approach</w:t>
      </w:r>
    </w:p>
    <w:p>
      <w:pPr>
        <w:spacing w:after="0" w:line="22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Cancer immunotherapy has demonstrated compelling efficacy, including the ability to generate complete responses and the potential to provide meaningful durability of response and improvements in survival. However, severe side effects have limited the use and potential of most systemically active I-O agents. To seek to overcome these limitations, we are leveraging our clinically-validated masking technology and capabilities to design and develop highly potent, masked biologics that are designed to remain masked, or inactive, until they reach the tumor microenvironment, where they are unmasked, or activated, by tumor-specific matrix metalloproteases, or MMPs, and other tumor-specific proteases resulting in localized activity within the tumor microenvironment. Our deep expertise in biology and protein engineering includes proprietary masking libraries and custom computational design workflows, as well as proprietary preclinical and clinical translational models. Importantly, the broad application of our masking technology enables significant optionality for molecule designs and targets.</w:t>
      </w:r>
    </w:p>
    <w:p>
      <w:pPr>
        <w:spacing w:after="0" w:line="19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9"/>
          <w:szCs w:val="19"/>
          <w:color w:val="auto"/>
        </w:rPr>
        <w:t>The design of each of our masked molecules is illustrated further below. Generally, the key design components for each molecule include one or more of the following: functional domains; masking domains; linker sequences; and protease cleavage sites.</w:t>
      </w:r>
    </w:p>
    <w:p>
      <w:pPr>
        <w:spacing w:after="0" w:line="16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color w:val="auto"/>
        </w:rPr>
        <w:t>Each of our masked molecules contains at least one protease cleavage site, which is cleaved by tumor-specific proteases resulting in the release of the masking domain, allowing the unmasked molecule to bind to the target protein. In the case of our masked T cell engager molecules, our modular architecture enables us to mask the CD3 targeting domain, one or more tumor-associated antigen, or TAA, binding domains and/or the co-stimulatory signaling domain. The mask is designed to release when the protease cleavage site is cleaved in the tumor microenvironment, allowing the unmasked molecule to bind to the T cell and TAA to facilitate an immune synapse. For any of our masked T cell engager molecules that incorporate a co-stimulatory signaling domain, the additional co-stimulatory domain is designed to further enhance potency and durability of the T cell response. We refer to our masked T cell engager format without a co-stimulatory domain as our advanced tumor-activated cell engager, or ATACR, format, and we refer to our masked T cell engager format incorporating a co-stimulatory domain as our selective effector-enhanced cell engager, or SEECR, format.</w:t>
      </w:r>
    </w:p>
    <w:p>
      <w:pPr>
        <w:spacing w:after="0" w:line="19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color w:val="auto"/>
        </w:rPr>
        <w:t>Ultimately, each of our masked molecules is designed to minimize interaction with healthy tissues and cells outside the tumor microenvironment until the mask is released by tumor-specific proteases that cleave the protease cleavage site in the tumor microenvironment. Depending on the particular molecule design, our molecules may also incorporate conditional half-life modulation, which is designed to result in a long half-life while masked and a relatively short half-life post-activation in the tumor microenvironment. Our design approach across all of our masked molecules also seeks to ensure stable molecules with well-understood properties and a reproducible manufacturing approach.</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Importantly, we believe that our clinically-validated masking technology and capabilities provide the following key advantages:</w:t>
      </w:r>
    </w:p>
    <w:p>
      <w:pPr>
        <w:spacing w:after="0" w:line="126" w:lineRule="exact"/>
        <w:rPr>
          <w:sz w:val="20"/>
          <w:szCs w:val="20"/>
          <w:color w:val="auto"/>
        </w:rPr>
      </w:pPr>
    </w:p>
    <w:p>
      <w:pPr>
        <w:ind w:left="680" w:hanging="340"/>
        <w:spacing w:after="0" w:line="274" w:lineRule="auto"/>
        <w:tabs>
          <w:tab w:leader="none" w:pos="680" w:val="left"/>
        </w:tabs>
        <w:numPr>
          <w:ilvl w:val="0"/>
          <w:numId w:val="6"/>
        </w:numPr>
        <w:rPr>
          <w:rFonts w:ascii="Arial" w:cs="Arial" w:eastAsia="Arial" w:hAnsi="Arial"/>
          <w:sz w:val="19"/>
          <w:szCs w:val="19"/>
          <w:color w:val="auto"/>
        </w:rPr>
      </w:pPr>
      <w:r>
        <w:rPr>
          <w:rFonts w:ascii="Times New Roman" w:cs="Times New Roman" w:eastAsia="Times New Roman" w:hAnsi="Times New Roman"/>
          <w:sz w:val="19"/>
          <w:szCs w:val="19"/>
          <w:color w:val="auto"/>
        </w:rPr>
        <w:t>masking that is affinity-optimized and takes advantage of multiple intra-molecular interactions, minimizing the risk of activity outside of the tumor microenvironment and therefore minimizing the risk of toxicity;</w:t>
      </w:r>
    </w:p>
    <w:p>
      <w:pPr>
        <w:spacing w:after="0" w:line="61" w:lineRule="exact"/>
        <w:rPr>
          <w:rFonts w:ascii="Arial" w:cs="Arial" w:eastAsia="Arial" w:hAnsi="Arial"/>
          <w:sz w:val="19"/>
          <w:szCs w:val="19"/>
          <w:color w:val="auto"/>
        </w:rPr>
      </w:pPr>
    </w:p>
    <w:p>
      <w:pPr>
        <w:ind w:left="680" w:hanging="340"/>
        <w:spacing w:after="0" w:line="274" w:lineRule="auto"/>
        <w:tabs>
          <w:tab w:leader="none" w:pos="680" w:val="left"/>
        </w:tabs>
        <w:numPr>
          <w:ilvl w:val="0"/>
          <w:numId w:val="6"/>
        </w:numPr>
        <w:rPr>
          <w:rFonts w:ascii="Arial" w:cs="Arial" w:eastAsia="Arial" w:hAnsi="Arial"/>
          <w:sz w:val="19"/>
          <w:szCs w:val="19"/>
          <w:color w:val="auto"/>
        </w:rPr>
      </w:pPr>
      <w:r>
        <w:rPr>
          <w:rFonts w:ascii="Times New Roman" w:cs="Times New Roman" w:eastAsia="Times New Roman" w:hAnsi="Times New Roman"/>
          <w:sz w:val="19"/>
          <w:szCs w:val="19"/>
          <w:color w:val="auto"/>
        </w:rPr>
        <w:t>protease cleavage sites optimized for efficient cleavage by multiple families of MMPs and other tumor-specific proteases present in the tumor microenvironment to ensure broad applicability across a wide range of solid tumor types;</w:t>
      </w:r>
    </w:p>
    <w:p>
      <w:pPr>
        <w:spacing w:after="0" w:line="61" w:lineRule="exact"/>
        <w:rPr>
          <w:rFonts w:ascii="Arial" w:cs="Arial" w:eastAsia="Arial" w:hAnsi="Arial"/>
          <w:sz w:val="19"/>
          <w:szCs w:val="19"/>
          <w:color w:val="auto"/>
        </w:rPr>
      </w:pPr>
    </w:p>
    <w:p>
      <w:pPr>
        <w:ind w:left="680" w:hanging="340"/>
        <w:spacing w:after="0" w:line="274" w:lineRule="auto"/>
        <w:tabs>
          <w:tab w:leader="none" w:pos="680" w:val="left"/>
        </w:tabs>
        <w:numPr>
          <w:ilvl w:val="0"/>
          <w:numId w:val="6"/>
        </w:numPr>
        <w:rPr>
          <w:rFonts w:ascii="Arial" w:cs="Arial" w:eastAsia="Arial" w:hAnsi="Arial"/>
          <w:sz w:val="19"/>
          <w:szCs w:val="19"/>
          <w:color w:val="auto"/>
        </w:rPr>
      </w:pPr>
      <w:r>
        <w:rPr>
          <w:rFonts w:ascii="Times New Roman" w:cs="Times New Roman" w:eastAsia="Times New Roman" w:hAnsi="Times New Roman"/>
          <w:sz w:val="19"/>
          <w:szCs w:val="19"/>
          <w:color w:val="auto"/>
        </w:rPr>
        <w:t>the ability to engineer the active molecule such that unmasking in the tumor microenvironment promotes a potent, localized anti-tumor immune response;</w:t>
      </w:r>
    </w:p>
    <w:p>
      <w:pPr>
        <w:sectPr>
          <w:pgSz w:w="12240" w:h="15840" w:orient="portrait"/>
          <w:cols w:equalWidth="0" w:num="1">
            <w:col w:w="10200"/>
          </w:cols>
          <w:pgMar w:left="1020" w:top="1315" w:right="1020" w:bottom="60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2240" w:h="15840" w:orient="portrait"/>
          <w:cols w:equalWidth="0" w:num="1">
            <w:col w:w="10200"/>
          </w:cols>
          <w:pgMar w:left="1020" w:top="1315" w:right="1020" w:bottom="609" w:gutter="0" w:footer="0" w:header="0"/>
          <w:type w:val="continuous"/>
        </w:sectPr>
      </w:pPr>
    </w:p>
    <w:bookmarkStart w:id="8" w:name="page9"/>
    <w:bookmarkEnd w:id="8"/>
    <w:p>
      <w:pPr>
        <w:ind w:left="680" w:hanging="340"/>
        <w:spacing w:after="0" w:line="274" w:lineRule="auto"/>
        <w:tabs>
          <w:tab w:leader="none" w:pos="680" w:val="left"/>
        </w:tabs>
        <w:numPr>
          <w:ilvl w:val="0"/>
          <w:numId w:val="7"/>
        </w:numPr>
        <w:rPr>
          <w:rFonts w:ascii="Arial" w:cs="Arial" w:eastAsia="Arial" w:hAnsi="Arial"/>
          <w:sz w:val="19"/>
          <w:szCs w:val="19"/>
          <w:color w:val="auto"/>
        </w:rPr>
      </w:pPr>
      <w:r>
        <w:rPr>
          <w:rFonts w:ascii="Times New Roman" w:cs="Times New Roman" w:eastAsia="Times New Roman" w:hAnsi="Times New Roman"/>
          <w:sz w:val="19"/>
          <w:szCs w:val="19"/>
          <w:color w:val="auto"/>
        </w:rPr>
        <w:t>early consideration and incorporation of manufacturing and development aspects into the design of molecules to facilitate production of high-quality drug product for clinical use; and</w:t>
      </w:r>
    </w:p>
    <w:p>
      <w:pPr>
        <w:spacing w:after="0" w:line="61" w:lineRule="exact"/>
        <w:rPr>
          <w:rFonts w:ascii="Arial" w:cs="Arial" w:eastAsia="Arial" w:hAnsi="Arial"/>
          <w:sz w:val="19"/>
          <w:szCs w:val="19"/>
          <w:color w:val="auto"/>
        </w:rPr>
      </w:pPr>
    </w:p>
    <w:p>
      <w:pPr>
        <w:jc w:val="both"/>
        <w:ind w:left="680" w:hanging="340"/>
        <w:spacing w:after="0" w:line="250" w:lineRule="auto"/>
        <w:tabs>
          <w:tab w:leader="none" w:pos="680" w:val="left"/>
        </w:tabs>
        <w:numPr>
          <w:ilvl w:val="0"/>
          <w:numId w:val="7"/>
        </w:numPr>
        <w:rPr>
          <w:rFonts w:ascii="Arial" w:cs="Arial" w:eastAsia="Arial" w:hAnsi="Arial"/>
          <w:sz w:val="19"/>
          <w:szCs w:val="19"/>
          <w:color w:val="auto"/>
        </w:rPr>
      </w:pPr>
      <w:r>
        <w:rPr>
          <w:rFonts w:ascii="Times New Roman" w:cs="Times New Roman" w:eastAsia="Times New Roman" w:hAnsi="Times New Roman"/>
          <w:sz w:val="19"/>
          <w:szCs w:val="19"/>
          <w:color w:val="auto"/>
        </w:rPr>
        <w:t>half-life optimized molecules with prolonged half-life in the masked, or inactive, state to support administration to patients on a schedule consistent with other biologic agents and the ability to incorporate conditional half-life modulation into our molecules, which allows for either a short half-life or an extended half-life post activation in the tumor microenvironment consistent with the specific desired property and mechanism of action of the molecule.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Our Strategy</w:t>
      </w:r>
    </w:p>
    <w:p>
      <w:pPr>
        <w:spacing w:after="0" w:line="2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Our vision is to transform the lives of patients with cancer by harnessing the power of highly potent, masked I-O therapies that deliver deep and durable clinical responses without the severe side effects associated with systemically active I-O agents. Leveraging our clinically-validated masking technology and capabilities, we aim to discover, develop and, ultimately, commercialize masked I-O therapies that overcome the known limitations of systemically active I-O agents. Key elements of our strategy include:</w:t>
      </w:r>
    </w:p>
    <w:p>
      <w:pPr>
        <w:spacing w:after="0" w:line="82" w:lineRule="exact"/>
        <w:rPr>
          <w:sz w:val="20"/>
          <w:szCs w:val="20"/>
          <w:color w:val="auto"/>
        </w:rPr>
      </w:pPr>
    </w:p>
    <w:p>
      <w:pPr>
        <w:ind w:left="680" w:right="280" w:hanging="340"/>
        <w:spacing w:after="0" w:line="245" w:lineRule="auto"/>
        <w:tabs>
          <w:tab w:leader="none" w:pos="680" w:val="left"/>
        </w:tabs>
        <w:numPr>
          <w:ilvl w:val="0"/>
          <w:numId w:val="8"/>
        </w:numPr>
        <w:rPr>
          <w:rFonts w:ascii="Arial" w:cs="Arial" w:eastAsia="Arial" w:hAnsi="Arial"/>
          <w:sz w:val="19"/>
          <w:szCs w:val="19"/>
          <w:color w:val="auto"/>
        </w:rPr>
      </w:pPr>
      <w:r>
        <w:rPr>
          <w:rFonts w:ascii="Times New Roman" w:cs="Times New Roman" w:eastAsia="Times New Roman" w:hAnsi="Times New Roman"/>
          <w:sz w:val="19"/>
          <w:szCs w:val="19"/>
          <w:color w:val="auto"/>
        </w:rPr>
        <w:t>Submit an investigational new drug, or IND, application for XTX501, our bispecific PD-1 / masked IL-2, in the middle of 2026, and subject to clearance of the IND by the U.S. Food and Drug Administration, or FDA, initiate a Phase 1 trial for XTX501 in the second half of 2026 and report initial Phase 1 data in the second half of 2027. We plan to initially evaluate XTX501 in patients with metastatic non-small cell lung cancer, or NSCLC, before expanding development to other solid tumor types, including tumors that are insensitive to PD-1 therapy. We believe XTX501 also has the potential to be a foundational “backbone” therapy for combination treatment with other agents.</w:t>
      </w:r>
    </w:p>
    <w:p>
      <w:pPr>
        <w:spacing w:after="0" w:line="204" w:lineRule="exact"/>
        <w:rPr>
          <w:rFonts w:ascii="Arial" w:cs="Arial" w:eastAsia="Arial" w:hAnsi="Arial"/>
          <w:sz w:val="19"/>
          <w:szCs w:val="19"/>
          <w:color w:val="auto"/>
        </w:rPr>
      </w:pPr>
    </w:p>
    <w:p>
      <w:pPr>
        <w:jc w:val="both"/>
        <w:ind w:left="680" w:hanging="340"/>
        <w:spacing w:after="0" w:line="256" w:lineRule="auto"/>
        <w:tabs>
          <w:tab w:leader="none" w:pos="680" w:val="left"/>
        </w:tabs>
        <w:numPr>
          <w:ilvl w:val="0"/>
          <w:numId w:val="8"/>
        </w:numPr>
        <w:rPr>
          <w:rFonts w:ascii="Arial" w:cs="Arial" w:eastAsia="Arial" w:hAnsi="Arial"/>
          <w:sz w:val="19"/>
          <w:szCs w:val="19"/>
          <w:color w:val="auto"/>
        </w:rPr>
      </w:pPr>
      <w:r>
        <w:rPr>
          <w:rFonts w:ascii="Times New Roman" w:cs="Times New Roman" w:eastAsia="Times New Roman" w:hAnsi="Times New Roman"/>
          <w:sz w:val="19"/>
          <w:szCs w:val="19"/>
          <w:color w:val="auto"/>
        </w:rPr>
        <w:t>Rapidly advance our wholly-owned program for a multi-specific, masked T cell engager targeting PSMA and STEAP1 with co-stimulatory signaling built into the molecule (SEECR format) into IND-enabling studies and submit an IND application for this program in 2027.</w:t>
      </w:r>
    </w:p>
    <w:p>
      <w:pPr>
        <w:spacing w:after="0" w:line="191" w:lineRule="exact"/>
        <w:rPr>
          <w:rFonts w:ascii="Arial" w:cs="Arial" w:eastAsia="Arial" w:hAnsi="Arial"/>
          <w:sz w:val="19"/>
          <w:szCs w:val="19"/>
          <w:color w:val="auto"/>
        </w:rPr>
      </w:pPr>
    </w:p>
    <w:p>
      <w:pPr>
        <w:jc w:val="both"/>
        <w:ind w:left="680" w:hanging="340"/>
        <w:spacing w:after="0" w:line="250" w:lineRule="auto"/>
        <w:tabs>
          <w:tab w:leader="none" w:pos="680" w:val="left"/>
        </w:tabs>
        <w:numPr>
          <w:ilvl w:val="0"/>
          <w:numId w:val="8"/>
        </w:numPr>
        <w:rPr>
          <w:rFonts w:ascii="Arial" w:cs="Arial" w:eastAsia="Arial" w:hAnsi="Arial"/>
          <w:sz w:val="19"/>
          <w:szCs w:val="19"/>
          <w:color w:val="auto"/>
        </w:rPr>
      </w:pPr>
      <w:r>
        <w:rPr>
          <w:rFonts w:ascii="Times New Roman" w:cs="Times New Roman" w:eastAsia="Times New Roman" w:hAnsi="Times New Roman"/>
          <w:sz w:val="19"/>
          <w:szCs w:val="19"/>
          <w:color w:val="auto"/>
        </w:rPr>
        <w:t>Rapidly advance our wholly-owned program for a masked T cell engager targeting CLDN18.2 (ATACR format) into IND-enabling studies and submit an IND application in 2027. Our modular architecture for T cell engagers also enables flexibility to evaluate designs that incorporate masking of the CLDN18.2 binding domain and/or add a co-stimulatory domain (SEECR format) in parallel with advancing the current molecule design.</w:t>
      </w:r>
    </w:p>
    <w:p>
      <w:pPr>
        <w:spacing w:after="0" w:line="197" w:lineRule="exact"/>
        <w:rPr>
          <w:rFonts w:ascii="Arial" w:cs="Arial" w:eastAsia="Arial" w:hAnsi="Arial"/>
          <w:sz w:val="19"/>
          <w:szCs w:val="19"/>
          <w:color w:val="auto"/>
        </w:rPr>
      </w:pPr>
    </w:p>
    <w:p>
      <w:pPr>
        <w:ind w:left="680" w:hanging="340"/>
        <w:spacing w:after="0" w:line="274" w:lineRule="auto"/>
        <w:tabs>
          <w:tab w:leader="none" w:pos="680" w:val="left"/>
        </w:tabs>
        <w:numPr>
          <w:ilvl w:val="0"/>
          <w:numId w:val="8"/>
        </w:numPr>
        <w:rPr>
          <w:rFonts w:ascii="Arial" w:cs="Arial" w:eastAsia="Arial" w:hAnsi="Arial"/>
          <w:sz w:val="19"/>
          <w:szCs w:val="19"/>
          <w:color w:val="auto"/>
        </w:rPr>
      </w:pPr>
      <w:r>
        <w:rPr>
          <w:rFonts w:ascii="Times New Roman" w:cs="Times New Roman" w:eastAsia="Times New Roman" w:hAnsi="Times New Roman"/>
          <w:sz w:val="19"/>
          <w:szCs w:val="19"/>
          <w:color w:val="auto"/>
        </w:rPr>
        <w:t>Continue to advance our AbbVie collaboration toward key program milestones for both the masked antibody-based program and masked T cell engager program.</w:t>
      </w:r>
    </w:p>
    <w:p>
      <w:pPr>
        <w:spacing w:after="0" w:line="61" w:lineRule="exact"/>
        <w:rPr>
          <w:rFonts w:ascii="Arial" w:cs="Arial" w:eastAsia="Arial" w:hAnsi="Arial"/>
          <w:sz w:val="19"/>
          <w:szCs w:val="19"/>
          <w:color w:val="auto"/>
        </w:rPr>
      </w:pPr>
    </w:p>
    <w:p>
      <w:pPr>
        <w:ind w:left="680" w:hanging="340"/>
        <w:spacing w:after="0" w:line="274" w:lineRule="auto"/>
        <w:tabs>
          <w:tab w:leader="none" w:pos="680" w:val="left"/>
        </w:tabs>
        <w:numPr>
          <w:ilvl w:val="0"/>
          <w:numId w:val="8"/>
        </w:numPr>
        <w:rPr>
          <w:rFonts w:ascii="Arial" w:cs="Arial" w:eastAsia="Arial" w:hAnsi="Arial"/>
          <w:sz w:val="19"/>
          <w:szCs w:val="19"/>
          <w:color w:val="auto"/>
        </w:rPr>
      </w:pPr>
      <w:r>
        <w:rPr>
          <w:rFonts w:ascii="Times New Roman" w:cs="Times New Roman" w:eastAsia="Times New Roman" w:hAnsi="Times New Roman"/>
          <w:sz w:val="19"/>
          <w:szCs w:val="19"/>
          <w:color w:val="auto"/>
        </w:rPr>
        <w:t>Continue to advance efarindodekin alfa, our masked IL-12, through our ongoing Phase 2 clinical trial in patients with advanced solid tumors to enable delivery of an option data package to Gilead in the first half of 2027.</w:t>
      </w:r>
    </w:p>
    <w:p>
      <w:pPr>
        <w:spacing w:after="0" w:line="61" w:lineRule="exact"/>
        <w:rPr>
          <w:rFonts w:ascii="Arial" w:cs="Arial" w:eastAsia="Arial" w:hAnsi="Arial"/>
          <w:sz w:val="19"/>
          <w:szCs w:val="19"/>
          <w:color w:val="auto"/>
        </w:rPr>
      </w:pPr>
    </w:p>
    <w:p>
      <w:pPr>
        <w:jc w:val="both"/>
        <w:ind w:left="680" w:hanging="340"/>
        <w:spacing w:after="0" w:line="256" w:lineRule="auto"/>
        <w:tabs>
          <w:tab w:leader="none" w:pos="680" w:val="left"/>
        </w:tabs>
        <w:numPr>
          <w:ilvl w:val="0"/>
          <w:numId w:val="8"/>
        </w:numPr>
        <w:rPr>
          <w:rFonts w:ascii="Arial" w:cs="Arial" w:eastAsia="Arial" w:hAnsi="Arial"/>
          <w:sz w:val="19"/>
          <w:szCs w:val="19"/>
          <w:color w:val="auto"/>
        </w:rPr>
      </w:pPr>
      <w:r>
        <w:rPr>
          <w:rFonts w:ascii="Times New Roman" w:cs="Times New Roman" w:eastAsia="Times New Roman" w:hAnsi="Times New Roman"/>
          <w:sz w:val="19"/>
          <w:szCs w:val="19"/>
          <w:color w:val="auto"/>
        </w:rPr>
        <w:t>Leverage the broad applicability of our clinically-validated masking technology and capabilities, including our deep expertise in biology and protein engineering, to continue to accelerate and expand our pipeline through strategic collaborations and partnerships.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Our Pipeline</w:t>
      </w:r>
    </w:p>
    <w:p>
      <w:pPr>
        <w:spacing w:after="0" w:line="11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9"/>
          <w:szCs w:val="19"/>
          <w:color w:val="auto"/>
        </w:rPr>
        <w:t>Leveraging our clinically-validated masking technology and capabilities, we are advancing a pipeline of differentiated masked I-O therapies for validated targets.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923925</wp:posOffset>
            </wp:positionH>
            <wp:positionV relativeFrom="paragraph">
              <wp:posOffset>17145</wp:posOffset>
            </wp:positionV>
            <wp:extent cx="4624070" cy="19342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3">
                      <a:extLst>
                        <a:ext uri="{28A0092B-C50C-407E-A947-70E740481C1C}"/>
                      </a:extLst>
                    </a:blip>
                    <a:srcRect/>
                    <a:stretch>
                      <a:fillRect/>
                    </a:stretch>
                  </pic:blipFill>
                  <pic:spPr bwMode="auto">
                    <a:xfrm>
                      <a:off x="0" y="0"/>
                      <a:ext cx="4624070" cy="1934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880" w:hanging="200"/>
        <w:spacing w:after="0"/>
        <w:tabs>
          <w:tab w:leader="none" w:pos="880"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Subject to clearance of the IND by the FDA.</w:t>
      </w:r>
    </w:p>
    <w:p>
      <w:pPr>
        <w:spacing w:after="0" w:line="19" w:lineRule="exact"/>
        <w:rPr>
          <w:rFonts w:ascii="Times New Roman" w:cs="Times New Roman" w:eastAsia="Times New Roman" w:hAnsi="Times New Roman"/>
          <w:sz w:val="11"/>
          <w:szCs w:val="11"/>
          <w:color w:val="auto"/>
        </w:rPr>
      </w:pPr>
    </w:p>
    <w:p>
      <w:pPr>
        <w:ind w:left="880" w:hanging="200"/>
        <w:spacing w:after="0"/>
        <w:tabs>
          <w:tab w:leader="none" w:pos="880"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Exclusive global option to license with Gilead.</w:t>
      </w:r>
    </w:p>
    <w:p>
      <w:pPr>
        <w:spacing w:after="0" w:line="3" w:lineRule="exact"/>
        <w:rPr>
          <w:rFonts w:ascii="Times New Roman" w:cs="Times New Roman" w:eastAsia="Times New Roman" w:hAnsi="Times New Roman"/>
          <w:sz w:val="11"/>
          <w:szCs w:val="11"/>
          <w:color w:val="auto"/>
        </w:rPr>
      </w:pPr>
    </w:p>
    <w:p>
      <w:pPr>
        <w:ind w:left="880" w:hanging="200"/>
        <w:spacing w:after="0"/>
        <w:tabs>
          <w:tab w:leader="none" w:pos="880"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Multi-program collaboration with AbbVie, including a licensed masked antibody program and option to license masked T cell engager program.</w:t>
      </w:r>
    </w:p>
    <w:p>
      <w:pPr>
        <w:sectPr>
          <w:pgSz w:w="12240" w:h="15840" w:orient="portrait"/>
          <w:cols w:equalWidth="0" w:num="1">
            <w:col w:w="10200"/>
          </w:cols>
          <w:pgMar w:left="1020" w:top="1330" w:right="1020" w:bottom="609"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2240" w:h="15840" w:orient="portrait"/>
          <w:cols w:equalWidth="0" w:num="1">
            <w:col w:w="10200"/>
          </w:cols>
          <w:pgMar w:left="1020" w:top="1330" w:right="1020" w:bottom="609"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9"/>
          <w:szCs w:val="19"/>
          <w:b w:val="1"/>
          <w:bCs w:val="1"/>
          <w:color w:val="auto"/>
        </w:rPr>
        <w:t>XTX501 (bispecific PD-1 / masked IL-2)</w:t>
      </w:r>
    </w:p>
    <w:p>
      <w:pPr>
        <w:spacing w:after="0" w:line="22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color w:val="auto"/>
        </w:rPr>
        <w:t>XTX501 is a potential best-in-class bispecific PD-1 / masked IL-2 antibody fusion protein designed to selectively stimulate PD-1 positive, antigen-experienced T cells and enhance their function. XTX501 incorporates masking and is designed to overcome IL-2 receptor-mediated clearance, peripheral activity and tolerability issues associated with non-masked IL-2 agents. In clinical trials, a third-party PD-1 / non-masked IL-2 bispecific antibody fusion protein has demonstrated promising clinical efficacy and survival benefits in several solid tumor types, including in patients with immunotherapy-resistant NSCLC, and “cold” tumors historically resistant to immunotherapy such as acral melanoma, mucosal melanoma and microsatellite stable, or MSS, colorectal cancer, or CRC. By masking the IL-2 component, XTX501 has the potential for meaningfully differentiated overall anti-tumor activity and an improved overall safety profile. In preclinical studies, XTX501 has demonstrated robust monotherapy activity (including in settings insensitive to PD-1), antibody-like pharmacokinetics, or PK, and tumor-selective pharmacodynamics, or PD, consistent with its intended mechanism of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1503680</wp:posOffset>
            </wp:positionH>
            <wp:positionV relativeFrom="paragraph">
              <wp:posOffset>66675</wp:posOffset>
            </wp:positionV>
            <wp:extent cx="3463290" cy="32207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4">
                      <a:extLst>
                        <a:ext uri="{28A0092B-C50C-407E-A947-70E740481C1C}"/>
                      </a:extLst>
                    </a:blip>
                    <a:srcRect/>
                    <a:stretch>
                      <a:fillRect/>
                    </a:stretch>
                  </pic:blipFill>
                  <pic:spPr bwMode="auto">
                    <a:xfrm>
                      <a:off x="0" y="0"/>
                      <a:ext cx="3463290" cy="3220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9"/>
          <w:szCs w:val="19"/>
          <w:color w:val="auto"/>
        </w:rPr>
        <w:t>We are currently advancing XTX501 through IND enabling studies and plan to submit an IND application for XTX501 in the middle of 2026. Subject to clearance of the IND by the FDA, we plan to initiate a Phase 1 trial for XTX501 in the second half of 2026 and report initial Phase 1 data in the second half of 2027. We plan to initially evaluate XTX501 in patients with metastatic NSCLC before expanding development to other solid tumor types, including tumors that are insensitive to PD-1 therapy. We believe XTX501 also has the potential to be a foundational “backbone” therapy for combination treatment with other agents.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Masked T Cell Engager Programs</w:t>
      </w:r>
    </w:p>
    <w:p>
      <w:pPr>
        <w:spacing w:after="0" w:line="2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T cell engagers are designed to redirect immune effector cells against cancer cells by simultaneously binding to a specific TAA expressed on the cancer cells and the T cell receptor complex on T cells, resulting in T cell-mediated killing of tumor cells. To date, T cell engagers have demonstrated significant promise as cancer immunotherapies in a variety of advanced solid tumors, but their potential has been limited by systemic toxicity, including cytokine release syndrome and on-target, off-tumor toxicity.</w:t>
      </w:r>
    </w:p>
    <w:p>
      <w:pPr>
        <w:spacing w:after="0" w:line="182"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9"/>
          <w:szCs w:val="19"/>
          <w:color w:val="auto"/>
        </w:rPr>
        <w:t>Leveraging our proprietary, clinically-validated masking technology, we are advancing two wholly-owned programs for masked T cell engagers, as well as an additional program in collaboration with AbbVie. Our masked T cell engagers include molecules with one or more TAA binding domain(s) and a CD3 targeting domain, which are designed to release a potent, short half-life T cell engager upon tumor-selective activation (ATACR format), and molecules that include a co-stimulatory domain designed to further enhance potency and durability of the T cell response (SEECR format). Depending on the desired properties that we are seeking to achieve for a particular molecule and particular TAA(s) that we are targeting, our modular architecture for our masked T cell engagers enables us with optionality to:</w:t>
      </w:r>
    </w:p>
    <w:p>
      <w:pPr>
        <w:spacing w:after="0" w:line="93" w:lineRule="exact"/>
        <w:rPr>
          <w:sz w:val="20"/>
          <w:szCs w:val="20"/>
          <w:color w:val="auto"/>
        </w:rPr>
      </w:pPr>
    </w:p>
    <w:p>
      <w:pPr>
        <w:ind w:left="680" w:hanging="340"/>
        <w:spacing w:after="0"/>
        <w:tabs>
          <w:tab w:leader="none" w:pos="680" w:val="left"/>
        </w:tabs>
        <w:numPr>
          <w:ilvl w:val="0"/>
          <w:numId w:val="10"/>
        </w:numPr>
        <w:rPr>
          <w:rFonts w:ascii="Arial" w:cs="Arial" w:eastAsia="Arial" w:hAnsi="Arial"/>
          <w:sz w:val="19"/>
          <w:szCs w:val="19"/>
          <w:color w:val="auto"/>
        </w:rPr>
      </w:pPr>
      <w:r>
        <w:rPr>
          <w:rFonts w:ascii="Times New Roman" w:cs="Times New Roman" w:eastAsia="Times New Roman" w:hAnsi="Times New Roman"/>
          <w:sz w:val="19"/>
          <w:szCs w:val="19"/>
          <w:color w:val="auto"/>
        </w:rPr>
        <w:t>include multiple TAA binding domains;</w:t>
      </w:r>
    </w:p>
    <w:p>
      <w:pPr>
        <w:sectPr>
          <w:pgSz w:w="12240" w:h="15840" w:orient="portrait"/>
          <w:cols w:equalWidth="0" w:num="1">
            <w:col w:w="10200"/>
          </w:cols>
          <w:pgMar w:left="1020" w:top="1315" w:right="1020" w:bottom="609"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2240" w:h="15840" w:orient="portrait"/>
          <w:cols w:equalWidth="0" w:num="1">
            <w:col w:w="10200"/>
          </w:cols>
          <w:pgMar w:left="1020" w:top="1315" w:right="1020" w:bottom="609" w:gutter="0" w:footer="0" w:header="0"/>
          <w:type w:val="continuous"/>
        </w:sectPr>
      </w:pPr>
    </w:p>
    <w:bookmarkStart w:id="10" w:name="page11"/>
    <w:bookmarkEnd w:id="10"/>
    <w:p>
      <w:pPr>
        <w:ind w:left="680" w:hanging="340"/>
        <w:spacing w:after="0"/>
        <w:tabs>
          <w:tab w:leader="none" w:pos="680" w:val="left"/>
        </w:tabs>
        <w:numPr>
          <w:ilvl w:val="0"/>
          <w:numId w:val="11"/>
        </w:numPr>
        <w:rPr>
          <w:rFonts w:ascii="Arial" w:cs="Arial" w:eastAsia="Arial" w:hAnsi="Arial"/>
          <w:sz w:val="19"/>
          <w:szCs w:val="19"/>
          <w:color w:val="auto"/>
        </w:rPr>
      </w:pPr>
      <w:r>
        <w:rPr>
          <w:rFonts w:ascii="Times New Roman" w:cs="Times New Roman" w:eastAsia="Times New Roman" w:hAnsi="Times New Roman"/>
          <w:sz w:val="19"/>
          <w:szCs w:val="19"/>
          <w:color w:val="auto"/>
        </w:rPr>
        <w:t>add a co-stimulatory domain;</w:t>
      </w:r>
    </w:p>
    <w:p>
      <w:pPr>
        <w:spacing w:after="0" w:line="124" w:lineRule="exact"/>
        <w:rPr>
          <w:rFonts w:ascii="Arial" w:cs="Arial" w:eastAsia="Arial" w:hAnsi="Arial"/>
          <w:sz w:val="19"/>
          <w:szCs w:val="19"/>
          <w:color w:val="auto"/>
        </w:rPr>
      </w:pPr>
    </w:p>
    <w:p>
      <w:pPr>
        <w:ind w:left="680" w:hanging="340"/>
        <w:spacing w:after="0"/>
        <w:tabs>
          <w:tab w:leader="none" w:pos="680" w:val="left"/>
        </w:tabs>
        <w:numPr>
          <w:ilvl w:val="0"/>
          <w:numId w:val="11"/>
        </w:numPr>
        <w:rPr>
          <w:rFonts w:ascii="Arial" w:cs="Arial" w:eastAsia="Arial" w:hAnsi="Arial"/>
          <w:sz w:val="19"/>
          <w:szCs w:val="19"/>
          <w:color w:val="auto"/>
        </w:rPr>
      </w:pPr>
      <w:r>
        <w:rPr>
          <w:rFonts w:ascii="Times New Roman" w:cs="Times New Roman" w:eastAsia="Times New Roman" w:hAnsi="Times New Roman"/>
          <w:sz w:val="19"/>
          <w:szCs w:val="19"/>
          <w:color w:val="auto"/>
        </w:rPr>
        <w:t>mask the CD3 targeting domain, TAA binding domain(s) and/or the co-stimulatory signaling domain.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8255</wp:posOffset>
            </wp:positionV>
            <wp:extent cx="6226175" cy="27990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5">
                      <a:extLst>
                        <a:ext uri="{28A0092B-C50C-407E-A947-70E740481C1C}"/>
                      </a:extLst>
                    </a:blip>
                    <a:srcRect/>
                    <a:stretch>
                      <a:fillRect/>
                    </a:stretch>
                  </pic:blipFill>
                  <pic:spPr bwMode="auto">
                    <a:xfrm>
                      <a:off x="0" y="0"/>
                      <a:ext cx="6226175" cy="2799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 xml:space="preserve">In preclinical studies, our masked T cell engager molecules have demonstrated potent anti-tumor activity with evidence of reduced systemic toxicity and the potential to significantly expand the therapeutic window. In addition, the incorporation of a co-stimulatory signaling domain further enhanced anti-tumor activity compared to T cell engager molecules that lacked co-stimulation in both </w:t>
      </w:r>
      <w:r>
        <w:rPr>
          <w:rFonts w:ascii="Times New Roman" w:cs="Times New Roman" w:eastAsia="Times New Roman" w:hAnsi="Times New Roman"/>
          <w:sz w:val="19"/>
          <w:szCs w:val="19"/>
          <w:i w:val="1"/>
          <w:iCs w:val="1"/>
          <w:color w:val="auto"/>
        </w:rPr>
        <w:t>in vitro</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i w:val="1"/>
          <w:iCs w:val="1"/>
          <w:color w:val="auto"/>
        </w:rPr>
        <w:t>in vivo</w:t>
      </w:r>
      <w:r>
        <w:rPr>
          <w:rFonts w:ascii="Times New Roman" w:cs="Times New Roman" w:eastAsia="Times New Roman" w:hAnsi="Times New Roman"/>
          <w:sz w:val="19"/>
          <w:szCs w:val="19"/>
          <w:color w:val="auto"/>
        </w:rPr>
        <w:t xml:space="preserve"> studies.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Our wholly-owned masked T cell engager programs consist of the following:</w:t>
      </w:r>
    </w:p>
    <w:p>
      <w:pPr>
        <w:spacing w:after="0" w:line="126" w:lineRule="exact"/>
        <w:rPr>
          <w:sz w:val="20"/>
          <w:szCs w:val="20"/>
          <w:color w:val="auto"/>
        </w:rPr>
      </w:pPr>
    </w:p>
    <w:p>
      <w:pPr>
        <w:jc w:val="both"/>
        <w:ind w:left="680" w:hanging="340"/>
        <w:spacing w:after="0" w:line="247" w:lineRule="auto"/>
        <w:tabs>
          <w:tab w:leader="none" w:pos="680" w:val="left"/>
        </w:tabs>
        <w:numPr>
          <w:ilvl w:val="0"/>
          <w:numId w:val="12"/>
        </w:numPr>
        <w:rPr>
          <w:rFonts w:ascii="Arial" w:cs="Arial" w:eastAsia="Arial" w:hAnsi="Arial"/>
          <w:sz w:val="19"/>
          <w:szCs w:val="19"/>
          <w:color w:val="auto"/>
        </w:rPr>
      </w:pPr>
      <w:r>
        <w:rPr>
          <w:rFonts w:ascii="Times New Roman" w:cs="Times New Roman" w:eastAsia="Times New Roman" w:hAnsi="Times New Roman"/>
          <w:sz w:val="19"/>
          <w:szCs w:val="19"/>
          <w:i w:val="1"/>
          <w:iCs w:val="1"/>
          <w:u w:val="single" w:color="auto"/>
          <w:color w:val="auto"/>
        </w:rPr>
        <w:t>PSMA+STEAP1 with co-stimulation (SEECR format)</w:t>
      </w:r>
      <w:r>
        <w:rPr>
          <w:rFonts w:ascii="Times New Roman" w:cs="Times New Roman" w:eastAsia="Times New Roman" w:hAnsi="Times New Roman"/>
          <w:sz w:val="19"/>
          <w:szCs w:val="19"/>
          <w:color w:val="auto"/>
        </w:rPr>
        <w:t>: We are advancing a multi-specific masked T cell engager program</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targeting PSMA and STEAP1 with built in co-stimulatory signaling (SEECR format). We anticipate nominating a development candidate in the second quarter of 2026. PSMA and STEAP1 are expressed in most prostate cancer tumors, and targeting both of these TAAs has the potential to address tumor heterogeneity while minimizing the potential for resistance due to antigen escape.</w:t>
      </w:r>
    </w:p>
    <w:p>
      <w:pPr>
        <w:spacing w:after="0" w:line="87" w:lineRule="exact"/>
        <w:rPr>
          <w:rFonts w:ascii="Arial" w:cs="Arial" w:eastAsia="Arial" w:hAnsi="Arial"/>
          <w:sz w:val="19"/>
          <w:szCs w:val="19"/>
          <w:color w:val="auto"/>
        </w:rPr>
      </w:pPr>
    </w:p>
    <w:p>
      <w:pPr>
        <w:jc w:val="both"/>
        <w:ind w:left="680" w:hanging="340"/>
        <w:spacing w:after="0" w:line="247" w:lineRule="auto"/>
        <w:tabs>
          <w:tab w:leader="none" w:pos="680" w:val="left"/>
        </w:tabs>
        <w:numPr>
          <w:ilvl w:val="0"/>
          <w:numId w:val="12"/>
        </w:numPr>
        <w:rPr>
          <w:rFonts w:ascii="Arial" w:cs="Arial" w:eastAsia="Arial" w:hAnsi="Arial"/>
          <w:sz w:val="19"/>
          <w:szCs w:val="19"/>
          <w:color w:val="auto"/>
        </w:rPr>
      </w:pPr>
      <w:r>
        <w:rPr>
          <w:rFonts w:ascii="Times New Roman" w:cs="Times New Roman" w:eastAsia="Times New Roman" w:hAnsi="Times New Roman"/>
          <w:sz w:val="19"/>
          <w:szCs w:val="19"/>
          <w:i w:val="1"/>
          <w:iCs w:val="1"/>
          <w:u w:val="single" w:color="auto"/>
          <w:color w:val="auto"/>
        </w:rPr>
        <w:t>CLDN18.2 (ATACR format)</w:t>
      </w:r>
      <w:r>
        <w:rPr>
          <w:rFonts w:ascii="Times New Roman" w:cs="Times New Roman" w:eastAsia="Times New Roman" w:hAnsi="Times New Roman"/>
          <w:sz w:val="19"/>
          <w:szCs w:val="19"/>
          <w:color w:val="auto"/>
        </w:rPr>
        <w:t>: We are advancing a masked T cell engager program targeting CLDN18.2 (ATACR format).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Our modular design architecture for T cell engagers also enables flexibility to evaluate designs that incorporate masking of the CLDN18.2 binding domain and/or add a co-stimulatory domain (SEECR format) in parallel with advancing the current molecule design. CLDN18.2 is expressed in gastrointestinal cancers (including gastric, pancreatic and esophageal) and lung cancer.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 plan to advance these programs into IND-enabling studies and submit IND applications for each of these programs in 2027.</w:t>
      </w:r>
    </w:p>
    <w:p>
      <w:pPr>
        <w:spacing w:after="0" w:line="22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9"/>
          <w:szCs w:val="19"/>
          <w:color w:val="auto"/>
        </w:rPr>
        <w:t>In addition, in February 2025, our wholly owned subsidiary, Xilio Development, Inc., or Xilio Development, entered into a collaboration, license and option agreement with AbbVie leveraging our proprietary tumor-activation technology and platform to discover and develop novel tumor-activated immunotherapies, including up to three programs for masked T cell engagers and a program for a masked antibody-based immunotherapy. For more information, please see “—License and Collaboration Agreements—Collaboration, License and Option Agreement with AbbVie” below.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Efarindodekin alfa (masked IL-12)</w:t>
      </w:r>
    </w:p>
    <w:p>
      <w:pPr>
        <w:spacing w:after="0" w:line="24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IL</w:t>
      </w:r>
      <w:r>
        <w:rPr>
          <w:rFonts w:ascii="Arial" w:cs="Arial" w:eastAsia="Arial" w:hAnsi="Arial"/>
          <w:sz w:val="19"/>
          <w:szCs w:val="19"/>
          <w:color w:val="auto"/>
        </w:rPr>
        <w:t>̻</w:t>
      </w:r>
      <w:r>
        <w:rPr>
          <w:rFonts w:ascii="Times New Roman" w:cs="Times New Roman" w:eastAsia="Times New Roman" w:hAnsi="Times New Roman"/>
          <w:sz w:val="19"/>
          <w:szCs w:val="19"/>
          <w:color w:val="auto"/>
        </w:rPr>
        <w:t>12 is a potent, pro-inflammatory cytokine that is produced by antigen-presenting cells and has highly compelling biology for cancer immunotherapy, but also significant limitations due to toxicity in its native, systemically active form. Efarindodekin alfa is an investigational, masked IL-12 designed to potently stimulate anti-tumor immunity and reprogram the tumor microenvironment of poorly immunogenic “cold” tumors towards an inflamed or “hot” state. We are currently evaluating efarindodekin alfa as a monotherapy in an ongoing Phase 2 clinical trial in patients with advanced solid tumors.</w:t>
      </w:r>
    </w:p>
    <w:p>
      <w:pPr>
        <w:sectPr>
          <w:pgSz w:w="12240" w:h="15840" w:orient="portrait"/>
          <w:cols w:equalWidth="0" w:num="1">
            <w:col w:w="10200"/>
          </w:cols>
          <w:pgMar w:left="1020" w:top="1330" w:right="1020" w:bottom="60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2240" w:h="15840" w:orient="portrait"/>
          <w:cols w:equalWidth="0" w:num="1">
            <w:col w:w="10200"/>
          </w:cols>
          <w:pgMar w:left="1020" w:top="1330" w:right="1020" w:bottom="609" w:gutter="0" w:footer="0" w:header="0"/>
          <w:type w:val="continuous"/>
        </w:sectPr>
      </w:pPr>
    </w:p>
    <w:bookmarkStart w:id="11" w:name="page12"/>
    <w:bookmarkEnd w:id="11"/>
    <w:p>
      <w:pPr>
        <w:jc w:val="both"/>
        <w:spacing w:after="0" w:line="257" w:lineRule="auto"/>
        <w:rPr>
          <w:sz w:val="20"/>
          <w:szCs w:val="20"/>
          <w:color w:val="auto"/>
        </w:rPr>
      </w:pPr>
      <w:r>
        <w:rPr>
          <w:rFonts w:ascii="Times New Roman" w:cs="Times New Roman" w:eastAsia="Times New Roman" w:hAnsi="Times New Roman"/>
          <w:sz w:val="19"/>
          <w:szCs w:val="19"/>
          <w:color w:val="auto"/>
        </w:rPr>
        <w:t>In March 2024, our wholly owned subsidiary Xilio Development entered into an exclusive license agreement with Gilead related to efarindodekin alfa and our IL-12 program. We expect to deliver an option data package to Gilead in the first half of 2027. For more information, please see “—License and Collaboration Agreements—Exclusive License Agreement with Gilead”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1565910</wp:posOffset>
            </wp:positionH>
            <wp:positionV relativeFrom="paragraph">
              <wp:posOffset>53340</wp:posOffset>
            </wp:positionV>
            <wp:extent cx="3337560" cy="30943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6">
                      <a:extLst>
                        <a:ext uri="{28A0092B-C50C-407E-A947-70E740481C1C}"/>
                      </a:extLst>
                    </a:blip>
                    <a:srcRect/>
                    <a:stretch>
                      <a:fillRect/>
                    </a:stretch>
                  </pic:blipFill>
                  <pic:spPr bwMode="auto">
                    <a:xfrm>
                      <a:off x="0" y="0"/>
                      <a:ext cx="3337560" cy="3094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Phase 1 Data Presented in November 2025 for Efarindodekin Alfa</w:t>
      </w:r>
    </w:p>
    <w:p>
      <w:pPr>
        <w:spacing w:after="0" w:line="22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9"/>
          <w:szCs w:val="19"/>
          <w:color w:val="auto"/>
        </w:rPr>
        <w:t>In November 2025, we announced data from our Phase 1 clinical trial evaluating efarindodekin alfa as a monotherapy in patients with advanced solid tumors at the Society for Immunotherapy of Cancer 40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Annual Meeting.</w:t>
      </w:r>
    </w:p>
    <w:p>
      <w:pPr>
        <w:spacing w:after="0" w:line="7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As of a data cutoff date of September 2, 2025, 62 patients with advanced solid tumors had been treated with efarindodekin alfa in Phase 1 monotherapy dose escalation. The median age was 66 years (ranging from 43 to 83 years), and patients were heavily pre-treated, with 89% having previously received two or more prior lines of anti-cancer therapy and 81% having received prior immunotherapy.</w:t>
      </w:r>
    </w:p>
    <w:p>
      <w:pPr>
        <w:spacing w:after="0" w:line="82" w:lineRule="exact"/>
        <w:rPr>
          <w:sz w:val="20"/>
          <w:szCs w:val="20"/>
          <w:color w:val="auto"/>
        </w:rPr>
      </w:pPr>
    </w:p>
    <w:p>
      <w:pPr>
        <w:jc w:val="both"/>
        <w:ind w:left="920" w:hanging="458"/>
        <w:spacing w:after="0" w:line="256" w:lineRule="auto"/>
        <w:tabs>
          <w:tab w:leader="none" w:pos="920" w:val="left"/>
        </w:tabs>
        <w:numPr>
          <w:ilvl w:val="0"/>
          <w:numId w:val="13"/>
        </w:numPr>
        <w:rPr>
          <w:rFonts w:ascii="Arial" w:cs="Arial" w:eastAsia="Arial" w:hAnsi="Arial"/>
          <w:sz w:val="19"/>
          <w:szCs w:val="19"/>
          <w:color w:val="auto"/>
        </w:rPr>
      </w:pPr>
      <w:r>
        <w:rPr>
          <w:rFonts w:ascii="Times New Roman" w:cs="Times New Roman" w:eastAsia="Times New Roman" w:hAnsi="Times New Roman"/>
          <w:sz w:val="19"/>
          <w:szCs w:val="19"/>
          <w:color w:val="auto"/>
        </w:rPr>
        <w:t>In Phase 1, efarindodekin alfa has been administered at doses more than 100-fold greater than the maximum tolerated dose of recombinant human IL-12. At dose levels up to the recommended Phase 2 dose, efarindodekin alfa has been generally well-tolerated, and treatment-related adverse events, or AEs, were primarily Grade 1 or 2.</w:t>
      </w:r>
    </w:p>
    <w:p>
      <w:pPr>
        <w:spacing w:after="0" w:line="78" w:lineRule="exact"/>
        <w:rPr>
          <w:rFonts w:ascii="Arial" w:cs="Arial" w:eastAsia="Arial" w:hAnsi="Arial"/>
          <w:sz w:val="19"/>
          <w:szCs w:val="19"/>
          <w:color w:val="auto"/>
        </w:rPr>
      </w:pPr>
    </w:p>
    <w:p>
      <w:pPr>
        <w:jc w:val="both"/>
        <w:ind w:left="920" w:hanging="458"/>
        <w:spacing w:after="0" w:line="250" w:lineRule="auto"/>
        <w:tabs>
          <w:tab w:leader="none" w:pos="920" w:val="left"/>
        </w:tabs>
        <w:numPr>
          <w:ilvl w:val="0"/>
          <w:numId w:val="13"/>
        </w:numPr>
        <w:rPr>
          <w:rFonts w:ascii="Arial" w:cs="Arial" w:eastAsia="Arial" w:hAnsi="Arial"/>
          <w:sz w:val="19"/>
          <w:szCs w:val="19"/>
          <w:color w:val="auto"/>
        </w:rPr>
      </w:pPr>
      <w:r>
        <w:rPr>
          <w:rFonts w:ascii="Times New Roman" w:cs="Times New Roman" w:eastAsia="Times New Roman" w:hAnsi="Times New Roman"/>
          <w:sz w:val="19"/>
          <w:szCs w:val="19"/>
          <w:color w:val="auto"/>
        </w:rPr>
        <w:t>Efarindodekin alfa also demonstrated encouraging anti-tumor activity, including two partial responses, or PRs, in patients with advanced solid tumors consisting of a confirmed PR in a patient with HPV-negative head and neck squamous cell carcinoma (33% decrease in target lesions), with meaningful changes in PD biomarkers, and an unconfirmed PR in a patient with uveal melanoma (55% decrease in target lesions).</w:t>
      </w:r>
    </w:p>
    <w:p>
      <w:pPr>
        <w:spacing w:after="0" w:line="84" w:lineRule="exact"/>
        <w:rPr>
          <w:rFonts w:ascii="Arial" w:cs="Arial" w:eastAsia="Arial" w:hAnsi="Arial"/>
          <w:sz w:val="19"/>
          <w:szCs w:val="19"/>
          <w:color w:val="auto"/>
        </w:rPr>
      </w:pPr>
    </w:p>
    <w:p>
      <w:pPr>
        <w:jc w:val="both"/>
        <w:ind w:left="920" w:hanging="458"/>
        <w:spacing w:after="0" w:line="249" w:lineRule="auto"/>
        <w:tabs>
          <w:tab w:leader="none" w:pos="920" w:val="left"/>
        </w:tabs>
        <w:numPr>
          <w:ilvl w:val="0"/>
          <w:numId w:val="13"/>
        </w:numPr>
        <w:rPr>
          <w:rFonts w:ascii="Arial" w:cs="Arial" w:eastAsia="Arial" w:hAnsi="Arial"/>
          <w:sz w:val="19"/>
          <w:szCs w:val="19"/>
          <w:color w:val="auto"/>
        </w:rPr>
      </w:pPr>
      <w:r>
        <w:rPr>
          <w:rFonts w:ascii="Times New Roman" w:cs="Times New Roman" w:eastAsia="Times New Roman" w:hAnsi="Times New Roman"/>
          <w:sz w:val="19"/>
          <w:szCs w:val="19"/>
          <w:color w:val="auto"/>
        </w:rPr>
        <w:t xml:space="preserve">Treatment with efarindodekin alfa induced sustained, dose-dependent interferon gamma, or </w:t>
      </w:r>
      <w:r>
        <w:rPr>
          <w:rFonts w:ascii="PMingLiU" w:cs="PMingLiU" w:eastAsia="PMingLiU" w:hAnsi="PMingLiU"/>
          <w:sz w:val="19"/>
          <w:szCs w:val="19"/>
          <w:color w:val="auto"/>
        </w:rPr>
        <w:t>,)1 </w:t>
      </w:r>
      <w:r>
        <w:rPr>
          <w:rFonts w:ascii="Times New Roman" w:cs="Times New Roman" w:eastAsia="Times New Roman" w:hAnsi="Times New Roman"/>
          <w:sz w:val="19"/>
          <w:szCs w:val="19"/>
          <w:color w:val="auto"/>
        </w:rPr>
        <w:t xml:space="preserve"> signaling without evidence of tachyphylaxis throughout treatment cycles and transformed the tumor microenvironment towards an inflamed state with increased T cell infiltration and differentiation to effector memory.</w:t>
      </w:r>
    </w:p>
    <w:p>
      <w:pPr>
        <w:spacing w:after="0" w:line="85"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13"/>
        </w:numPr>
        <w:rPr>
          <w:rFonts w:ascii="Arial" w:cs="Arial" w:eastAsia="Arial" w:hAnsi="Arial"/>
          <w:sz w:val="19"/>
          <w:szCs w:val="19"/>
          <w:color w:val="auto"/>
        </w:rPr>
      </w:pPr>
      <w:r>
        <w:rPr>
          <w:rFonts w:ascii="Times New Roman" w:cs="Times New Roman" w:eastAsia="Times New Roman" w:hAnsi="Times New Roman"/>
          <w:sz w:val="19"/>
          <w:szCs w:val="19"/>
          <w:color w:val="auto"/>
        </w:rPr>
        <w:t>PD data for efarindodekin alfa were consistent with IL-12 biology and demonstrated that efarindodekin alfa induced robust immune cell infiltration and PD-1, PD-L1 upregulation in patient tumors.</w:t>
      </w:r>
    </w:p>
    <w:p>
      <w:pPr>
        <w:sectPr>
          <w:pgSz w:w="12240" w:h="15840" w:orient="portrait"/>
          <w:cols w:equalWidth="0" w:num="1">
            <w:col w:w="10200"/>
          </w:cols>
          <w:pgMar w:left="1020" w:top="1317" w:right="1020" w:bottom="60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2240" w:h="15840" w:orient="portrait"/>
          <w:cols w:equalWidth="0" w:num="1">
            <w:col w:w="10200"/>
          </w:cols>
          <w:pgMar w:left="1020" w:top="1317" w:right="1020" w:bottom="609"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9"/>
          <w:szCs w:val="19"/>
          <w:b w:val="1"/>
          <w:bCs w:val="1"/>
          <w:color w:val="auto"/>
        </w:rPr>
        <w:t>Vilastobart (masked, Fc-enhanced anti-CTLA-4)</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Vilastobart is an investigational tumor-activated, Fc-enhanced, high affinity binding anti-CTLA-4 monoclonal antibody designed to block CTLA-4 and deplete regulatory T cells when activated in the tumor microenvironment. CTLA</w:t>
      </w:r>
      <w:r>
        <w:rPr>
          <w:rFonts w:ascii="Arial" w:cs="Arial" w:eastAsia="Arial" w:hAnsi="Arial"/>
          <w:sz w:val="19"/>
          <w:szCs w:val="19"/>
          <w:color w:val="auto"/>
        </w:rPr>
        <w:t>̻</w:t>
      </w:r>
      <w:r>
        <w:rPr>
          <w:rFonts w:ascii="Times New Roman" w:cs="Times New Roman" w:eastAsia="Times New Roman" w:hAnsi="Times New Roman"/>
          <w:sz w:val="19"/>
          <w:szCs w:val="19"/>
          <w:color w:val="auto"/>
        </w:rPr>
        <w:t>4 is an immune checkpoint that is well-established as a potent immunotherapy capable of regulating T cell priming with complementary biology to PD-1, including with the first FDA approval for ipilimumab in 2011. However, systemic toxicity has limited the potential of non-masked CTLA-4 as a monotherapy and combination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1427480</wp:posOffset>
            </wp:positionH>
            <wp:positionV relativeFrom="paragraph">
              <wp:posOffset>57785</wp:posOffset>
            </wp:positionV>
            <wp:extent cx="3616325" cy="30765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7">
                      <a:extLst>
                        <a:ext uri="{28A0092B-C50C-407E-A947-70E740481C1C}"/>
                      </a:extLst>
                    </a:blip>
                    <a:srcRect/>
                    <a:stretch>
                      <a:fillRect/>
                    </a:stretch>
                  </pic:blipFill>
                  <pic:spPr bwMode="auto">
                    <a:xfrm>
                      <a:off x="0" y="0"/>
                      <a:ext cx="3616325" cy="3076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Vilastobart is designed to have a dual mechanism of action that promotes T cell responses against lower quality neoantigens:</w:t>
      </w:r>
    </w:p>
    <w:p>
      <w:pPr>
        <w:spacing w:after="0" w:line="126" w:lineRule="exact"/>
        <w:rPr>
          <w:sz w:val="20"/>
          <w:szCs w:val="20"/>
          <w:color w:val="auto"/>
        </w:rPr>
      </w:pPr>
    </w:p>
    <w:p>
      <w:pPr>
        <w:ind w:left="680" w:hanging="340"/>
        <w:spacing w:after="0"/>
        <w:tabs>
          <w:tab w:leader="none" w:pos="680" w:val="left"/>
        </w:tabs>
        <w:numPr>
          <w:ilvl w:val="0"/>
          <w:numId w:val="14"/>
        </w:numPr>
        <w:rPr>
          <w:rFonts w:ascii="Arial" w:cs="Arial" w:eastAsia="Arial" w:hAnsi="Arial"/>
          <w:sz w:val="19"/>
          <w:szCs w:val="19"/>
          <w:color w:val="auto"/>
        </w:rPr>
      </w:pPr>
      <w:r>
        <w:rPr>
          <w:rFonts w:ascii="Times New Roman" w:cs="Times New Roman" w:eastAsia="Times New Roman" w:hAnsi="Times New Roman"/>
          <w:sz w:val="19"/>
          <w:szCs w:val="19"/>
          <w:color w:val="auto"/>
        </w:rPr>
        <w:t>CTLA-4 blockade and co-stimulation lower the threshold for priming naïve T cells against lower quality neoantigens; and</w:t>
      </w:r>
    </w:p>
    <w:p>
      <w:pPr>
        <w:spacing w:after="0" w:line="124" w:lineRule="exact"/>
        <w:rPr>
          <w:rFonts w:ascii="Arial" w:cs="Arial" w:eastAsia="Arial" w:hAnsi="Arial"/>
          <w:sz w:val="19"/>
          <w:szCs w:val="19"/>
          <w:color w:val="auto"/>
        </w:rPr>
      </w:pPr>
    </w:p>
    <w:p>
      <w:pPr>
        <w:ind w:left="680" w:hanging="340"/>
        <w:spacing w:after="0" w:line="274" w:lineRule="auto"/>
        <w:tabs>
          <w:tab w:leader="none" w:pos="680" w:val="left"/>
        </w:tabs>
        <w:numPr>
          <w:ilvl w:val="0"/>
          <w:numId w:val="14"/>
        </w:numPr>
        <w:rPr>
          <w:rFonts w:ascii="Arial" w:cs="Arial" w:eastAsia="Arial" w:hAnsi="Arial"/>
          <w:sz w:val="19"/>
          <w:szCs w:val="19"/>
          <w:color w:val="auto"/>
        </w:rPr>
      </w:pPr>
      <w:r>
        <w:rPr>
          <w:rFonts w:ascii="Times New Roman" w:cs="Times New Roman" w:eastAsia="Times New Roman" w:hAnsi="Times New Roman"/>
          <w:sz w:val="19"/>
          <w:szCs w:val="19"/>
          <w:color w:val="auto"/>
        </w:rPr>
        <w:t>depletion of regulatory T cells reduces immune suppressive signaling during priming and drives potent, polyclonal CD8 T cell expansion including for weaker antigens.</w:t>
      </w:r>
    </w:p>
    <w:p>
      <w:pPr>
        <w:spacing w:after="0" w:line="275"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9"/>
          <w:szCs w:val="19"/>
          <w:color w:val="auto"/>
        </w:rPr>
        <w:t>In 2023, we entered into a co-funded clinical trial collaboration with F. Hoffmann-La Roche Ltd, or Roche, to evaluate vilastobart in combination with atezolizumab (Tecentriq®) in a multi-center, open-label Phase 1/2 clinical trial. In our Phase 2 clinical trial, we have demonstrated promising clinical efficacy and a generally well-tolerated safety profile for vilastobart in combination with atezolizumab in heavily pre-treated patients with MSS metastatic CRC without liver metastases. We believe these clinical data support the best-in-class potential for vilastobart for use in combination therapies, and we are actively seeking a partner to maximize the value of vilastobart.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Competition</w:t>
      </w:r>
    </w:p>
    <w:p>
      <w:pPr>
        <w:spacing w:after="0" w:line="22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We believe our novel and proprietary platform technology and masking approach represent a meaningful competitive advantage in seeking to develop novel and highly effective treatments for cancer. However, the biotechnology and biopharmaceutical industries are characterized by rapid evolution of technologies and sharp competition and emphasis on intellectual property. Any product candidates that we successfully develop and commercialize will have to compete with existing therapies and new therapies that may become available in the future. While we believe that our technology, development experience and scientific knowledge provide us with competitive advantages, we face potential competition from many different sources, including major pharmaceutical, specialty pharmaceutical and biotechnology companies, academic institutions, governmental agencies and public and private research institutions.</w:t>
      </w:r>
    </w:p>
    <w:p>
      <w:pPr>
        <w:spacing w:after="0" w:line="19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Some of our competitors, either independently or with strategic partners, have substantially greater financial, technical and human resources than we do. In addition, our competitors may be more successful than we are in research and development, manufacturing, preclinical testing, conducting clinical trials, obtaining regulatory approval for treatments and achieving widespread market</w:t>
      </w:r>
    </w:p>
    <w:p>
      <w:pPr>
        <w:sectPr>
          <w:pgSz w:w="12240" w:h="15840" w:orient="portrait"/>
          <w:cols w:equalWidth="0" w:num="1">
            <w:col w:w="10200"/>
          </w:cols>
          <w:pgMar w:left="1020" w:top="1315" w:right="1020" w:bottom="574" w:gutter="0" w:footer="0" w:header="0"/>
        </w:sect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w:t>
      </w:r>
    </w:p>
    <w:p>
      <w:pPr>
        <w:sectPr>
          <w:pgSz w:w="12240" w:h="15840" w:orient="portrait"/>
          <w:cols w:equalWidth="0" w:num="1">
            <w:col w:w="10200"/>
          </w:cols>
          <w:pgMar w:left="1020" w:top="1315" w:right="1020" w:bottom="574" w:gutter="0" w:footer="0" w:header="0"/>
          <w:type w:val="continuous"/>
        </w:sectPr>
      </w:pPr>
    </w:p>
    <w:bookmarkStart w:id="13" w:name="page14"/>
    <w:bookmarkEnd w:id="13"/>
    <w:p>
      <w:pPr>
        <w:jc w:val="both"/>
        <w:spacing w:after="0" w:line="247" w:lineRule="auto"/>
        <w:rPr>
          <w:sz w:val="20"/>
          <w:szCs w:val="20"/>
          <w:color w:val="auto"/>
        </w:rPr>
      </w:pPr>
      <w:r>
        <w:rPr>
          <w:rFonts w:ascii="Times New Roman" w:cs="Times New Roman" w:eastAsia="Times New Roman" w:hAnsi="Times New Roman"/>
          <w:sz w:val="19"/>
          <w:szCs w:val="19"/>
          <w:color w:val="auto"/>
        </w:rPr>
        <w:t>acceptance. Merger and acquisition activity in the biotechnology and biopharmaceutical industries may result in resources being concentrated among a smaller number of our competitors. These companies also compete with us in recruiting and retaining qualified scientific and management personnel, establishing clinical trial sites and patient registration for clinical trials and acquiring technologies complementary to, or necessary for, our programs. Smaller or early-stage companies may also prove to be significant competitors, particularly through collaborative arrangements with large and established companies.</w:t>
      </w:r>
    </w:p>
    <w:p>
      <w:pPr>
        <w:spacing w:after="0" w:line="18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9"/>
          <w:szCs w:val="19"/>
          <w:color w:val="auto"/>
        </w:rPr>
        <w:t>In addition to competitors specifically targeting PD-1/IL-2, PSMA or STEAP1, CLDN18.2, IL-12 and anti-CTLA-4, we also face competition more broadly across the oncology market. The most common methods of treating patients with cancer are surgery, radiation and drug therapy, including chemotherapy, hormone therapy, biologic therapy, such as monoclonal and bispecific antibodies, immunotherapy, cell-based therapy and targeted therapy, or a combination of any such treatments. Beyond these treatments, we may also be subject to competition from additional modalities, including oncolytic viruses and cancer vaccines.</w:t>
      </w:r>
    </w:p>
    <w:p>
      <w:pPr>
        <w:spacing w:after="0" w:line="18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color w:val="auto"/>
        </w:rPr>
        <w:t>Our commercial opportunity could be substantially limited if our competitors develop and commercialize products that are more effective, safer, less toxic, more convenient, or less expensive than products we may develop. In geographies that are critical to our commercial success, competitors may also obtain regulatory approvals before us, resulting in our competitors building a strong market position in advance of the entry of our products. In addition, our ability to compete may be affected in many cases by insurers or other third-party payers seeking to encourage the use of other drugs. The key competitive factors affecting the success of any products we may develop are likely to be their efficacy, safety, convenience, price and availability of reimbursement.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Bispecific PD-1/masked IL-2 Program</w:t>
      </w:r>
    </w:p>
    <w:p>
      <w:pPr>
        <w:spacing w:after="0" w:line="22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With respect to XTX501, currently there are no bispecific PD-1 targeted IL-2 therapies approved for the treatment of cancer. However, we are aware of several companies that have bispecific PD-1 targeted IL-2 programs in development, including but not limited to Anaveon AG, Bright Peak Therapeutics, Inc., Innovent Biologics, Inc., Medicenna Therapeutics Corp., Regeneron Pharmaceuticals, Inc., Roche, and Teva Pharmaceutical Industries, Ltd.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Masked T Cell Engager Programs</w:t>
      </w:r>
    </w:p>
    <w:p>
      <w:pPr>
        <w:spacing w:after="0" w:line="22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9"/>
          <w:szCs w:val="19"/>
          <w:color w:val="auto"/>
        </w:rPr>
        <w:t xml:space="preserve">With respect to our masked T cell engager programs, currently there are no T cell engager therapies targeting PSMA, STEAP1 or CLDN18.2 approved for the treatment of cancer. However, we are aware of other companies that have masked T cell engager programs in development for PSMA, including but not limited to Janux Therapeutics, Inc. and Vir Biotechnology, Inc., and at least one other company, Werewolf Therapeutics, Inc., that has a masked T cell engager program in development for STEAP1. To our knowledge, there are no companies currently developing a masked T cell engager program targeting both PSMA and STEAP1 or a masked T cell engager program for CLDN18.2. However, we are aware of several companies developing non-masked T cell engager programs for CLDN18.2, including but not limited to Amgen Inc., Astellas Pharma </w:t>
      </w:r>
      <w:r>
        <w:rPr>
          <w:rFonts w:ascii="Times New Roman" w:cs="Times New Roman" w:eastAsia="Times New Roman" w:hAnsi="Times New Roman"/>
          <w:sz w:val="18"/>
          <w:szCs w:val="18"/>
          <w:color w:val="auto"/>
        </w:rPr>
        <w:t>Inc., AstraZeneca PLC, Innovent Biologics, Inc.,</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8"/>
          <w:szCs w:val="18"/>
          <w:color w:val="auto"/>
        </w:rPr>
        <w:t>Transcenta Holding Ltd. and Zai Lab Limited, for PSMA, including but not limited to AbCellera Biologics Inc., Regeneron Pharmaceuticals Inc. and Xencor, Inc., and for STEAP1, including but not limited to Amgen Inc. and Xencor Inc.</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IL-12 Program</w:t>
      </w:r>
    </w:p>
    <w:p>
      <w:pPr>
        <w:spacing w:after="0" w:line="22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With respect to efarindodekin alfa, currently there are no IL-12 therapies approved for the treatment of cancer. However, we are aware of several companies that have IL-12 programs in development, including but not limited to ImmunityBio, Inc., PDS Biotechnology Corporation, Philogen S.p.A., Shanghai KangaBio Co., Ltd., Werewolf Therapeutics, Inc., Xencor Inc. and Zymeworks Inc.</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Anti-CTLA-4 Program</w:t>
      </w:r>
    </w:p>
    <w:p>
      <w:pPr>
        <w:spacing w:after="0" w:line="22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9"/>
          <w:szCs w:val="19"/>
          <w:color w:val="auto"/>
        </w:rPr>
        <w:t>Vilastobart, if approved, may face competition from other anti-CTLA-4 based therapies. For example, Yervoy (ipilimumab), an anti-CTLA-4, is approved to treat melanoma, renal cell carcinoma and certain cancers of the large intestine, and Imjudo (tremelimumab) is approved as a combination therapy to treat unresectable hepatocellular carcinoma. In addition, we are aware of several companies that have anti-CTLA-4 programs in development, including but not limited to Adagene, Inc., Agenus Inc., AstraZeneca plc, BioAtla, Inc., Chugai Pharmaceutical Co. Ltd., MacroGenics, Inc., OncoC4, Inc. and Solstice Oncology.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Intellectual Property</w:t>
      </w:r>
    </w:p>
    <w:p>
      <w:pPr>
        <w:spacing w:after="0" w:line="22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strive to protect our proprietary technology, inventions, improvements, and platforms, including composition of matter for product candidates, methods of use and processes for their manufacture that we believe are important to our business, including by obtaining, maintaining, defending and enforcing patent and other intellectual property rights for the foregoing in the United States and in certain foreign jurisdictions. We also rely on trade secrets and confidentiality agreements to protect our confidential information and know-how and other aspects of our business that are not amenable to, or that we do not consider appropriate for, patent protection.</w:t>
      </w:r>
    </w:p>
    <w:p>
      <w:pPr>
        <w:sectPr>
          <w:pgSz w:w="12240" w:h="15840" w:orient="portrait"/>
          <w:cols w:equalWidth="0" w:num="1">
            <w:col w:w="10200"/>
          </w:cols>
          <w:pgMar w:left="1020" w:top="1317" w:right="1020" w:bottom="574" w:gutter="0" w:footer="0" w:header="0"/>
        </w:sectPr>
      </w:pP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w:t>
      </w:r>
    </w:p>
    <w:p>
      <w:pPr>
        <w:sectPr>
          <w:pgSz w:w="12240" w:h="15840" w:orient="portrait"/>
          <w:cols w:equalWidth="0" w:num="1">
            <w:col w:w="10200"/>
          </w:cols>
          <w:pgMar w:left="1020" w:top="1317" w:right="1020" w:bottom="574"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9"/>
          <w:szCs w:val="19"/>
          <w:color w:val="auto"/>
        </w:rPr>
        <w:t>Our success depends in part on our ability to:</w:t>
      </w:r>
    </w:p>
    <w:p>
      <w:pPr>
        <w:spacing w:after="0" w:line="239" w:lineRule="exact"/>
        <w:rPr>
          <w:sz w:val="20"/>
          <w:szCs w:val="20"/>
          <w:color w:val="auto"/>
        </w:rPr>
      </w:pPr>
    </w:p>
    <w:p>
      <w:pPr>
        <w:ind w:left="920" w:hanging="458"/>
        <w:spacing w:after="0" w:line="274" w:lineRule="auto"/>
        <w:tabs>
          <w:tab w:leader="none" w:pos="920" w:val="left"/>
        </w:tabs>
        <w:numPr>
          <w:ilvl w:val="0"/>
          <w:numId w:val="15"/>
        </w:numPr>
        <w:rPr>
          <w:rFonts w:ascii="Arial" w:cs="Arial" w:eastAsia="Arial" w:hAnsi="Arial"/>
          <w:sz w:val="19"/>
          <w:szCs w:val="19"/>
          <w:color w:val="auto"/>
        </w:rPr>
      </w:pPr>
      <w:r>
        <w:rPr>
          <w:rFonts w:ascii="Times New Roman" w:cs="Times New Roman" w:eastAsia="Times New Roman" w:hAnsi="Times New Roman"/>
          <w:sz w:val="19"/>
          <w:szCs w:val="19"/>
          <w:color w:val="auto"/>
        </w:rPr>
        <w:t>obtain, maintain, enforce and defend patent and other intellectual property rights for our commercially important technology, inventions and improvements;</w:t>
      </w:r>
    </w:p>
    <w:p>
      <w:pPr>
        <w:spacing w:after="0" w:line="174" w:lineRule="exact"/>
        <w:rPr>
          <w:rFonts w:ascii="Arial" w:cs="Arial" w:eastAsia="Arial" w:hAnsi="Arial"/>
          <w:sz w:val="19"/>
          <w:szCs w:val="19"/>
          <w:color w:val="auto"/>
        </w:rPr>
      </w:pPr>
    </w:p>
    <w:p>
      <w:pPr>
        <w:ind w:left="920" w:hanging="458"/>
        <w:spacing w:after="0"/>
        <w:tabs>
          <w:tab w:leader="none" w:pos="920" w:val="left"/>
        </w:tabs>
        <w:numPr>
          <w:ilvl w:val="0"/>
          <w:numId w:val="15"/>
        </w:numPr>
        <w:rPr>
          <w:rFonts w:ascii="Arial" w:cs="Arial" w:eastAsia="Arial" w:hAnsi="Arial"/>
          <w:sz w:val="19"/>
          <w:szCs w:val="19"/>
          <w:color w:val="auto"/>
        </w:rPr>
      </w:pPr>
      <w:r>
        <w:rPr>
          <w:rFonts w:ascii="Times New Roman" w:cs="Times New Roman" w:eastAsia="Times New Roman" w:hAnsi="Times New Roman"/>
          <w:sz w:val="19"/>
          <w:szCs w:val="19"/>
          <w:color w:val="auto"/>
        </w:rPr>
        <w:t>preserve the confidentiality of our trade secrets and other confidential information;</w:t>
      </w:r>
    </w:p>
    <w:p>
      <w:pPr>
        <w:spacing w:after="0" w:line="238" w:lineRule="exact"/>
        <w:rPr>
          <w:rFonts w:ascii="Arial" w:cs="Arial" w:eastAsia="Arial" w:hAnsi="Arial"/>
          <w:sz w:val="19"/>
          <w:szCs w:val="19"/>
          <w:color w:val="auto"/>
        </w:rPr>
      </w:pPr>
    </w:p>
    <w:p>
      <w:pPr>
        <w:ind w:left="920" w:hanging="458"/>
        <w:spacing w:after="0"/>
        <w:tabs>
          <w:tab w:leader="none" w:pos="920" w:val="left"/>
        </w:tabs>
        <w:numPr>
          <w:ilvl w:val="0"/>
          <w:numId w:val="15"/>
        </w:numPr>
        <w:rPr>
          <w:rFonts w:ascii="Arial" w:cs="Arial" w:eastAsia="Arial" w:hAnsi="Arial"/>
          <w:sz w:val="19"/>
          <w:szCs w:val="19"/>
          <w:color w:val="auto"/>
        </w:rPr>
      </w:pPr>
      <w:r>
        <w:rPr>
          <w:rFonts w:ascii="Times New Roman" w:cs="Times New Roman" w:eastAsia="Times New Roman" w:hAnsi="Times New Roman"/>
          <w:sz w:val="19"/>
          <w:szCs w:val="19"/>
          <w:color w:val="auto"/>
        </w:rPr>
        <w:t>obtain and maintain licenses to use and exploit intellectual property owned or controlled by third parties;</w:t>
      </w:r>
    </w:p>
    <w:p>
      <w:pPr>
        <w:spacing w:after="0" w:line="238"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15"/>
        </w:numPr>
        <w:rPr>
          <w:rFonts w:ascii="Arial" w:cs="Arial" w:eastAsia="Arial" w:hAnsi="Arial"/>
          <w:sz w:val="19"/>
          <w:szCs w:val="19"/>
          <w:color w:val="auto"/>
        </w:rPr>
      </w:pPr>
      <w:r>
        <w:rPr>
          <w:rFonts w:ascii="Times New Roman" w:cs="Times New Roman" w:eastAsia="Times New Roman" w:hAnsi="Times New Roman"/>
          <w:sz w:val="19"/>
          <w:szCs w:val="19"/>
          <w:color w:val="auto"/>
        </w:rPr>
        <w:t>operate without infringing, misappropriating or otherwise violating any valid and enforceable patents and other intellectual property rights of third parties; and</w:t>
      </w:r>
    </w:p>
    <w:p>
      <w:pPr>
        <w:spacing w:after="0" w:line="174" w:lineRule="exact"/>
        <w:rPr>
          <w:rFonts w:ascii="Arial" w:cs="Arial" w:eastAsia="Arial" w:hAnsi="Arial"/>
          <w:sz w:val="19"/>
          <w:szCs w:val="19"/>
          <w:color w:val="auto"/>
        </w:rPr>
      </w:pPr>
    </w:p>
    <w:p>
      <w:pPr>
        <w:jc w:val="both"/>
        <w:ind w:left="920" w:hanging="458"/>
        <w:spacing w:after="0" w:line="256" w:lineRule="auto"/>
        <w:tabs>
          <w:tab w:leader="none" w:pos="920" w:val="left"/>
        </w:tabs>
        <w:numPr>
          <w:ilvl w:val="0"/>
          <w:numId w:val="15"/>
        </w:numPr>
        <w:rPr>
          <w:rFonts w:ascii="Arial" w:cs="Arial" w:eastAsia="Arial" w:hAnsi="Arial"/>
          <w:sz w:val="19"/>
          <w:szCs w:val="19"/>
          <w:color w:val="auto"/>
        </w:rPr>
      </w:pPr>
      <w:r>
        <w:rPr>
          <w:rFonts w:ascii="Times New Roman" w:cs="Times New Roman" w:eastAsia="Times New Roman" w:hAnsi="Times New Roman"/>
          <w:sz w:val="19"/>
          <w:szCs w:val="19"/>
          <w:color w:val="auto"/>
        </w:rPr>
        <w:t>defend against challenges and assertions by third parties challenging the validity or enforceability of our intellectual property rights, or our rights in our intellectual property, or asserting that the operation of our business infringes, misappropriates or otherwise violates their intellectual property rights.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Patent portfolio</w:t>
      </w:r>
    </w:p>
    <w:p>
      <w:pPr>
        <w:spacing w:after="0" w:line="22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As of February 28, 2026, we own, co-own or exclusively license 18 patent application families related to our business, including four pending Patent Cooperation Treaty, or PCT, patent applications, 15 pending U.S. non-provisional applications, 11 issued U.S. patents, 61 issued patents in Armenia, Australia, Azerbaijan, Belarus, China, Eurasia, Europe, France, Germany, Hong Kong, India, Indonesia, Italy Israel, Japan, Kazakhstan, Kyrgyzstan, Malaysia, Mexico, New Zealand, Philippines, Singapore, South Korea, Russia, Saudi Arabia, South Africa, Spain, the United Kingdom, Taiwan, Tajikistan, and Turkmenistan and 164 pending foreign applications in Australia, Brazil, Canada, China, Eurasia, Europe, Hong Kong, Indonesia, Israel, India, Japan, South Korea, Mexico, Malaysia, New Zealand, the Philippines, Saudi Arabia, Singapore, South Africa and Taiwan. In addition, we own four U.S. provisional patent applications within the priority year. Our owned, co-owned or exclusively in-licensed patent applications cover various aspects of our programs and technology, including composition of matter and method of use as further described below. Any U.S. or foreign patents issued from national stage filings of our owned, co-owned, or exclusively in-licensed PCT patent applications and any U.S. patents issued from non-provisional applications we may file in connection with our provisional patent applications will have a statutory expiration date ranging between 2037 and 2046, without taking into account any possible patent term adjustments or extensions and assuming payment of all appropriate maintenance, renewal, annuity and other governmental fees.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Xilio’s Platform for Masked I-O Molecules</w:t>
      </w:r>
    </w:p>
    <w:p>
      <w:pPr>
        <w:spacing w:after="0" w:line="22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Our proprietary engineering platform technology enables novel, masked I-O molecules designed to selectively activate within the tumor microenvironment to achieve durable efficacy without the severe side effects associated with systemically active I-O agents. By masking components of I-O therapies, our platform technology can be used to decouple therapeutic effects from toxicity for treating different cancers. As of February 28, 2026, we own four patent families covering the platform in the cytokine space: a first patent family, including one pending U.S. patent application and corresponding foreign applications in Australia, Brazil, Canada, China, Eurasia, Europe, Hong Kong, Indonesia, Israel, Japan, India, South Korea, Mexico, Malaysia, New Zealand, the Philippines, Saudi Arabia, Singapore and South Africa; and three additional patent families covering our multi-functional, including bispecific, platform technology in the cytokine space, including three pending U.S. patent applications, one pending PCT application, and 30 pending foreign applications in Australia, Brazil, Canada, China, Europe, Hong Kong, Israel, India, Japan, South Korea, Mexico, Malaysia, New Zealand, Philippines, Singapore, South Africa, and Taiwan. We own three patent families covering our immune cell engagers platform technology, two of which are at provisional stage within the priority year and one pending PCT application. We exclusively license two patent families relating to the platform technology and our cytokine and antibody programs. These owned and exclusively licensed patent families will have a statutory expiration date ranging between 2038 and 2046, without taking into account any possible patent term adjustments or extensions and assuming payment of all appropriate maintenance, renewal, annuity and other governmental fees.</w:t>
      </w:r>
    </w:p>
    <w:p>
      <w:pPr>
        <w:spacing w:after="0" w:line="19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In addition, we own two patent families covering various linker designs that are used or can be used in our technology, including one issued U.S. patent, two pending U.S. applications, one issued patent in Europe, which is validated in France, Germany, Spain, Italy and the United Kingdom, and ten foreign applications in Canada, Europe, Hong Kong, Japan, South Korea, Singapore and Taiwan.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XTX501 (masked PD-1/IL-2 bispecific)</w:t>
      </w:r>
    </w:p>
    <w:p>
      <w:pPr>
        <w:spacing w:after="0" w:line="22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9"/>
          <w:szCs w:val="19"/>
          <w:color w:val="auto"/>
        </w:rPr>
        <w:t>As of February 28, 2026, we own three families relating to XTX501, a bispecific PD-1 / masked IL-2, covering the construct design, key elements and full-length sequences with composition of matter and methods of use claims. These patent families include four</w:t>
      </w:r>
    </w:p>
    <w:p>
      <w:pPr>
        <w:sectPr>
          <w:pgSz w:w="12240" w:h="15840" w:orient="portrait"/>
          <w:cols w:equalWidth="0" w:num="1">
            <w:col w:w="10200"/>
          </w:cols>
          <w:pgMar w:left="1020" w:top="1317" w:right="1020" w:bottom="574" w:gutter="0" w:footer="0" w:header="0"/>
        </w:sect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12</w:t>
      </w:r>
    </w:p>
    <w:p>
      <w:pPr>
        <w:sectPr>
          <w:pgSz w:w="12240" w:h="15840" w:orient="portrait"/>
          <w:cols w:equalWidth="0" w:num="1">
            <w:col w:w="10200"/>
          </w:cols>
          <w:pgMar w:left="1020" w:top="1317" w:right="1020" w:bottom="574" w:gutter="0" w:footer="0" w:header="0"/>
          <w:type w:val="continuous"/>
        </w:sectPr>
      </w:pPr>
    </w:p>
    <w:bookmarkStart w:id="15" w:name="page16"/>
    <w:bookmarkEnd w:id="15"/>
    <w:p>
      <w:pPr>
        <w:jc w:val="both"/>
        <w:spacing w:after="0" w:line="247" w:lineRule="auto"/>
        <w:rPr>
          <w:sz w:val="20"/>
          <w:szCs w:val="20"/>
          <w:color w:val="auto"/>
        </w:rPr>
      </w:pPr>
      <w:r>
        <w:rPr>
          <w:rFonts w:ascii="Times New Roman" w:cs="Times New Roman" w:eastAsia="Times New Roman" w:hAnsi="Times New Roman"/>
          <w:sz w:val="19"/>
          <w:szCs w:val="19"/>
          <w:color w:val="auto"/>
        </w:rPr>
        <w:t>pending U.S. applications, two pending PCT applications, and 11 foreign applications in Australia, Brazil, Canada, China, Europe, Hong Kong, Indonesia, Israel, India, Japan, South Korea, Mexico, Malaysia, New Zealand, Philippines, Singapore, South Africa and Taiwan. These owned patent families will have a statutory expiration date ranging between 2043 and 2045, without taking into account any possible patent term adjustments or extensions and assuming payment of all appropriate maintenance, renewal, annuity and other governmental fees.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Masked T Cell Engager Programs</w:t>
      </w:r>
    </w:p>
    <w:p>
      <w:pPr>
        <w:spacing w:after="0" w:line="22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9"/>
          <w:szCs w:val="19"/>
          <w:color w:val="auto"/>
        </w:rPr>
        <w:t>As of February 28, 2026, we own three patent families covering our masked T cell engager programs and platform technology, including one patent family covering various bispecific molecules designed using our ATACR format, the second patent family covering various tri-specific molecules using our SEECR format, and the third family covering variant costimulatory molecules. These three patent families include one pending PCT application, two pending U.S. provisional applications within the priority year, and one pending application in Taiwan.</w:t>
      </w:r>
    </w:p>
    <w:p>
      <w:pPr>
        <w:spacing w:after="0" w:line="18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9"/>
          <w:szCs w:val="19"/>
          <w:color w:val="auto"/>
        </w:rPr>
        <w:t>These patent families will have statutory expiration dates in 2045 and 2046, without taking into account any possible patent term adjustments or extensions and assuming payment of all appropriate maintenance, renewal, and annuity and other governmental fees.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Efarindodekin Alfa (masked IL</w:t>
      </w:r>
      <w:r>
        <w:rPr>
          <w:rFonts w:ascii="Arial" w:cs="Arial" w:eastAsia="Arial" w:hAnsi="Arial"/>
          <w:sz w:val="19"/>
          <w:szCs w:val="19"/>
          <w:i w:val="1"/>
          <w:iCs w:val="1"/>
          <w:color w:val="auto"/>
        </w:rPr>
        <w:t>̻</w:t>
      </w:r>
      <w:r>
        <w:rPr>
          <w:rFonts w:ascii="Times New Roman" w:cs="Times New Roman" w:eastAsia="Times New Roman" w:hAnsi="Times New Roman"/>
          <w:sz w:val="19"/>
          <w:szCs w:val="19"/>
          <w:i w:val="1"/>
          <w:iCs w:val="1"/>
          <w:color w:val="auto"/>
        </w:rPr>
        <w:t>12)</w:t>
      </w:r>
    </w:p>
    <w:p>
      <w:pPr>
        <w:spacing w:after="0" w:line="24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9"/>
          <w:szCs w:val="19"/>
          <w:color w:val="auto"/>
        </w:rPr>
        <w:t>As of February 28, 2026, we own four patent families directed to different masked IL</w:t>
      </w:r>
      <w:r>
        <w:rPr>
          <w:rFonts w:ascii="Arial" w:cs="Arial" w:eastAsia="Arial" w:hAnsi="Arial"/>
          <w:sz w:val="19"/>
          <w:szCs w:val="19"/>
          <w:color w:val="auto"/>
        </w:rPr>
        <w:t>̻</w:t>
      </w:r>
      <w:r>
        <w:rPr>
          <w:rFonts w:ascii="Times New Roman" w:cs="Times New Roman" w:eastAsia="Times New Roman" w:hAnsi="Times New Roman"/>
          <w:sz w:val="19"/>
          <w:szCs w:val="19"/>
          <w:color w:val="auto"/>
        </w:rPr>
        <w:t>12 constructs and sequences, including efarindodekin alfa, with composition of matter and methods of use claims. These patent families include two issued U.S. patents, two pending U.S. non-provisional applications, two U.S. provisional applications, two issued patents in Japan and Taiwan and 46 foreign applications in Australia, Brazil, Canada, China, Eurasia, Europe, Hong Kong, Indonesia, Israel, India, Japan, South Korea, Mexico, Malaysia, New Zealand, Philippines, Saudi Arabia, Singapore, South Africa and Taiwan. These patent families will have a statutory expiration date in 2039 and 2047, without taking into account any possible patent term adjustments or extensions and assuming payment of all appropriate maintenance, renewal, annuity and other governmental fees.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Vilastobart (masked, Fc-enhanced anti-CTLA-4)</w:t>
      </w:r>
    </w:p>
    <w:p>
      <w:pPr>
        <w:spacing w:after="0" w:line="23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color w:val="auto"/>
        </w:rPr>
        <w:t>As of February 28, 2026, we own, co-own or exclusively in-license three patent families relating to masked anti-CTLA</w:t>
      </w:r>
      <w:r>
        <w:rPr>
          <w:rFonts w:ascii="Arial" w:cs="Arial" w:eastAsia="Arial" w:hAnsi="Arial"/>
          <w:sz w:val="19"/>
          <w:szCs w:val="19"/>
          <w:color w:val="auto"/>
        </w:rPr>
        <w:t>̻</w:t>
      </w:r>
      <w:r>
        <w:rPr>
          <w:rFonts w:ascii="Times New Roman" w:cs="Times New Roman" w:eastAsia="Times New Roman" w:hAnsi="Times New Roman"/>
          <w:sz w:val="19"/>
          <w:szCs w:val="19"/>
          <w:color w:val="auto"/>
        </w:rPr>
        <w:t>4 antibody constructs and sequences, including vilastobart, with composition of matter and methods of use claims. A first patent family is exclusively in-licensed from WuXi Biologics (Shanghai) Co., Ltd. and directed to anti-CTLA</w:t>
      </w:r>
      <w:r>
        <w:rPr>
          <w:rFonts w:ascii="Arial" w:cs="Arial" w:eastAsia="Arial" w:hAnsi="Arial"/>
          <w:sz w:val="19"/>
          <w:szCs w:val="19"/>
          <w:color w:val="auto"/>
        </w:rPr>
        <w:t>̻</w:t>
      </w:r>
      <w:r>
        <w:rPr>
          <w:rFonts w:ascii="Times New Roman" w:cs="Times New Roman" w:eastAsia="Times New Roman" w:hAnsi="Times New Roman"/>
          <w:sz w:val="19"/>
          <w:szCs w:val="19"/>
          <w:color w:val="auto"/>
        </w:rPr>
        <w:t>4 antibodies. This family includes three issued U.S. patents and one pending U.S. application covering certain complementarity-determining regions and variable region sequences of anti-CTLA-4 antibodies, including vilastobart. Twenty-seven foreign applications are issued in Armenia, Australia, Azerbaijan, Belarus, China, Eurasia, Indonesia, Israel, Japan, Kazakhstan, Kyrgyzstan, Malaysia, Mexico, New Zealand, Philippines, Russia, South Korea, Saudi Arabia, Singapore, Taiwan, Tajikistan, and Turkmenistan. Nine foreign applications are pending in Brazil, Canada, China, European Patent Office, Hong Kong, India, Mexico, Philippines and South Africa. A second patent family is owned and directed to anti-CTLA</w:t>
      </w:r>
      <w:r>
        <w:rPr>
          <w:rFonts w:ascii="Arial" w:cs="Arial" w:eastAsia="Arial" w:hAnsi="Arial"/>
          <w:sz w:val="19"/>
          <w:szCs w:val="19"/>
          <w:color w:val="auto"/>
        </w:rPr>
        <w:t>̻</w:t>
      </w:r>
      <w:r>
        <w:rPr>
          <w:rFonts w:ascii="Times New Roman" w:cs="Times New Roman" w:eastAsia="Times New Roman" w:hAnsi="Times New Roman"/>
          <w:sz w:val="19"/>
          <w:szCs w:val="19"/>
          <w:color w:val="auto"/>
        </w:rPr>
        <w:t>4 antibodies with modifications that improve antibody-dependent cellular cytotoxicity and includes one issued U.S. patent and one pending U.S. application. One foreign patent is issued in Mexico. Twenty foreign applications are pending in Australia, Brazil, Canada, China, Eurasia, Europe, Hong Kong, India, Indonesia, Israel, Japan, South Korea, Malaysia, New Zealand, Philippines, Saudi Arabia, Singapore, and South Africa. A third patent family is co-owned and directed to masked anti-CTLA</w:t>
      </w:r>
      <w:r>
        <w:rPr>
          <w:rFonts w:ascii="Arial" w:cs="Arial" w:eastAsia="Arial" w:hAnsi="Arial"/>
          <w:sz w:val="19"/>
          <w:szCs w:val="19"/>
          <w:color w:val="auto"/>
        </w:rPr>
        <w:t>̻</w:t>
      </w:r>
      <w:r>
        <w:rPr>
          <w:rFonts w:ascii="Times New Roman" w:cs="Times New Roman" w:eastAsia="Times New Roman" w:hAnsi="Times New Roman"/>
          <w:sz w:val="19"/>
          <w:szCs w:val="19"/>
          <w:color w:val="auto"/>
        </w:rPr>
        <w:t>4 antibodies, which includes one issued U.S. patent and one pending U.S. application. Six foreign patents are issued in Japan, China, Eurasia, Hong Kong, Indonesia and Mexico. Twenty-one foreign applications are pending in Australia, Brazil, Canada, China, Europe, Hong Kong, India, Israel, Japan, South Korea, Malaysia, New Zealand, Philippines, Saudi Arabia, Singapore, South Africa and Taiwan. These owned, co-owned and licensed patent families will have a statutory expiration date ranging between 2037 and 2039, without taking into account any possible patent term adjustments or extensions and assuming payment of all appropriate maintenance, renewal, annuity and other governmental fees.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Trademark portfolio</w:t>
      </w:r>
    </w:p>
    <w:p>
      <w:pPr>
        <w:spacing w:after="0" w:line="2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As of February 28, 2026, we own two federal trademark registrations for XILIO and XILIO THERAPEUTICS (Class 42) in the United States and a pending federal trademark application for XILIO (Class 5) in the United States that has been approved and published for opposition.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Patent prosecution</w:t>
      </w:r>
    </w:p>
    <w:p>
      <w:pPr>
        <w:spacing w:after="0" w:line="223"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8"/>
          <w:szCs w:val="18"/>
          <w:color w:val="auto"/>
        </w:rPr>
        <w:t>A PCT patent application is not eligible to become an issued patent until, among other things, we file one or more national stage patent applications within 30 months, 31 months or 32 months of the PCT application’s priority date, depending on the jurisdiction, in</w:t>
      </w:r>
    </w:p>
    <w:p>
      <w:pPr>
        <w:sectPr>
          <w:pgSz w:w="12240" w:h="15840" w:orient="portrait"/>
          <w:cols w:equalWidth="0" w:num="1">
            <w:col w:w="10200"/>
          </w:cols>
          <w:pgMar w:left="1020" w:top="1317" w:right="1020" w:bottom="574" w:gutter="0" w:footer="0" w:header="0"/>
        </w:sect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13</w:t>
      </w:r>
    </w:p>
    <w:p>
      <w:pPr>
        <w:sectPr>
          <w:pgSz w:w="12240" w:h="15840" w:orient="portrait"/>
          <w:cols w:equalWidth="0" w:num="1">
            <w:col w:w="10200"/>
          </w:cols>
          <w:pgMar w:left="1020" w:top="1317" w:right="1020" w:bottom="574" w:gutter="0" w:footer="0" w:header="0"/>
          <w:type w:val="continuous"/>
        </w:sectPr>
      </w:pPr>
    </w:p>
    <w:bookmarkStart w:id="16" w:name="page17"/>
    <w:bookmarkEnd w:id="16"/>
    <w:p>
      <w:pPr>
        <w:jc w:val="both"/>
        <w:spacing w:after="0" w:line="246" w:lineRule="auto"/>
        <w:rPr>
          <w:sz w:val="20"/>
          <w:szCs w:val="20"/>
          <w:color w:val="auto"/>
        </w:rPr>
      </w:pPr>
      <w:r>
        <w:rPr>
          <w:rFonts w:ascii="Times New Roman" w:cs="Times New Roman" w:eastAsia="Times New Roman" w:hAnsi="Times New Roman"/>
          <w:sz w:val="19"/>
          <w:szCs w:val="19"/>
          <w:color w:val="auto"/>
        </w:rPr>
        <w:t>the countries in which we seek patent protection. If we do not timely file any national stage patent applications, we may lose our priority date with respect to our PCT patent application and any potential patent protection on the inventions disclosed in such PCT patent application. Moreover, a provisional patent application is not eligible to become an issued patent. A provisional patent application may serve as a priority filing for a non-provisional patent application, we file within 12 months of such provisional patent application. If we do not timely file non-provisional patent applications, we may lose our priority date with respect to our existing provisional patent applications and any potential patent protection on the inventions disclosed in our provisional patent applications.</w:t>
      </w:r>
    </w:p>
    <w:p>
      <w:pPr>
        <w:spacing w:after="0" w:line="18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While we intend to timely file additional provisional patent applications and national stage and non-provisional patent applications relating to our PCT patent applications, we cannot predict whether any of our patent applications will result in the issuance of patents. If we do not successfully obtain patent protection, or if the scope of the patent protection we or our licensors obtain with respect to our product candidates, platform or technology is not sufficiently broad, we will be unable to prevent others from using our technology or from developing or commercializing technology and products similar or identical to ours or other similar competing products and technologies. Our ability to stop third parties from making, using, selling, offering to sell, importing or otherwise commercializing any of our technology, inventions and improvements, either directly or indirectly will depend in part on our success in obtaining, maintaining, defending and enforcing patent claims that cover our technology, inventions and improvements.</w:t>
      </w:r>
    </w:p>
    <w:p>
      <w:pPr>
        <w:spacing w:after="0" w:line="19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The patent positions of companies like ours are generally uncertain and involve complex legal and factual questions. The protection afforded by a patent varies on a product-by-product basis, from jurisdiction-to-jurisdiction, and depends upon many factors, including the type of patent, the scope of its coverage, the availability of patent term adjustments and regulatory-related patent term extensions, the availability of legal remedies in a particular jurisdiction and the validity and enforceability of the patent. Moreover, patent laws and related enforcement in various jurisdictions outside of the United States are uncertain and may not protect our rights to the same extent as the laws of the United States. Changes in the patent laws and rules, whether by legislation, judicial decisions or regulatory interpretation, in the United States and other jurisdictions may diminish our ability to protect our inventions and obtain, maintain, defend and enforce our patent rights, and could therefore affect the value of our business.</w:t>
      </w:r>
    </w:p>
    <w:p>
      <w:pPr>
        <w:spacing w:after="0" w:line="19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color w:val="auto"/>
        </w:rPr>
        <w:t>The area of patent and other intellectual property rights in biotechnology is evolving and has many risks and uncertainties, and third parties may have blocking patents and other intellectual property that could be used to prevent us from commercializing our platforms and product candidates and practicing our proprietary technology. Our patent rights may be challenged, narrowed, circumvented, invalidated or ruled unenforceable, which could limit our ability to stop third parties from marketing and commercializing related platforms or product candidates or limit the term of patents that cover our platforms and product candidates. In addition, the rights granted under any issued patents may not provide us with protection or competitive advantages against third parties with similar technology, and third parties may independently develop similar technologies. Moreover, because of the extensive time required for development, testing and regulatory review of a potential product, it is possible that before any of our product candidates can be commercialized, any related patent may expire or remain in force for only a short period following commercialization, thereby reducing any competitive advantage provided by the patent. For this and other risks related to our proprietary technology, inventions, improvements, platforms and product candidates and intellectual property rights related to the foregoing, please see the section entitled “Risk Factors—Risks Related to our Intellectual Property.”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Patent term extensions</w:t>
      </w:r>
    </w:p>
    <w:p>
      <w:pPr>
        <w:spacing w:after="0" w:line="22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9"/>
          <w:szCs w:val="19"/>
          <w:color w:val="auto"/>
        </w:rPr>
        <w:t>The term of individual patents depends upon the laws of the jurisdictions in which they are obtained. In most jurisdictions in which we file, the patent term is 20 years from the earliest date of filing of the first non-provisional patent application to which the patent claims priority. However, the term of U.S. patents may be extended or adjusted for delays incurred due to compliance with FDA requirements or by delays encountered during prosecution that are caused by the U.S. Patent and Trademark Office, or the USPTO. For example, in the United States, a patent claiming a new biologic product, its method of use or its method of manufacture may be eligible for a limited patent term extension under the Drug Price Competition and Patent Term Restoration Act of 1984, or the Hatch-Waxman Act, for up to five years beyond the normal expiration date of the patent. Patent term restoration cannot be used to extend the remaining term of a patent past a total of 14 years from the product’s approval date in the United States. Only one patent applicable to an approved product is eligible for the extension, and the application for the extension must be submitted prior to the expiration of the patent for which extension is sought. A patent that covers multiple products for which approval is sought can only be extended in connection with one of the approvals. For more information on patent term extensions, see “Business—Government Regulation and Product Approval—Patent Term Restoration and Extension.” In the future, if and when any product candidates we may develop receive FDA approval, we expect to apply for patent term extensions on issued patents covering those product candidates. Moreover, we intend to seek patent term adjustments and extensions for any of our issued patents in any jurisdiction where such adjustments and extensions are available. However, there is no guarantee that the applicable authorities, including the USPTO and FDA, will agree with our assessment of whether such adjustments and extensions should be granted, and even if granted, the length of such adjustments and extensions.</w:t>
      </w:r>
    </w:p>
    <w:p>
      <w:pPr>
        <w:sectPr>
          <w:pgSz w:w="12240" w:h="15840" w:orient="portrait"/>
          <w:cols w:equalWidth="0" w:num="1">
            <w:col w:w="10200"/>
          </w:cols>
          <w:pgMar w:left="1020" w:top="1317" w:right="102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14</w:t>
      </w:r>
    </w:p>
    <w:p>
      <w:pPr>
        <w:sectPr>
          <w:pgSz w:w="12240" w:h="15840" w:orient="portrait"/>
          <w:cols w:equalWidth="0" w:num="1">
            <w:col w:w="10200"/>
          </w:cols>
          <w:pgMar w:left="1020" w:top="1317" w:right="1020" w:bottom="574"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9"/>
          <w:szCs w:val="19"/>
          <w:b w:val="1"/>
          <w:bCs w:val="1"/>
          <w:i w:val="1"/>
          <w:iCs w:val="1"/>
          <w:color w:val="auto"/>
        </w:rPr>
        <w:t>Trade secrets</w:t>
      </w:r>
    </w:p>
    <w:p>
      <w:pPr>
        <w:spacing w:after="0" w:line="22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In addition to patent protection, we also rely on trade secrets, know-how, unpatented technology and other proprietary information to strengthen our competitive position. We take steps to protect and preserve our trade secrets and other confidential and proprietary information and prevent the unauthorized disclosure of the foregoing, including by entering into non-disclosure and invention assignment agreements with parties who have access to our trade secrets or other confidential and proprietary information, such as employees, consultants, outside scientific collaborators, contract research and manufacturing organizations, sponsored researchers and other advisors, at the commencement of their employment, consulting or other relationships with us. In addition, we take other appropriate precautions, such as maintaining physical security of our premises and physical and electronic security of our information technology systems, to guard against any misappropriation or unauthorized disclosure of our trade secrets and other confidential and proprietary information by third parties.</w:t>
      </w:r>
    </w:p>
    <w:p>
      <w:pPr>
        <w:spacing w:after="0" w:line="19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Despite these efforts, third parties may independently develop substantially equivalent proprietary information and techniques or otherwise gain access to our trade secrets or other confidential or proprietary information. In addition, we cannot provide any assurances that all of the foregoing non-disclosure and invention assignment agreements have been duly executed, and any of the counterparties to such agreements may breach them and disclose our trade secrets and other confidential and proprietary information. Although we have confidence in the measures we take to protect and preserve our trade secrets and other confidential and proprietary information, they may be inadequate, our agreements or security measures may be breached, and we may not have adequate remedies for such breaches. Moreover, to the extent that our employees, contractors, consultants, collaborators and advisors use intellectual property owned by others in their work for us, disputes may arise as to our rights in any know-how or inventions arising out of such work. For more information, please see the section entitled “Risk Factors—Risks Related to our Intellectual Property.”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License, Collaboration and Option Agreements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Collaboration, License and Option Agreement with AbbVie</w:t>
      </w:r>
    </w:p>
    <w:p>
      <w:pPr>
        <w:spacing w:after="0" w:line="2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In February 2025, our wholly-owned subsidiary Xilio Development entered into a collaboration, license and option agreement with AbbVie for up to four programs leveraging our proprietary masking technology and platform, consisting of (i) an exclusive option for</w:t>
      </w:r>
    </w:p>
    <w:p>
      <w:pPr>
        <w:jc w:val="both"/>
        <w:spacing w:after="0"/>
        <w:tabs>
          <w:tab w:leader="none" w:pos="268"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initial program to discover, develop and commercialize masked T cell engager molecules for an agreed upon initial target and backup target, or the initial option program, and (b) subject to the terms of the agreement, up to two additional programs to discover, develop, and commercialize masked T cell engager molecules for an initial target and backup target determined at the time of program initiation, each of which we refer to as an additional option program, and (ii) an exclusive license for a program to develop and commercialize a masked antibody-based immunotherapy, which we refer to as the collaboration program.</w:t>
      </w:r>
    </w:p>
    <w:p>
      <w:pPr>
        <w:spacing w:after="0" w:line="19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9"/>
          <w:szCs w:val="19"/>
          <w:color w:val="auto"/>
        </w:rPr>
        <w:t>Under the agreement, Xilio Development granted AbbVie an option to obtain an exclusive global license to exploit products discovered and developed under the initial option program. During the three-year period following the effective date of the agreement, AbbVie has the right to initiate up to two additional option programs by (a) selecting an initial target and backup target for each such additional option program (excluding the target known as PSMA and any other target for which Xilio Development has completed specified activities prior to lead selection) and (b) paying Xilio Development an additional program nomination fee for each additional option program. In addition, on an option program-by-option program basis, prior to the initiation of specified activities related to lead optimization and selection for the initial target for such option program, AbbVie has a one-time right to substitute the initial target with the backup target agreed upon by the parties at the time of option program initiation, subject to the payment by AbbVie of a one-time substitution fee with respect to such substituted target and the other terms of the agreement. For the initial option program, AbbVie’s option right is exercisable beginning on the effective date of the agreement, and for each additional option program, AbbVie’s option right is exercisable following delivery of written notice of nomination of such additional option program. For each option program, prior to option exercise, Xilio Development will be responsible for conducting preclinical discovery and development up to the completion of IND-enabling studies, subject to AbbVie paying Xilio Development option extension fees upon completion of specified stages of preclinical discovery and development. Unless AbbVie elects to extend preclinical development through the next stage and pays the applicable option extension fee, AbbVie’s option right terminates within a specified time period following completion of each stage of preclinical development. Upon exercising its option for an option program, AbbVie will be responsible for any remaining preclinical development, if applicable, and all clinical development, regulatory and commercialization activities with respect to licensed products under the applicable option program.</w:t>
      </w:r>
    </w:p>
    <w:p>
      <w:pPr>
        <w:spacing w:after="0" w:line="20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In connection with the collaboration program, Xilio Development granted AbbVie an exclusive global license to exploit products discovered and developed under the collaboration program. Xilio Development is responsible for conducting all preclinical development through lead generation, and AbbVie is responsible for all further development and commercialization activities for any licensed products generated under the collaboration program.</w:t>
      </w:r>
    </w:p>
    <w:p>
      <w:pPr>
        <w:sectPr>
          <w:pgSz w:w="12240" w:h="15840" w:orient="portrait"/>
          <w:cols w:equalWidth="0" w:num="1">
            <w:col w:w="10200"/>
          </w:cols>
          <w:pgMar w:left="1020" w:top="1319" w:right="102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15</w:t>
      </w:r>
    </w:p>
    <w:p>
      <w:pPr>
        <w:sectPr>
          <w:pgSz w:w="12240" w:h="15840" w:orient="portrait"/>
          <w:cols w:equalWidth="0" w:num="1">
            <w:col w:w="10200"/>
          </w:cols>
          <w:pgMar w:left="1020" w:top="1319" w:right="1020" w:bottom="574" w:gutter="0" w:footer="0" w:header="0"/>
          <w:type w:val="continuous"/>
        </w:sectPr>
      </w:pPr>
    </w:p>
    <w:bookmarkStart w:id="18" w:name="page19"/>
    <w:bookmarkEnd w:id="18"/>
    <w:p>
      <w:pPr>
        <w:jc w:val="both"/>
        <w:spacing w:after="0" w:line="244" w:lineRule="auto"/>
        <w:rPr>
          <w:sz w:val="20"/>
          <w:szCs w:val="20"/>
          <w:color w:val="auto"/>
        </w:rPr>
      </w:pPr>
      <w:r>
        <w:rPr>
          <w:rFonts w:ascii="Times New Roman" w:cs="Times New Roman" w:eastAsia="Times New Roman" w:hAnsi="Times New Roman"/>
          <w:sz w:val="19"/>
          <w:szCs w:val="19"/>
          <w:color w:val="auto"/>
        </w:rPr>
        <w:t>As of December 31, 2025, we have received $52.0 million in total upfront payments from AbbVie, consisting of a cash payment of $42.0 million and an equity investment of $10.0 million in our common stock at a purchase price of $32.20 per share. In the first quarter of 2026, we received a $5.0 million development milestone related to the collaboration program. We are eligible to receive up to approximately $2.1 billion in additional contingent payments from AbbVie, consisting of (i) up to $305.0 million in aggregate program nomination fees, preclinical development option extension fees and option fees for the option programs and (ii) up to $1.8 billion in aggregate development, regulatory and sales-based milestones for all option programs and the collaboration program. In addition, we are eligible to receive tiered royalties ranging in the mid to high single digits on annual global net product sales.</w:t>
      </w:r>
    </w:p>
    <w:p>
      <w:pPr>
        <w:spacing w:after="0" w:line="19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9"/>
          <w:szCs w:val="19"/>
          <w:color w:val="auto"/>
        </w:rPr>
        <w:t>Subject to the terms, conditions and specified exceptions set forth in the agreement, until the agreement is terminated or expires with respect to an option program or the collaboration program, Xilio Development has agreed to work exclusively with AbbVie with respect to the target for (i) each option program and (ii) the collaboration program. In addition, Xilio Development has agreed to work exclusively with AbbVie with respect to the backup target for each option program until the expiration of the applicable target substitution period.</w:t>
      </w:r>
    </w:p>
    <w:p>
      <w:pPr>
        <w:spacing w:after="0" w:line="18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Unless earlier terminated in accordance with its terms, the agreement will expire upon expiration of the last royalty term for the last licensed product. AbbVie may terminate the agreement for convenience upon specified time periods. On an option program-by-option program basis, if AbbVie elects not to pay the applicable option extension fee following completion of each stage of preclinical development, or if AbbVie elects not to exercise its option right and pay the option exercise fee for the applicable option program, then the agreement will automatically terminate with respect to such option program. Subject to the terms and specified exceptions set forth in the agreement, either party may terminate the agreement for the other party’s uncured material breach or insolvency.</w:t>
      </w:r>
    </w:p>
    <w:p>
      <w:pPr>
        <w:spacing w:after="0" w:line="17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In connection with the execution of the agreement, on February 10, 2025, we entered into a stock purchase agreement with AbbVie Inc. pursuant to which we issued and sold 310,559 shares of common stock to AbbVie Inc. in a private placement at a purchase price of $32.20 per share for an aggregate purchase price of $10.0 million. The private placement closed on February 11, 2025. The stock purchase agreement contains customary terms and conditions, including closing conditions, mutual representations, warranties and covenants for each of us and AbbVie Inc. In addition, pursuant to the terms of an investor rights agreement entered into by and between us and AbbVie Inc. in connection with the stock purchase agreement, AbbVie Inc. agreed to certain transfer and standstill restrictions. In addition, AbbVie Inc. is entitled to certain registration rights with respect to the shares issued pursuant to the stock purchase agreement following termination of the transfer restrictions. We and AbbVie Inc. each granted the other party customary indemnification rights in connection with the registration of the shares issued pursuant to the stock purchase agreement.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Exclusive License Agreement with Gilead</w:t>
      </w:r>
    </w:p>
    <w:p>
      <w:pPr>
        <w:spacing w:after="0" w:line="2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In March 2024, Xilio Development entered into an exclusive license agreement with Gilead pursuant to which it granted Gilead an exclusive global license to develop and commercialize our clinical-stage product candidate efarindodekin alfa, a masked IL-12, and specified other molecules directed to IL-12.</w:t>
      </w:r>
    </w:p>
    <w:p>
      <w:pPr>
        <w:spacing w:after="0" w:line="17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Xilio Development is responsible for conducting clinical development for efarindodekin alfa through the initial Phase 2 portion of the ongoing Phase 1/2 clinical trial. Following the delivery by Xilio Development of a specified clinical data package for efarindodekin alfa related to the Phase 1/2 clinical trial, Gilead can elect to transition responsibilities for the development and commercialization of efarindodekin alfa to Gilead, subject to the terms of the license agreement and payment by Gilead of a $75.0 million transition fee.</w:t>
      </w:r>
    </w:p>
    <w:p>
      <w:pPr>
        <w:spacing w:after="0" w:line="18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color w:val="auto"/>
        </w:rPr>
        <w:t>In connection with the execution of the license agreement, in March 2024, we also entered into a stock purchase agreement with Gilead. Under the stock purchase agreement, Gilead purchased an aggregate of $25.0 million of our common stock and prefunded warrants (in lieu of shares of common stock) in three private placements during the year ended December 31, 2024, consisting of an aggregate of 650,387 shares of common stock and 712,514 prefunded warrants to purchase common stock. The prefunded warrants are exercisable at any time at an exercise price of $ 0.0014 per share, subject to Gilead not being deemed a beneficial owner of greater than 19.9% of our common stock upon the exercise of the prefunded warrants.</w:t>
      </w:r>
    </w:p>
    <w:p>
      <w:pPr>
        <w:spacing w:after="0" w:line="18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color w:val="auto"/>
        </w:rPr>
        <w:t>As of December 31, 2025, we have received $72.5 million in payments under the Gilead agreements, consisting of the $30.0 million upfront cash payment under the license agreement, $25.0 million in gross proceeds from private placements under the stock purchase agreement and a $17.5 million development milestone payment. We are eligible to receive up to $575.0 million in additional contingent payments under the license agreement, which consist of (i) the $75.0 million transition fee and (ii) up to $500.0 million in development, regulatory and sales-based milestones. In addition, we are eligible to receive tiered royalties ranging from high single digits to mid-teens on annual global net product sales.</w:t>
      </w:r>
    </w:p>
    <w:p>
      <w:pPr>
        <w:spacing w:after="0" w:line="18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Unless earlier terminated in accordance with its terms, the license agreement will expire upon expiration of the last royalty term for the last licensed product. Gilead may terminate the license agreement for convenience upon specified time periods. If Gilead elects not to transition responsibilities for development and commercialization of the licensed products and pay the transition fee, then the</w:t>
      </w:r>
    </w:p>
    <w:p>
      <w:pPr>
        <w:sectPr>
          <w:pgSz w:w="12240" w:h="15840" w:orient="portrait"/>
          <w:cols w:equalWidth="0" w:num="1">
            <w:col w:w="10200"/>
          </w:cols>
          <w:pgMar w:left="1020" w:top="1317" w:right="1020" w:bottom="574"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16</w:t>
      </w:r>
    </w:p>
    <w:p>
      <w:pPr>
        <w:sectPr>
          <w:pgSz w:w="12240" w:h="15840" w:orient="portrait"/>
          <w:cols w:equalWidth="0" w:num="1">
            <w:col w:w="10200"/>
          </w:cols>
          <w:pgMar w:left="1020" w:top="1317" w:right="1020" w:bottom="574" w:gutter="0" w:footer="0" w:header="0"/>
          <w:type w:val="continuous"/>
        </w:sectPr>
      </w:pPr>
    </w:p>
    <w:bookmarkStart w:id="19" w:name="page20"/>
    <w:bookmarkEnd w:id="19"/>
    <w:p>
      <w:pPr>
        <w:jc w:val="both"/>
        <w:spacing w:after="0" w:line="257" w:lineRule="auto"/>
        <w:rPr>
          <w:sz w:val="20"/>
          <w:szCs w:val="20"/>
          <w:color w:val="auto"/>
        </w:rPr>
      </w:pPr>
      <w:r>
        <w:rPr>
          <w:rFonts w:ascii="Times New Roman" w:cs="Times New Roman" w:eastAsia="Times New Roman" w:hAnsi="Times New Roman"/>
          <w:sz w:val="19"/>
          <w:szCs w:val="19"/>
          <w:color w:val="auto"/>
        </w:rPr>
        <w:t>license agreement will automatically terminate. Either party may terminate the license agreement for the other party’s uncured material breach or insolvency. Subject to the terms of the license agreement, effective upon termination of the license agreement, the licenses to Gilead terminate and Xilio Development is entitled to continue to exploit the licensed products.</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During the term of the license agreement, Xilio Development and its affiliates have agreed not to directly or indirectly conduct specified development, manufacturing or commercialization activities with respect to any molecule that contains, comprises or incorporates IL-12, except for the performance of Xilio Development’s activities under and in accordance with the license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In-License Agreements</w:t>
      </w:r>
    </w:p>
    <w:p>
      <w:pPr>
        <w:spacing w:after="0" w:line="2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We are a party to license agreements under which we license patents, patent applications and other intellectual property from third parties. These licenses impose various diligence and financial payment obligations on us. We expect to continue to enter into these types of license agreements in the future. We consider the following license agreements to be material to our business.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Amended and Restated Exclusive License Agreement with City of Hope</w:t>
      </w:r>
    </w:p>
    <w:p>
      <w:pPr>
        <w:spacing w:after="0" w:line="22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9"/>
          <w:szCs w:val="19"/>
          <w:color w:val="auto"/>
        </w:rPr>
        <w:t>In August 2016, Xilio Development entered into an amended and restated exclusive license agreement with City of Hope pursuant to which City of Hope granted us an exclusive worldwide license to specified patent rights related to our anti-CTLA</w:t>
      </w:r>
      <w:r>
        <w:rPr>
          <w:rFonts w:ascii="Arial" w:cs="Arial" w:eastAsia="Arial" w:hAnsi="Arial"/>
          <w:sz w:val="19"/>
          <w:szCs w:val="19"/>
          <w:color w:val="auto"/>
        </w:rPr>
        <w:t>̻</w:t>
      </w:r>
      <w:r>
        <w:rPr>
          <w:rFonts w:ascii="Times New Roman" w:cs="Times New Roman" w:eastAsia="Times New Roman" w:hAnsi="Times New Roman"/>
          <w:sz w:val="19"/>
          <w:szCs w:val="19"/>
          <w:color w:val="auto"/>
        </w:rPr>
        <w:t>4 monoclonal antibody program.</w:t>
      </w:r>
    </w:p>
    <w:p>
      <w:pPr>
        <w:spacing w:after="0" w:line="16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color w:val="auto"/>
        </w:rPr>
        <w:t>For the first three licensed products or licensed services to achieve specified development and regulatory milestones, we are obligated to pay City of Hope up to $ 10.3 million in the aggregate per licensed product or licensed service. To date, we have made an aggregate of $0.8 million in specified development and regulatory milestone payments to City of Hope related to our anti-CTLA-4 monoclonal antibody program. Subject to specified conditions, we are obligated to pay City of Hope tiered royalties in the low single digits on aggregate annual net sales of licensed products or licensed services on a country-by-country basis until the expiration of the last-to-expire patent or patent application licensed from City of Hope covering the applicable licensed product or licensed service in such country. We are also obligated to pay City of Hope a portion of any consideration we receive for the grant of sublicenses under the agreement in an amount equal to a low double-digit percentage of such consideration, subject to specified conditions under that agreement at the time that we grant any such sublicense. In addition, we paid $0.5 million to City of Hope in connection with the closing of our initial public offering.</w:t>
      </w:r>
    </w:p>
    <w:p>
      <w:pPr>
        <w:spacing w:after="0" w:line="19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9"/>
          <w:szCs w:val="19"/>
          <w:color w:val="auto"/>
        </w:rPr>
        <w:t>The agreement continues on a country-by-country basis until the expiration of the last to expire licensed patent right in such country. We have the right to terminate the agreement for convenience at any time on 30 days’ prior written notice to City of Hope. Either party has the right to terminate the agreement if the other party materially breaches the agreement and fails to cure such breach within specified cure periods. City of Hope may terminate the agreement if we or any of our affiliates or sublicensees bring specified patent challenges with respect to the licensed patents against City of Hope or if we assist others in bringing a patent challenge against City of Hope. However, instead of terminating as a result of a patent challenge, City of Hope may elect to increase our payment obligations by a specified percentage amount retroactive to the commencement of such patent challenge.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CTLA</w:t>
      </w:r>
      <w:r>
        <w:rPr>
          <w:rFonts w:ascii="Arial" w:cs="Arial" w:eastAsia="Arial" w:hAnsi="Arial"/>
          <w:sz w:val="19"/>
          <w:szCs w:val="19"/>
          <w:i w:val="1"/>
          <w:iCs w:val="1"/>
          <w:color w:val="auto"/>
        </w:rPr>
        <w:t>̻</w:t>
      </w:r>
      <w:r>
        <w:rPr>
          <w:rFonts w:ascii="Times New Roman" w:cs="Times New Roman" w:eastAsia="Times New Roman" w:hAnsi="Times New Roman"/>
          <w:sz w:val="19"/>
          <w:szCs w:val="19"/>
          <w:i w:val="1"/>
          <w:iCs w:val="1"/>
          <w:color w:val="auto"/>
        </w:rPr>
        <w:t>4 Monoclonal Antibody License Agreement with WuXi Biologics</w:t>
      </w:r>
    </w:p>
    <w:p>
      <w:pPr>
        <w:spacing w:after="0" w:line="2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In September 2016, we entered into a license agreement with WuXi Biologics (Hong Kong) Limited, or WuXi Biologics, as amended in December 2017, pursuant to which WuXi Biologics granted us an exclusive worldwide license, including the rights to grant sublicenses through multiple tiers, to specified monoclonal antibodies and patent rights and know-how controlled by WuXi Biologics, including certain patent rights related to our anti-CTLA</w:t>
      </w:r>
      <w:r>
        <w:rPr>
          <w:rFonts w:ascii="Arial" w:cs="Arial" w:eastAsia="Arial" w:hAnsi="Arial"/>
          <w:sz w:val="19"/>
          <w:szCs w:val="19"/>
          <w:color w:val="auto"/>
        </w:rPr>
        <w:t>̻</w:t>
      </w:r>
      <w:r>
        <w:rPr>
          <w:rFonts w:ascii="Times New Roman" w:cs="Times New Roman" w:eastAsia="Times New Roman" w:hAnsi="Times New Roman"/>
          <w:sz w:val="19"/>
          <w:szCs w:val="19"/>
          <w:color w:val="auto"/>
        </w:rPr>
        <w:t>4 mAb program.</w:t>
      </w:r>
    </w:p>
    <w:p>
      <w:pPr>
        <w:spacing w:after="0" w:line="19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color w:val="auto"/>
        </w:rPr>
        <w:t>For each product that incorporates a licensed antibody that has been modified using the rights licensed under the agreement, we are obligated to pay WuXi Biologics up to approximately $25.8 million in the aggregate for specified development and regulatory milestones. To date, we have made an aggregate of $5.8 million in specified development and regulatory milestones payments to WuXi Biologics related to our anti-CTLA-4 monoclonal antibody program. In addition, subject to specified conditions, we are obligated to pay WuXi Biologics tiered royalties in the low to mid-single digits on aggregate annual worldwide net sales of licensed products during the applicable royalty term and subject to early expiration or adjustment in specified circumstances. Our obligation to make royalty payments extends with respect to a licensed product in a country until the later of the expiration of the last-to-expire patent or patent application licensed from WuXi Biologics covering the applicable licensed product in such country or for a specified time period following the first commercial sale of such licensed product. Subject to specified conditions under the agreement, we also have certain obligations to contract with WuXi Biologics for specified services related to the development or manufacture of licensed products.</w:t>
      </w:r>
    </w:p>
    <w:p>
      <w:pPr>
        <w:sectPr>
          <w:pgSz w:w="12240" w:h="15840" w:orient="portrait"/>
          <w:cols w:equalWidth="0" w:num="1">
            <w:col w:w="10200"/>
          </w:cols>
          <w:pgMar w:left="1020" w:top="1317" w:right="1020" w:bottom="574"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17</w:t>
      </w:r>
    </w:p>
    <w:p>
      <w:pPr>
        <w:sectPr>
          <w:pgSz w:w="12240" w:h="15840" w:orient="portrait"/>
          <w:cols w:equalWidth="0" w:num="1">
            <w:col w:w="10200"/>
          </w:cols>
          <w:pgMar w:left="1020" w:top="1317" w:right="1020" w:bottom="574" w:gutter="0" w:footer="0" w:header="0"/>
          <w:type w:val="continuous"/>
        </w:sectPr>
      </w:pPr>
    </w:p>
    <w:bookmarkStart w:id="20" w:name="page21"/>
    <w:bookmarkEnd w:id="20"/>
    <w:p>
      <w:pPr>
        <w:jc w:val="both"/>
        <w:spacing w:after="0" w:line="246" w:lineRule="auto"/>
        <w:rPr>
          <w:sz w:val="20"/>
          <w:szCs w:val="20"/>
          <w:color w:val="auto"/>
        </w:rPr>
      </w:pPr>
      <w:r>
        <w:rPr>
          <w:rFonts w:ascii="Times New Roman" w:cs="Times New Roman" w:eastAsia="Times New Roman" w:hAnsi="Times New Roman"/>
          <w:sz w:val="19"/>
          <w:szCs w:val="19"/>
          <w:color w:val="auto"/>
        </w:rPr>
        <w:t>Unless terminated earlier in accordance with its terms, the agreement will continue until the expiration of the last to expire royalty term for a licensed product. We have the right to terminate the agreement for convenience at any time upon at least 90 days’ prior written notice to WuXi Biologics. Either party may terminate the agreement for the other party’s uncured material breach. Other than following our termination for convenience or termination by WuXi Biologics for our material breach, upon the expiration of the applicable royalty term for a licensed product in a country, we will receive a paid-up and royalty free license to exploit such licensed product in such country.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Manufacturing</w:t>
      </w:r>
    </w:p>
    <w:p>
      <w:pPr>
        <w:spacing w:after="0" w:line="22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color w:val="auto"/>
        </w:rPr>
        <w:t>We currently contract with a third-party contract development and manufacturing organization, or CDMO, to manufacture our product candidates for preclinical studies and our ongoing clinical trials, and we intend to continue to do so with one or more third parties for future preclinical studies and clinical trials. We do not own or operate manufacturing facilities for the production of our product candidates, and we currently do not have plans to build our own clinical or commercial scale manufacturing capabilities. To date, our CDMO has met our production requirements. Our CDMO is under contract to provide clinical material meeting FDA current good manufacturing practice, or cGMP, requirements and in sufficient quantities to meet anticipated clinical-trial demands. To meet our projected needs for commercial manufacturing, our current third-party manufacturer will need to increase its scale of production, or we will need to secure one or more alternate suppliers. We believe that there are alternate manufacturers that could satisfy our anticipated clinical and commercial requirements, although we cannot be certain that identifying and establishing relationships with such manufacturers, if necessary, would not result in significant delay or material additional costs.</w:t>
      </w:r>
    </w:p>
    <w:p>
      <w:pPr>
        <w:spacing w:after="0" w:line="19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9"/>
          <w:szCs w:val="19"/>
          <w:color w:val="auto"/>
        </w:rPr>
        <w:t>Although we expect to rely on one or more third-party contract manufacturers for the production of our current and future product candidates, we have personnel with extensive technical, manufacturing, analytical and quality experience in biotherapeutic protein manufacturing to oversee our contract manufacturer relationships. In collaboration with our third-party manufacturer, we have manufactured cGMP clinical supply for our clinical trials for our clinical-stage product candidates, vilastobart (anti-CTLA-4) and efardindodekin alfa (IL-12) and cGMP manufacturing for XTX501 (PD-1/IL-2) clinical supply is in process. As we scale clinical and develop commercial manufacturing capability for each of our product candidates, we intend to develop the network of contract manufacturing sites operated by our CDMO to include EU- or U.S.-based sites.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Government Regulation and Product Approval</w:t>
      </w:r>
    </w:p>
    <w:p>
      <w:pPr>
        <w:spacing w:after="0" w:line="22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9"/>
          <w:szCs w:val="19"/>
          <w:color w:val="auto"/>
        </w:rPr>
        <w:t>Government authorities in the United States, at the federal, state and local level, and in other countries and foreign jurisdictions, including the European Union, or EU, extensively regulate, among other things, the research, development, testing, manufacture, quality control, approval, packaging, storage, recordkeeping, labeling, advertising, promotion, distribution, marketing, sales, pricing, reimbursement, post-approval monitoring and reporting, and import and export of pharmaceutical products.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 and may have a significant impact on our business.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Review and Approval of Drugs and Biologics in the United States</w:t>
      </w:r>
    </w:p>
    <w:p>
      <w:pPr>
        <w:spacing w:after="0" w:line="22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9"/>
          <w:szCs w:val="19"/>
          <w:color w:val="auto"/>
        </w:rPr>
        <w:t>In the United States, the FDA approves and regulates drugs under the Federal Food, Drug, and Cosmetic Act, or FDCA, and related regulations. Biological products, or biologics, are licensed for marketing under the Public Health Service Act, or PHSA, and subject to regulation under the FDCA and related regulations. A company, institution, or organization that takes responsibility for the initiation and management of a clinical development program for such products is generally referred to as a sponsor. A sponsor seeking approval to market and distribute a new drug or biological product in the United States must typically secure the following:</w:t>
      </w:r>
    </w:p>
    <w:p>
      <w:pPr>
        <w:spacing w:after="0" w:line="89" w:lineRule="exact"/>
        <w:rPr>
          <w:sz w:val="20"/>
          <w:szCs w:val="20"/>
          <w:color w:val="auto"/>
        </w:rPr>
      </w:pPr>
    </w:p>
    <w:p>
      <w:pPr>
        <w:ind w:left="920" w:hanging="457"/>
        <w:spacing w:after="0" w:line="274" w:lineRule="auto"/>
        <w:tabs>
          <w:tab w:leader="none" w:pos="920" w:val="left"/>
        </w:tabs>
        <w:numPr>
          <w:ilvl w:val="0"/>
          <w:numId w:val="17"/>
        </w:numPr>
        <w:rPr>
          <w:rFonts w:ascii="Arial" w:cs="Arial" w:eastAsia="Arial" w:hAnsi="Arial"/>
          <w:sz w:val="19"/>
          <w:szCs w:val="19"/>
          <w:color w:val="auto"/>
        </w:rPr>
      </w:pPr>
      <w:r>
        <w:rPr>
          <w:rFonts w:ascii="Times New Roman" w:cs="Times New Roman" w:eastAsia="Times New Roman" w:hAnsi="Times New Roman"/>
          <w:sz w:val="19"/>
          <w:szCs w:val="19"/>
          <w:color w:val="auto"/>
        </w:rPr>
        <w:t>completion of preclinical laboratory tests in compliance with the FDA’s good laboratory practice, or GLP, regulations and standards;</w:t>
      </w:r>
    </w:p>
    <w:p>
      <w:pPr>
        <w:spacing w:after="0" w:line="61"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17"/>
        </w:numPr>
        <w:rPr>
          <w:rFonts w:ascii="Arial" w:cs="Arial" w:eastAsia="Arial" w:hAnsi="Arial"/>
          <w:sz w:val="19"/>
          <w:szCs w:val="19"/>
          <w:color w:val="auto"/>
        </w:rPr>
      </w:pPr>
      <w:r>
        <w:rPr>
          <w:rFonts w:ascii="Times New Roman" w:cs="Times New Roman" w:eastAsia="Times New Roman" w:hAnsi="Times New Roman"/>
          <w:sz w:val="19"/>
          <w:szCs w:val="19"/>
          <w:color w:val="auto"/>
        </w:rPr>
        <w:t>design of a clinical protocol and submission to the FDA of an investigational new drug application, or IND, which must take effect before human clinical trials may begin;</w:t>
      </w:r>
    </w:p>
    <w:p>
      <w:pPr>
        <w:spacing w:after="0" w:line="61"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17"/>
        </w:numPr>
        <w:rPr>
          <w:rFonts w:ascii="Arial" w:cs="Arial" w:eastAsia="Arial" w:hAnsi="Arial"/>
          <w:sz w:val="19"/>
          <w:szCs w:val="19"/>
          <w:color w:val="auto"/>
        </w:rPr>
      </w:pPr>
      <w:r>
        <w:rPr>
          <w:rFonts w:ascii="Times New Roman" w:cs="Times New Roman" w:eastAsia="Times New Roman" w:hAnsi="Times New Roman"/>
          <w:sz w:val="19"/>
          <w:szCs w:val="19"/>
          <w:color w:val="auto"/>
        </w:rPr>
        <w:t>approval by an independent institutional review board, or IRB, representing each clinical site before each clinical trial may be initiated;</w:t>
      </w:r>
    </w:p>
    <w:p>
      <w:pPr>
        <w:spacing w:after="0" w:line="61" w:lineRule="exact"/>
        <w:rPr>
          <w:rFonts w:ascii="Arial" w:cs="Arial" w:eastAsia="Arial" w:hAnsi="Arial"/>
          <w:sz w:val="19"/>
          <w:szCs w:val="19"/>
          <w:color w:val="auto"/>
        </w:rPr>
      </w:pPr>
    </w:p>
    <w:p>
      <w:pPr>
        <w:jc w:val="both"/>
        <w:ind w:left="920" w:hanging="458"/>
        <w:spacing w:after="0" w:line="256" w:lineRule="auto"/>
        <w:tabs>
          <w:tab w:leader="none" w:pos="920" w:val="left"/>
        </w:tabs>
        <w:numPr>
          <w:ilvl w:val="0"/>
          <w:numId w:val="17"/>
        </w:numPr>
        <w:rPr>
          <w:rFonts w:ascii="Arial" w:cs="Arial" w:eastAsia="Arial" w:hAnsi="Arial"/>
          <w:sz w:val="19"/>
          <w:szCs w:val="19"/>
          <w:color w:val="auto"/>
        </w:rPr>
      </w:pPr>
      <w:r>
        <w:rPr>
          <w:rFonts w:ascii="Times New Roman" w:cs="Times New Roman" w:eastAsia="Times New Roman" w:hAnsi="Times New Roman"/>
          <w:sz w:val="19"/>
          <w:szCs w:val="19"/>
          <w:color w:val="auto"/>
        </w:rPr>
        <w:t>performance of adequate and well-controlled human clinical trials in accordance with good clinical practices, or GCPs, to establish the safety and efficacy of the proposed drug product, and with respect to biologics, the purity, potency and safety of such drug product, for each proposed indication;</w:t>
      </w:r>
    </w:p>
    <w:p>
      <w:pPr>
        <w:spacing w:after="0" w:line="78"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17"/>
        </w:numPr>
        <w:rPr>
          <w:rFonts w:ascii="Arial" w:cs="Arial" w:eastAsia="Arial" w:hAnsi="Arial"/>
          <w:sz w:val="19"/>
          <w:szCs w:val="19"/>
          <w:color w:val="auto"/>
        </w:rPr>
      </w:pPr>
      <w:r>
        <w:rPr>
          <w:rFonts w:ascii="Times New Roman" w:cs="Times New Roman" w:eastAsia="Times New Roman" w:hAnsi="Times New Roman"/>
          <w:sz w:val="19"/>
          <w:szCs w:val="19"/>
          <w:color w:val="auto"/>
        </w:rPr>
        <w:t>submission to the FDA of a biologics license application, or BLA, for a biological product requesting marketing for one or more proposed indications;</w:t>
      </w:r>
    </w:p>
    <w:p>
      <w:pPr>
        <w:sectPr>
          <w:pgSz w:w="12240" w:h="15840" w:orient="portrait"/>
          <w:cols w:equalWidth="0" w:num="1">
            <w:col w:w="10200"/>
          </w:cols>
          <w:pgMar w:left="1020" w:top="1317" w:right="1020" w:bottom="574" w:gutter="0" w:footer="0" w:header="0"/>
        </w:sect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18</w:t>
      </w:r>
    </w:p>
    <w:p>
      <w:pPr>
        <w:sectPr>
          <w:pgSz w:w="12240" w:h="15840" w:orient="portrait"/>
          <w:cols w:equalWidth="0" w:num="1">
            <w:col w:w="10200"/>
          </w:cols>
          <w:pgMar w:left="1020" w:top="1317" w:right="1020" w:bottom="574" w:gutter="0" w:footer="0" w:header="0"/>
          <w:type w:val="continuous"/>
        </w:sectPr>
      </w:pPr>
    </w:p>
    <w:bookmarkStart w:id="21" w:name="page22"/>
    <w:bookmarkEnd w:id="21"/>
    <w:p>
      <w:pPr>
        <w:ind w:left="920" w:hanging="458"/>
        <w:spacing w:after="0"/>
        <w:tabs>
          <w:tab w:leader="none" w:pos="920" w:val="left"/>
        </w:tabs>
        <w:numPr>
          <w:ilvl w:val="0"/>
          <w:numId w:val="18"/>
        </w:numPr>
        <w:rPr>
          <w:rFonts w:ascii="Arial" w:cs="Arial" w:eastAsia="Arial" w:hAnsi="Arial"/>
          <w:sz w:val="19"/>
          <w:szCs w:val="19"/>
          <w:color w:val="auto"/>
        </w:rPr>
      </w:pPr>
      <w:r>
        <w:rPr>
          <w:rFonts w:ascii="Times New Roman" w:cs="Times New Roman" w:eastAsia="Times New Roman" w:hAnsi="Times New Roman"/>
          <w:sz w:val="19"/>
          <w:szCs w:val="19"/>
          <w:color w:val="auto"/>
        </w:rPr>
        <w:t>review of the request for approval by an FDA advisory committee, where appropriate or if applicable;</w:t>
      </w:r>
    </w:p>
    <w:p>
      <w:pPr>
        <w:spacing w:after="0" w:line="124" w:lineRule="exact"/>
        <w:rPr>
          <w:rFonts w:ascii="Arial" w:cs="Arial" w:eastAsia="Arial" w:hAnsi="Arial"/>
          <w:sz w:val="19"/>
          <w:szCs w:val="19"/>
          <w:color w:val="auto"/>
        </w:rPr>
      </w:pPr>
    </w:p>
    <w:p>
      <w:pPr>
        <w:ind w:left="920" w:hanging="458"/>
        <w:spacing w:after="0" w:line="303" w:lineRule="auto"/>
        <w:tabs>
          <w:tab w:leader="none" w:pos="920" w:val="left"/>
        </w:tabs>
        <w:numPr>
          <w:ilvl w:val="0"/>
          <w:numId w:val="18"/>
        </w:numPr>
        <w:rPr>
          <w:rFonts w:ascii="Arial" w:cs="Arial" w:eastAsia="Arial" w:hAnsi="Arial"/>
          <w:sz w:val="18"/>
          <w:szCs w:val="18"/>
          <w:color w:val="auto"/>
        </w:rPr>
      </w:pPr>
      <w:r>
        <w:rPr>
          <w:rFonts w:ascii="Times New Roman" w:cs="Times New Roman" w:eastAsia="Times New Roman" w:hAnsi="Times New Roman"/>
          <w:sz w:val="18"/>
          <w:szCs w:val="18"/>
          <w:color w:val="auto"/>
        </w:rPr>
        <w:t>completion of one or more FDA inspections of the manufacturing facility or facilities at which the product, or components thereof, are produced to assess compliance with cGMP to assure the product’s identity, strength, quality and purity;</w:t>
      </w:r>
    </w:p>
    <w:p>
      <w:pPr>
        <w:spacing w:after="0" w:line="37" w:lineRule="exact"/>
        <w:rPr>
          <w:rFonts w:ascii="Arial" w:cs="Arial" w:eastAsia="Arial" w:hAnsi="Arial"/>
          <w:sz w:val="18"/>
          <w:szCs w:val="18"/>
          <w:color w:val="auto"/>
        </w:rPr>
      </w:pPr>
    </w:p>
    <w:p>
      <w:pPr>
        <w:ind w:left="920" w:hanging="458"/>
        <w:spacing w:after="0"/>
        <w:tabs>
          <w:tab w:leader="none" w:pos="920" w:val="left"/>
        </w:tabs>
        <w:numPr>
          <w:ilvl w:val="0"/>
          <w:numId w:val="18"/>
        </w:numPr>
        <w:rPr>
          <w:rFonts w:ascii="Arial" w:cs="Arial" w:eastAsia="Arial" w:hAnsi="Arial"/>
          <w:sz w:val="19"/>
          <w:szCs w:val="19"/>
          <w:color w:val="auto"/>
        </w:rPr>
      </w:pPr>
      <w:r>
        <w:rPr>
          <w:rFonts w:ascii="Times New Roman" w:cs="Times New Roman" w:eastAsia="Times New Roman" w:hAnsi="Times New Roman"/>
          <w:sz w:val="19"/>
          <w:szCs w:val="19"/>
          <w:color w:val="auto"/>
        </w:rPr>
        <w:t>completion of FDA audits of clinical trial sites to assure compliance with GCPs and the integrity of the clinical data;</w:t>
      </w:r>
    </w:p>
    <w:p>
      <w:pPr>
        <w:spacing w:after="0" w:line="124" w:lineRule="exact"/>
        <w:rPr>
          <w:rFonts w:ascii="Arial" w:cs="Arial" w:eastAsia="Arial" w:hAnsi="Arial"/>
          <w:sz w:val="19"/>
          <w:szCs w:val="19"/>
          <w:color w:val="auto"/>
        </w:rPr>
      </w:pPr>
    </w:p>
    <w:p>
      <w:pPr>
        <w:ind w:left="920" w:hanging="458"/>
        <w:spacing w:after="0"/>
        <w:tabs>
          <w:tab w:leader="none" w:pos="920" w:val="left"/>
        </w:tabs>
        <w:numPr>
          <w:ilvl w:val="0"/>
          <w:numId w:val="18"/>
        </w:numPr>
        <w:rPr>
          <w:rFonts w:ascii="Arial" w:cs="Arial" w:eastAsia="Arial" w:hAnsi="Arial"/>
          <w:sz w:val="19"/>
          <w:szCs w:val="19"/>
          <w:color w:val="auto"/>
        </w:rPr>
      </w:pPr>
      <w:r>
        <w:rPr>
          <w:rFonts w:ascii="Times New Roman" w:cs="Times New Roman" w:eastAsia="Times New Roman" w:hAnsi="Times New Roman"/>
          <w:sz w:val="19"/>
          <w:szCs w:val="19"/>
          <w:color w:val="auto"/>
        </w:rPr>
        <w:t>payment of user application and program fees pursuant to the Prescription Drug User Fee Act, or PDUFA;</w:t>
      </w:r>
    </w:p>
    <w:p>
      <w:pPr>
        <w:spacing w:after="0" w:line="124"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18"/>
        </w:numPr>
        <w:rPr>
          <w:rFonts w:ascii="Arial" w:cs="Arial" w:eastAsia="Arial" w:hAnsi="Arial"/>
          <w:sz w:val="19"/>
          <w:szCs w:val="19"/>
          <w:color w:val="auto"/>
        </w:rPr>
      </w:pPr>
      <w:r>
        <w:rPr>
          <w:rFonts w:ascii="Times New Roman" w:cs="Times New Roman" w:eastAsia="Times New Roman" w:hAnsi="Times New Roman"/>
          <w:sz w:val="19"/>
          <w:szCs w:val="19"/>
          <w:color w:val="auto"/>
        </w:rPr>
        <w:t>securing FDA approval of the BLA, authorizing marketing of the product in the United States for one or more indications; and</w:t>
      </w:r>
    </w:p>
    <w:p>
      <w:pPr>
        <w:spacing w:after="0" w:line="61"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18"/>
        </w:numPr>
        <w:rPr>
          <w:rFonts w:ascii="Arial" w:cs="Arial" w:eastAsia="Arial" w:hAnsi="Arial"/>
          <w:sz w:val="19"/>
          <w:szCs w:val="19"/>
          <w:color w:val="auto"/>
        </w:rPr>
      </w:pPr>
      <w:r>
        <w:rPr>
          <w:rFonts w:ascii="Times New Roman" w:cs="Times New Roman" w:eastAsia="Times New Roman" w:hAnsi="Times New Roman"/>
          <w:sz w:val="19"/>
          <w:szCs w:val="19"/>
          <w:color w:val="auto"/>
        </w:rPr>
        <w:t>compliance with any post-approval requirements, including the potential requirement to implement a Risk Evaluation and Mitigation Strategy, or REMS, and the potential requirement to conduct post-approval studies.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Preclinical Studies</w:t>
      </w:r>
    </w:p>
    <w:p>
      <w:pPr>
        <w:spacing w:after="0" w:line="22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Before a sponsor begins testing a compound with potential therapeutic value in humans, the product candidate enters the preclinical testing stage. Preclinical studies include laboratory evaluation of the purity and stability of the manufactured substance or active pharmaceutical ingredient and the formulated product, as well as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animal studies to assess the safety and activity of the product candidate for initial testing in humans and to establish a rationale for therapeutic use. These studies are typically referred to as IND-enabling studies. The conduct of preclinical studies is subject to federal regulations and requirements, including GLP regulations and standards and the U.S. Department of Agriculture’s Animal Welfare Act, if applicable. Some long-term preclinical testing, such as animal tests of reproductive AEs and carcinogenicity, and long-term toxicity studies, may continue after the IND is submitted.</w:t>
      </w:r>
    </w:p>
    <w:p>
      <w:pPr>
        <w:spacing w:after="0" w:line="6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In December 2022, Congress eliminated provisions in both the FDCA and the PHSA that required animal testing in support of a BLA. While animal testing may still be conducted, the FDA was authorized to rely on alternative non-clinical tests, including cell-based assays, micro-physiological systems, or bio-printed or computer models. In April 2025, the FDA released a roadmap to replace animal testing in preclinical safety studies with scientifically validated new approach methodologies.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The IND and IRB Processes</w:t>
      </w:r>
    </w:p>
    <w:p>
      <w:pPr>
        <w:spacing w:after="0" w:line="22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color w:val="auto"/>
        </w:rPr>
        <w:t>An IND is a request for FDA authorization to administer an investigational product candidate to humans. Such authorization must be secured prior to interstate shipment and administration of any new drug or biologic that is not the subject of an approved BLA. In support of a request for an IND, sponsors must submit a protocol for each clinical trial and any subsequent protocol amendments must be submitted to the FDA as part of the IND. In addition, the results of the preclinical tests, together with manufacturing information, analytical data, any available clinical data or literature and plans for clinical trials, among other things, are submitted to the FDA as part of an IND. The FDA requires a 30</w:t>
      </w:r>
      <w:r>
        <w:rPr>
          <w:rFonts w:ascii="Arial" w:cs="Arial" w:eastAsia="Arial" w:hAnsi="Arial"/>
          <w:sz w:val="19"/>
          <w:szCs w:val="19"/>
          <w:color w:val="auto"/>
        </w:rPr>
        <w:t>̻</w:t>
      </w:r>
      <w:r>
        <w:rPr>
          <w:rFonts w:ascii="Times New Roman" w:cs="Times New Roman" w:eastAsia="Times New Roman" w:hAnsi="Times New Roman"/>
          <w:sz w:val="19"/>
          <w:szCs w:val="19"/>
          <w:color w:val="auto"/>
        </w:rPr>
        <w:t>day waiting period after the filing of each IND before clinical trials may begin. This waiting period is designed to allow the FDA to review the IND to determine whether human research subjects and patients will be exposed to unreasonable health risks or whether there are any issues surrounding chemistry, manufacturing and controls, or CMC, for the proposed product. At any time during this 30</w:t>
      </w:r>
      <w:r>
        <w:rPr>
          <w:rFonts w:ascii="Arial" w:cs="Arial" w:eastAsia="Arial" w:hAnsi="Arial"/>
          <w:sz w:val="19"/>
          <w:szCs w:val="19"/>
          <w:color w:val="auto"/>
        </w:rPr>
        <w:t>̻</w:t>
      </w:r>
      <w:r>
        <w:rPr>
          <w:rFonts w:ascii="Times New Roman" w:cs="Times New Roman" w:eastAsia="Times New Roman" w:hAnsi="Times New Roman"/>
          <w:sz w:val="19"/>
          <w:szCs w:val="19"/>
          <w:color w:val="auto"/>
        </w:rPr>
        <w:t>day period, or thereafter, the FDA may raise concerns or questions about the conduct of the trials as outlined in the IND and impose a clinical hold or partial clinical hold. In this case, the IND sponsor and the FDA must resolve any outstanding concerns before clinical trials can begin. The FDA’s primary objectives in reviewing an IND are to assure the safety and rights of patients and to help assure that the quality of the investigation will be adequate to permit an evaluation of the drug’s effectiveness and safety and of the biological product’s safety, purity and potency.</w:t>
      </w:r>
    </w:p>
    <w:p>
      <w:pPr>
        <w:spacing w:after="0" w:line="19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color w:val="auto"/>
        </w:rPr>
        <w:t>Following commencement of a clinical trial under an IND, the FDA may also place a clinical hold or partial clinical hold on that trial. Clinical holds are imposed by the FDA whenever there is concern for patient safety and may be a result of new data, findings or developments in clinical, nonclinical, and/or CMC. A clinical hold is an order issued by the FDA to the sponsor to delay a proposed clinical investigation or to suspend an ongoing investigation. A partial clinical hold is a delay or suspension of only part of the clinical work requested under the IND. For example, a specific protocol or part of a protocol is not allowed to proceed, while other protocols may do so. No more than 30 days after imposition of a clinical hold or partial clinical hold, the FDA will provide the sponsor a written explanation of the basis for the hold. Following issuance of a clinical hold or partial clinical hold, an investigation may only resume after the FDA has notified the sponsor that the investigation may proceed. The FDA will base that determination on information provided by the sponsor correcting the deficiencies previously cited or otherwise satisfying the FDA that the investigation can proceed.</w:t>
      </w:r>
    </w:p>
    <w:p>
      <w:pPr>
        <w:spacing w:after="0" w:line="19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A sponsor may choose, but is not required, to conduct a foreign clinical study under an IND. When a foreign clinical study is conducted under an IND, all IND requirements must be met unless waived. When a foreign clinical study is not conducted under an IND, the sponsor must ensure that the study complies with certain regulatory requirements of the FDA in order to use the study as support for an IND or application for marketing approval in the United States. Specifically, the studies must be conducted in</w:t>
      </w:r>
    </w:p>
    <w:p>
      <w:pPr>
        <w:sectPr>
          <w:pgSz w:w="12240" w:h="15840" w:orient="portrait"/>
          <w:cols w:equalWidth="0" w:num="1">
            <w:col w:w="10200"/>
          </w:cols>
          <w:pgMar w:left="1020" w:top="1330" w:right="1020" w:bottom="574" w:gutter="0" w:footer="0" w:header="0"/>
        </w:sect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19</w:t>
      </w:r>
    </w:p>
    <w:p>
      <w:pPr>
        <w:sectPr>
          <w:pgSz w:w="12240" w:h="15840" w:orient="portrait"/>
          <w:cols w:equalWidth="0" w:num="1">
            <w:col w:w="10200"/>
          </w:cols>
          <w:pgMar w:left="1020" w:top="1330" w:right="1020" w:bottom="574" w:gutter="0" w:footer="0" w:header="0"/>
          <w:type w:val="continuous"/>
        </w:sectPr>
      </w:pPr>
    </w:p>
    <w:bookmarkStart w:id="22" w:name="page23"/>
    <w:bookmarkEnd w:id="22"/>
    <w:p>
      <w:pPr>
        <w:jc w:val="both"/>
        <w:spacing w:after="0" w:line="251" w:lineRule="auto"/>
        <w:rPr>
          <w:sz w:val="20"/>
          <w:szCs w:val="20"/>
          <w:color w:val="auto"/>
        </w:rPr>
      </w:pPr>
      <w:r>
        <w:rPr>
          <w:rFonts w:ascii="Times New Roman" w:cs="Times New Roman" w:eastAsia="Times New Roman" w:hAnsi="Times New Roman"/>
          <w:sz w:val="19"/>
          <w:szCs w:val="19"/>
          <w:color w:val="auto"/>
        </w:rPr>
        <w:t>accordance with GCP, including undergoing review and receiving approval by an independent ethics committee, or IEC, and seeking and receiving informed consent from subjects. The FDA’s regulations are intended to help ensure the protection of human subjects enrolled in non-IND foreign clinical studies, as well as the quality and integrity of the resulting data. They further help ensure that non-IND foreign studies are conducted in a manner comparable to that required for IND studies.</w:t>
      </w:r>
    </w:p>
    <w:p>
      <w:pPr>
        <w:spacing w:after="0" w:line="18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color w:val="auto"/>
        </w:rPr>
        <w:t>In addition to the foregoing IND requirements, an IRB representing each institution participating in the clinical trial must review and approve the plan for any clinical trial before it commences at that institution, and the IRB must conduct continuing review and reapprove the trial at least annually. The IRB must review and approve, among other things, the trial protocol and informed consent information to be provided to trial subjects. An IRB must operate in compliance with FDA regulations. An IRB can suspend or terminate approval of a clinical trial at its institution, or an institution it represents, if the clinical trial is not being conducted in accordance with the IRB’s requirements or if the product candidate has been associated with unexpected serious harm to patients.</w:t>
      </w:r>
    </w:p>
    <w:p>
      <w:pPr>
        <w:spacing w:after="0" w:line="18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9"/>
          <w:szCs w:val="19"/>
          <w:color w:val="auto"/>
        </w:rPr>
        <w:t>Additionally, some trials are overseen by an independent group of qualified experts organized by the trial sponsor, known as a data monitoring committee, or DMC. This group provides authorization for whether a trial may move forward at designated check points based on access that only the group maintains to available data from the trial. Suspension or termination of development during any phase of clinical trials can occur if it is determined that the participants or patients are being exposed to an unacceptable health risk or for other reasons, including evolving business objectives and/or competitive climate.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Human Clinical Studies in Support of a BLA</w:t>
      </w:r>
    </w:p>
    <w:p>
      <w:pPr>
        <w:spacing w:after="0" w:line="22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9"/>
          <w:szCs w:val="19"/>
          <w:color w:val="auto"/>
        </w:rPr>
        <w:t>Clinical trials involve the administration of the investigational product to human subjects under the supervision of qualified investigators in accordance with GCP requirements, which include, among other things, the requirement that all research subjects provide their informed consent in writing before their participation in any clinical trial. Clinical trials are conducted under written trial protocols detailing, among other things, the inclusion and exclusion criteria, the objectives of the trial, the parameters to be used in monitoring safety and the effectiveness criteria to be evaluated.</w:t>
      </w:r>
    </w:p>
    <w:p>
      <w:pPr>
        <w:spacing w:after="0" w:line="18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9"/>
          <w:szCs w:val="19"/>
          <w:color w:val="auto"/>
        </w:rPr>
        <w:t>The clinical investigation of an investigational drug or biological product is generally divided into four phases. Although the phases are usually conducted sequentially, they may overlap or be combined. The four phases of an investigation are as follows:</w:t>
      </w:r>
    </w:p>
    <w:p>
      <w:pPr>
        <w:spacing w:after="0" w:line="61" w:lineRule="exact"/>
        <w:rPr>
          <w:sz w:val="20"/>
          <w:szCs w:val="20"/>
          <w:color w:val="auto"/>
        </w:rPr>
      </w:pPr>
    </w:p>
    <w:p>
      <w:pPr>
        <w:jc w:val="both"/>
        <w:ind w:left="920" w:hanging="458"/>
        <w:spacing w:after="0" w:line="250" w:lineRule="auto"/>
        <w:tabs>
          <w:tab w:leader="none" w:pos="920" w:val="left"/>
        </w:tabs>
        <w:numPr>
          <w:ilvl w:val="0"/>
          <w:numId w:val="19"/>
        </w:numPr>
        <w:rPr>
          <w:rFonts w:ascii="Arial" w:cs="Arial" w:eastAsia="Arial" w:hAnsi="Arial"/>
          <w:sz w:val="19"/>
          <w:szCs w:val="19"/>
          <w:color w:val="auto"/>
        </w:rPr>
      </w:pPr>
      <w:r>
        <w:rPr>
          <w:rFonts w:ascii="Times New Roman" w:cs="Times New Roman" w:eastAsia="Times New Roman" w:hAnsi="Times New Roman"/>
          <w:sz w:val="19"/>
          <w:szCs w:val="19"/>
          <w:u w:val="single" w:color="auto"/>
          <w:color w:val="auto"/>
        </w:rPr>
        <w:t>Phase 1</w:t>
      </w:r>
      <w:r>
        <w:rPr>
          <w:rFonts w:ascii="Times New Roman" w:cs="Times New Roman" w:eastAsia="Times New Roman" w:hAnsi="Times New Roman"/>
          <w:sz w:val="19"/>
          <w:szCs w:val="19"/>
          <w:color w:val="auto"/>
        </w:rPr>
        <w:t>. Phase 1 studies include the initial introduction of an investigational new drug or biological product into humans. These studies are designed to evaluate the safety, dosage tolerance, metabolism and pharmacologic actions of the investigational drug or biological product in humans, the side effects associated with increasing doses, and if possible, to gain early evidence on effectiveness.</w:t>
      </w:r>
    </w:p>
    <w:p>
      <w:pPr>
        <w:spacing w:after="0" w:line="84" w:lineRule="exact"/>
        <w:rPr>
          <w:rFonts w:ascii="Arial" w:cs="Arial" w:eastAsia="Arial" w:hAnsi="Arial"/>
          <w:sz w:val="19"/>
          <w:szCs w:val="19"/>
          <w:color w:val="auto"/>
        </w:rPr>
      </w:pPr>
    </w:p>
    <w:p>
      <w:pPr>
        <w:jc w:val="both"/>
        <w:ind w:left="920" w:hanging="458"/>
        <w:spacing w:after="0" w:line="247" w:lineRule="auto"/>
        <w:tabs>
          <w:tab w:leader="none" w:pos="920" w:val="left"/>
        </w:tabs>
        <w:numPr>
          <w:ilvl w:val="0"/>
          <w:numId w:val="19"/>
        </w:numPr>
        <w:rPr>
          <w:rFonts w:ascii="Arial" w:cs="Arial" w:eastAsia="Arial" w:hAnsi="Arial"/>
          <w:sz w:val="19"/>
          <w:szCs w:val="19"/>
          <w:color w:val="auto"/>
        </w:rPr>
      </w:pPr>
      <w:r>
        <w:rPr>
          <w:rFonts w:ascii="Times New Roman" w:cs="Times New Roman" w:eastAsia="Times New Roman" w:hAnsi="Times New Roman"/>
          <w:sz w:val="19"/>
          <w:szCs w:val="19"/>
          <w:u w:val="single" w:color="auto"/>
          <w:color w:val="auto"/>
        </w:rPr>
        <w:t>Phase 2</w:t>
      </w:r>
      <w:r>
        <w:rPr>
          <w:rFonts w:ascii="Times New Roman" w:cs="Times New Roman" w:eastAsia="Times New Roman" w:hAnsi="Times New Roman"/>
          <w:sz w:val="19"/>
          <w:szCs w:val="19"/>
          <w:color w:val="auto"/>
        </w:rPr>
        <w:t>. Phase 2 includes the controlled clinical trials conducted to preliminarily or further evaluate the effectiveness of the investigational drug or biological product for a particular indication(s) in patients with the disease or condition under trial, to determine dosage tolerance and optimal dosage, and to identify possible adverse side effects and safety risks associated with the drug or biological product. Phase 2 trials are typically well-controlled, closely monitored, and conducted in a limited patient population.</w:t>
      </w:r>
    </w:p>
    <w:p>
      <w:pPr>
        <w:spacing w:after="0" w:line="87" w:lineRule="exact"/>
        <w:rPr>
          <w:rFonts w:ascii="Arial" w:cs="Arial" w:eastAsia="Arial" w:hAnsi="Arial"/>
          <w:sz w:val="19"/>
          <w:szCs w:val="19"/>
          <w:color w:val="auto"/>
        </w:rPr>
      </w:pPr>
    </w:p>
    <w:p>
      <w:pPr>
        <w:jc w:val="both"/>
        <w:ind w:left="920" w:hanging="458"/>
        <w:spacing w:after="0" w:line="247" w:lineRule="auto"/>
        <w:tabs>
          <w:tab w:leader="none" w:pos="920" w:val="left"/>
        </w:tabs>
        <w:numPr>
          <w:ilvl w:val="0"/>
          <w:numId w:val="19"/>
        </w:numPr>
        <w:rPr>
          <w:rFonts w:ascii="Arial" w:cs="Arial" w:eastAsia="Arial" w:hAnsi="Arial"/>
          <w:sz w:val="19"/>
          <w:szCs w:val="19"/>
          <w:color w:val="auto"/>
        </w:rPr>
      </w:pPr>
      <w:r>
        <w:rPr>
          <w:rFonts w:ascii="Times New Roman" w:cs="Times New Roman" w:eastAsia="Times New Roman" w:hAnsi="Times New Roman"/>
          <w:sz w:val="19"/>
          <w:szCs w:val="19"/>
          <w:u w:val="single" w:color="auto"/>
          <w:color w:val="auto"/>
        </w:rPr>
        <w:t>Phase 3</w:t>
      </w:r>
      <w:r>
        <w:rPr>
          <w:rFonts w:ascii="Times New Roman" w:cs="Times New Roman" w:eastAsia="Times New Roman" w:hAnsi="Times New Roman"/>
          <w:sz w:val="19"/>
          <w:szCs w:val="19"/>
          <w:color w:val="auto"/>
        </w:rPr>
        <w:t>. Phase 3 trials are generally controlled clinical trials conducted in an expanded patient population generally at geographically dispersed clinical trial sites. They are performed after preliminary evidence suggesting effectiveness of the drug or biological product has been obtained, and are intended to further evaluate dosage, clinical effectiveness and safety, to establish the overall benefit-risk relationship of the investigational drug or biological product, and to provide an adequate basis for product approval.</w:t>
      </w:r>
    </w:p>
    <w:p>
      <w:pPr>
        <w:spacing w:after="0" w:line="87"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19"/>
        </w:numPr>
        <w:rPr>
          <w:rFonts w:ascii="Arial" w:cs="Arial" w:eastAsia="Arial" w:hAnsi="Arial"/>
          <w:sz w:val="19"/>
          <w:szCs w:val="19"/>
          <w:color w:val="auto"/>
        </w:rPr>
      </w:pPr>
      <w:r>
        <w:rPr>
          <w:rFonts w:ascii="Times New Roman" w:cs="Times New Roman" w:eastAsia="Times New Roman" w:hAnsi="Times New Roman"/>
          <w:sz w:val="19"/>
          <w:szCs w:val="19"/>
          <w:u w:val="single" w:color="auto"/>
          <w:color w:val="auto"/>
        </w:rPr>
        <w:t>Phase 4</w:t>
      </w:r>
      <w:r>
        <w:rPr>
          <w:rFonts w:ascii="Times New Roman" w:cs="Times New Roman" w:eastAsia="Times New Roman" w:hAnsi="Times New Roman"/>
          <w:sz w:val="19"/>
          <w:szCs w:val="19"/>
          <w:color w:val="auto"/>
        </w:rPr>
        <w:t>. Post-approval studies may be conducted after initial marketing approval. These studies are used to gain additional experience from the treatment of patients in the intended therapeutic indication.</w:t>
      </w:r>
    </w:p>
    <w:p>
      <w:pPr>
        <w:spacing w:after="0" w:line="16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color w:val="auto"/>
        </w:rPr>
        <w:t>A company’s designation of a clinical trial as being of a particular phase is not necessarily indicative that the study will be sufficient to satisfy the FDA requirements of that phase because this determination cannot be made until the protocol and data have been submitted to and reviewed by the FDA. Moreover, a pivotal trial is a clinical trial that is believed to satisfy FDA requirements for the evaluation of a product candidate’s safety and efficacy such that it can be used, alone or with other pivotal or non-pivotal trials, to support regulatory approval. Generally, pivotal trials are Phase 3 trials, but they may be Phase 1 or Phase 2 trials if the design provides a well-controlled and reliable assessment of clinical benefit, particularly in an area of unmet medical need.</w:t>
      </w:r>
    </w:p>
    <w:p>
      <w:pPr>
        <w:spacing w:after="0" w:line="18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In December 2022, with the passage of Food and Drug Omnibus Reform Act, or FDORA, Congress required sponsors to develop and submit a diversity action plan, or DAP, for each Phase 3 clinical trial or any other “pivotal study” of a new drug or biological product. These plans are meant to encourage the enrollment of more diverse patient populations in late-stage clinical trials of FDA-regulated products. Specifically, plans must include the sponsor’s goals for enrollment, the underlying rationale for those goals, and an</w:t>
      </w:r>
    </w:p>
    <w:p>
      <w:pPr>
        <w:sectPr>
          <w:pgSz w:w="12240" w:h="15840" w:orient="portrait"/>
          <w:cols w:equalWidth="0" w:num="1">
            <w:col w:w="10200"/>
          </w:cols>
          <w:pgMar w:left="1020" w:top="1317" w:right="1020" w:bottom="574" w:gutter="0" w:footer="0" w:header="0"/>
        </w:sect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20</w:t>
      </w:r>
    </w:p>
    <w:p>
      <w:pPr>
        <w:sectPr>
          <w:pgSz w:w="12240" w:h="15840" w:orient="portrait"/>
          <w:cols w:equalWidth="0" w:num="1">
            <w:col w:w="10200"/>
          </w:cols>
          <w:pgMar w:left="1020" w:top="1317" w:right="1020" w:bottom="574" w:gutter="0" w:footer="0" w:header="0"/>
          <w:type w:val="continuous"/>
        </w:sectPr>
      </w:pPr>
    </w:p>
    <w:bookmarkStart w:id="23" w:name="page24"/>
    <w:bookmarkEnd w:id="23"/>
    <w:p>
      <w:pPr>
        <w:jc w:val="both"/>
        <w:spacing w:after="0" w:line="243" w:lineRule="auto"/>
        <w:rPr>
          <w:sz w:val="20"/>
          <w:szCs w:val="20"/>
          <w:color w:val="auto"/>
        </w:rPr>
      </w:pPr>
      <w:r>
        <w:rPr>
          <w:rFonts w:ascii="Times New Roman" w:cs="Times New Roman" w:eastAsia="Times New Roman" w:hAnsi="Times New Roman"/>
          <w:sz w:val="19"/>
          <w:szCs w:val="19"/>
          <w:color w:val="auto"/>
        </w:rPr>
        <w:t>explanation of how the sponsor intends to meet them. In addition to these requirements, the legislation directs the FDA to issue new guidance on diversity action plans. In January 2024, the FDA issued draft guidance setting out its policies for the collection of race and ethnicity data in clinical trials. On January 27, 2025, in response to an executive order regarding diversity, equity and inclusion programs, the FDA removed this draft guidance from its website. Subsequently, in July 2025, pursuant to a court order, the FDA restored the draft DAP guidance to its website with a statement that “information on this page may be modified and/or removed in the future subject to the terms of the court’s order and implemented consistent with applicable law.” In light of these ongoing actions, there is considerable uncertainty surrounding the draft DAP guidance and how the FDA will consider diversity action plans in connection with its review of BLAs.</w:t>
      </w:r>
    </w:p>
    <w:p>
      <w:pPr>
        <w:spacing w:after="0" w:line="19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color w:val="auto"/>
        </w:rPr>
        <w:t>In March 2022, the FDA released a final guidance entitled “Expansion Cohorts: Use in First-In-Human Clinical Trials to Expedite Development of Oncology Drugs and Biologics,” which outlines how developers can utilize an adaptive trial design commonly referred to as a seamless trial design in early stages of oncology biological product development (i.e., the first-in-human clinical trial) to compress the traditional three phases of trials into one continuous trial called an expansion cohort trial. Information to support the design of individual expansion cohorts are included in IND applications and assessed by FDA. Expansion cohort trials can potentially bring efficiency to biological product development and reduce developmental costs and time.</w:t>
      </w:r>
    </w:p>
    <w:p>
      <w:pPr>
        <w:spacing w:after="0" w:line="18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color w:val="auto"/>
        </w:rPr>
        <w:t>In September 2025, the FDA issued final guidance with updated recommendations for GCPs aimed at modernizing the design and conduct of clinical trials. The updates are intended to help pave the way for more efficient clinical trials to facilitate the development of medical products. The final guidance is adopted from the International Council for Harmonisation’s recently updated E6(R3) final guideline that was developed to enable the incorporation of rapidly developing technological and methodological innovations into the clinical trial enterprise. In addition, the FDA issued draft guidance outlining recommendations for the implementation of decentralized clinical trials.</w:t>
      </w:r>
    </w:p>
    <w:p>
      <w:pPr>
        <w:spacing w:after="0" w:line="7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In October 2025, the FDA issued final guidance that focuses on patient-focused drug development. The guidance outlines how stakeholders, such as patients, caregivers, researchers and medical product developers, can submit patient experience data in support of the development and approval of drug products. To that end, the guidance provides an overview of clinical outcome assessments, or COAs, in clinical trials, and the role that COAs may play in in evaluating the clinical benefit of a medical product.</w:t>
      </w:r>
    </w:p>
    <w:p>
      <w:pPr>
        <w:spacing w:after="0" w:line="18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color w:val="auto"/>
        </w:rPr>
        <w:t>Concurrent with clinical trials, companies often complete additional animal studies and must also develop additional information about the chemistry and physical characteristics of the candidate product as well as finalize a process for manufacturing the product in commercial quantities in accordance with cGMP requirements. The manufacturing process must be capable of consistently producing quality batches of the drug candidate and, among other things, must develop methods for testing the identity, strength, quality, purity, and potency of the final drug. Additionally, appropriate packaging must be selected and tested, and stability studies must be conducted to demonstrate that the drug candidate does not undergo unacceptable deterioration over its shelf life.</w:t>
      </w:r>
    </w:p>
    <w:p>
      <w:pPr>
        <w:spacing w:after="0" w:line="18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Sponsors of clinical trials are required to register and disclose certain clinical trial information on a public registry (clinicaltrials.gov) maintained by the U.S. National Institutes of Health, or NIH. In particular, information related to the product, patient population, phase of investigation, study sites and investigators and other aspects of the clinical trial is made public as part of the registration of the clinical trial. The NIH’s Final Rule on registration and reporting requirements for clinical trials became effective in 2017. Although the FDA has historically not enforced these reporting requirements, the FDA has, as of January 31, 2026 issued eight notices of non-compliance. While these notices of non-compliance did not result in civil monetary penalties, the failure to submit clinical trial information to clinicaltrials.gov is a prohibited act under the FDCA with violations subject to potential civil monetary penalties of up to $10,000 for each day the violation continues. Violations may also result in injunctions and/or criminal prosecution or disqualification from federal grants.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Interactions with FDA During the Clinical Development Program</w:t>
      </w:r>
    </w:p>
    <w:p>
      <w:pPr>
        <w:spacing w:after="0" w:line="22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Following the clearance of an IND and the commencement of clinical trials, the sponsor will continue to have interactions with the FDA. An annual report on the progress of the study must be submitted to the FDA and more frequently if serious AEs occur. In addition, IND safety reports must be submitted to the FDA for any of the following: serious and unexpected suspected adverse reactions; findings from other studies or animal or in vitro testing that suggest a significant risk in humans exposed to the product; and any clinically important increase in the occurrence of a serious suspected adverse reaction over that listed in the protocol or investigator brochure. Phase 1, Phase 2 and Phase 3 clinical trials may not be completed successfully within any specified period, or at all. The FDA will typically inspect one or more clinical sites to assure compliance with GCP and the integrity of the clinical data submitted.</w:t>
      </w:r>
    </w:p>
    <w:p>
      <w:pPr>
        <w:spacing w:after="0" w:line="19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In addition, sponsors are given opportunities to meet with the FDA at certain points in the clinical development program. Specifically, sponsors may meet with the FDA prior to the submission of an IND, or Pre-IND meeting, at the end of Phase 1 clinical trial, or EOP1 meeting, at the end of Phase 2 clinical trial, or EOP2 meeting, and before a BLA is submitted, or Pre-BLA meeting. Meetings at other</w:t>
      </w:r>
    </w:p>
    <w:p>
      <w:pPr>
        <w:sectPr>
          <w:pgSz w:w="12240" w:h="15840" w:orient="portrait"/>
          <w:cols w:equalWidth="0" w:num="1">
            <w:col w:w="10200"/>
          </w:cols>
          <w:pgMar w:left="1020" w:top="1317" w:right="1020" w:bottom="574" w:gutter="0" w:footer="0" w:header="0"/>
        </w:sect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21</w:t>
      </w:r>
    </w:p>
    <w:p>
      <w:pPr>
        <w:sectPr>
          <w:pgSz w:w="12240" w:h="15840" w:orient="portrait"/>
          <w:cols w:equalWidth="0" w:num="1">
            <w:col w:w="10200"/>
          </w:cols>
          <w:pgMar w:left="1020" w:top="1317" w:right="1020" w:bottom="574" w:gutter="0" w:footer="0" w:header="0"/>
          <w:type w:val="continuous"/>
        </w:sectPr>
      </w:pPr>
    </w:p>
    <w:bookmarkStart w:id="24" w:name="page25"/>
    <w:bookmarkEnd w:id="24"/>
    <w:p>
      <w:pPr>
        <w:jc w:val="both"/>
        <w:spacing w:after="0" w:line="243" w:lineRule="auto"/>
        <w:rPr>
          <w:sz w:val="20"/>
          <w:szCs w:val="20"/>
          <w:color w:val="auto"/>
        </w:rPr>
      </w:pPr>
      <w:r>
        <w:rPr>
          <w:rFonts w:ascii="Times New Roman" w:cs="Times New Roman" w:eastAsia="Times New Roman" w:hAnsi="Times New Roman"/>
          <w:sz w:val="19"/>
          <w:szCs w:val="19"/>
          <w:color w:val="auto"/>
        </w:rPr>
        <w:t>times may also be requested. There are five types of meetings that occur between sponsors and the FDA. Type A meetings are those that are necessary for an otherwise stalled product development program to proceed or to address an important safety issue. Type B meetings include Pre-IND and Pre-BLA meetings, as well as end of phase meetings such as EOP2 meetings. A Type C meeting is any meeting other than a Type A or Type B meeting regarding the development and review of a product, including, for example, meetings to facilitate early consultations on the use of a biomarker as a new surrogate endpoint that has never been previously used as the primary basis for product approval in the proposed context of use. A Type D meeting is focused on a narrow set of issues and does not require input from more than three disciplines or divisions. Finally, INTERACT meetings are intended for novel products and development programs that present unique challenges in the early development of an investigational product.</w:t>
      </w:r>
    </w:p>
    <w:p>
      <w:pPr>
        <w:spacing w:after="0" w:line="19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color w:val="auto"/>
        </w:rPr>
        <w:t>At the conclusion of these meetings, the FDA will typically provide its responses to questions posed by the sponsor regarding the clinical development program. The FDA will not indicate whether a BLA will be approved, but it will provide guidance to the sponsor on various questions, including whether an application should be submitted in the first place on the basis of the studies and data proposed by the sponsor. The agency may also generally express support for the sponsor’s approach in the clinical development program, but also indicate that questions concerning whether the data support approval will be subject to review by the agency following its acceptance for filing of the BLA. The FDA has indicated that its responses, as conveyed in meeting minutes and advice letters, only constitute mere recommendations and/or advice made to a sponsor and, as such, sponsors are not bound by such recommendations and/or advice. Nonetheless, from a practical perspective, a sponsor’s failure to follow the FDA’s recommendations for design of a clinical program may put the program at significant risk of failure. In September 2023, the FDA issued draft guidance outlining the terms of such meetings in more detail.</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Expanded Access</w:t>
      </w:r>
    </w:p>
    <w:p>
      <w:pPr>
        <w:spacing w:after="0" w:line="22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color w:val="auto"/>
        </w:rPr>
        <w:t>Expanded access, sometimes called “compassionate use,” is the use of investigational products outside of clinical trials to treat patients with serious or immediately life-threatening diseases or conditions when there are no comparable or satisfactory alternative treatment options. FDA regulations allow access to investigational products under an IND by the sponsor or the treating physician for treatment purposes on a case-by-case basis for: individual patients (single-patient IND applications for treatment in emergency settings and non-emergency settings); intermediate-size patient populations; and larger populations for use of the investigational product under a treatment protocol or treatment IND application.</w:t>
      </w:r>
    </w:p>
    <w:p>
      <w:pPr>
        <w:spacing w:after="0" w:line="18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There is no requirement for a sponsor to provide expanded access to an investigational product. However, if a sponsor decides to make its investigational product available for expanded access, the FDA reviews requests for expanded access and determines if treatment may proceed. Expanded access may be appropriate when all of the following criteria apply: patient(s) have a serious or immediately life-threatening disease or condition, and there is no comparable or satisfactory alternative therapy to diagnose, monitor or treat the disease or condition; the potential patient benefit justifies the potential risks of the treatment and the potential risks are not unreasonable in the context or condition to be treated; and the expanded use of the investigational drug for the requested treatment will not interfere with initiation, conduct or completion of clinical investigations that could support marketing approval of the product or otherwise compromise the potential development of the product.</w:t>
      </w:r>
    </w:p>
    <w:p>
      <w:pPr>
        <w:spacing w:after="0" w:line="19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Sponsors of one or more investigational products for the treatment of a serious disease(s) or condition(s) must make publicly available their policy for evaluating and responding to requests for expanded access for individual patients. Sponsors are required to make such policies publicly available upon the earlier of initiation of a Phase 2 or Phase 3 trial; or 15 days after the investigational drug or biologic receives designation as a Breakthrough Therapy, fast track product or regenerative medicine advanced therapy.</w:t>
      </w:r>
    </w:p>
    <w:p>
      <w:pPr>
        <w:spacing w:after="0" w:line="18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color w:val="auto"/>
        </w:rPr>
        <w:t>In addition, on May 30, 2018, the Right to Try Act was signed into law. The law, among other things, provides an additional mechanism for patients with a life-threatening condition who have exhausted approved treatments and are unable to participate in clinical trials to access certain investigational products that have completed a Phase 1 trial, are the subject of an active IND and are undergoing investigation for FDA approval. Unlike the expanded access framework described above, the Right to Try Pathway does not require FDA to review or approve requests for use of the investigational product. There is no obligation for a manufacturer to make its investigational products available to eligible patients under the Right to Try Act.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Pediatric Studies</w:t>
      </w:r>
    </w:p>
    <w:p>
      <w:pPr>
        <w:spacing w:after="0" w:line="22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Under the Pediatric Research Equity Act of 2003, or PREA, an application or supplement thereto must contain data that are adequate to assess the safety and effectiveness of the product for the claimed indications in all relevant pediatric subpopulations, and to support dosing and administration for each pediatric subpopulation for which the product is safe and effective. Sponsors must also submit pediatric study plans prior to the assessment data. Those plans must contain an outline of the proposed pediatric study or studies the sponsor plans to conduct, including study objectives and design, any deferral or waiver requests and other information required by regulation. The sponsor, the FDA, and the FDA’s internal review committee must then review the information submitted, consult with</w:t>
      </w:r>
    </w:p>
    <w:p>
      <w:pPr>
        <w:sectPr>
          <w:pgSz w:w="12240" w:h="15840" w:orient="portrait"/>
          <w:cols w:equalWidth="0" w:num="1">
            <w:col w:w="10200"/>
          </w:cols>
          <w:pgMar w:left="1020" w:top="1317" w:right="1020" w:bottom="574" w:gutter="0" w:footer="0" w:header="0"/>
        </w:sect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22</w:t>
      </w:r>
    </w:p>
    <w:p>
      <w:pPr>
        <w:sectPr>
          <w:pgSz w:w="12240" w:h="15840" w:orient="portrait"/>
          <w:cols w:equalWidth="0" w:num="1">
            <w:col w:w="10200"/>
          </w:cols>
          <w:pgMar w:left="1020" w:top="1317" w:right="1020" w:bottom="574" w:gutter="0" w:footer="0" w:header="0"/>
          <w:type w:val="continuous"/>
        </w:sectPr>
      </w:pPr>
    </w:p>
    <w:bookmarkStart w:id="25" w:name="page26"/>
    <w:bookmarkEnd w:id="25"/>
    <w:p>
      <w:pPr>
        <w:jc w:val="both"/>
        <w:spacing w:after="0" w:line="275" w:lineRule="auto"/>
        <w:rPr>
          <w:sz w:val="20"/>
          <w:szCs w:val="20"/>
          <w:color w:val="auto"/>
        </w:rPr>
      </w:pPr>
      <w:r>
        <w:rPr>
          <w:rFonts w:ascii="Times New Roman" w:cs="Times New Roman" w:eastAsia="Times New Roman" w:hAnsi="Times New Roman"/>
          <w:sz w:val="19"/>
          <w:szCs w:val="19"/>
          <w:color w:val="auto"/>
        </w:rPr>
        <w:t>each other and agree upon a final plan. The FDA or the sponsor may request an amendment to the plan at any time. In May 2023, the FDA issued new draft guidance that further describes the pediatric study requirements under PREA.</w:t>
      </w:r>
    </w:p>
    <w:p>
      <w:pPr>
        <w:spacing w:after="0" w:line="16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9"/>
          <w:szCs w:val="19"/>
          <w:color w:val="auto"/>
        </w:rPr>
        <w:t>For investigational products intended to treat a serious or life-threatening disease or condition, the FDA must, upon the request of a sponsor, meet to discuss preparation of the initial pediatric study plan or to discuss deferral or waiver of pediatric assessments. In addition, the FDA will meet early in the development process to discuss pediatric study plans with sponsors, and the FDA must meet with sponsors by no later than the end-of-phase 1 meeting for serious or life-threatening diseases and by no later than 90 days after the FDA’s receipt of the study plan.</w:t>
      </w:r>
    </w:p>
    <w:p>
      <w:pPr>
        <w:spacing w:after="0" w:line="18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FDA may, on its own initiative or at the request of the sponsor, grant deferrals for submission of some or all pediatric data until after approval of the product for use in adults, or full or partial waivers from the pediatric data requirements. A deferral may be granted for several reasons, including a finding that the product is ready for approval for use in adults before pediatric trials are complete or that additional safety or effectiveness data needs to be collected before the pediatric trials begin. The law now requires the FDA to send a PREA Non-Compliance letter to sponsors who have failed to submit their pediatric assessments required under PREA, have failed to seek or obtain a deferral or deferral extension or have failed to request approval for a required pediatric formulation. Unless otherwise required by regulation, the pediatric data requirements do not apply to products with orphan designation, although FDA has taken steps to limit what it considers abuse of this statutory exemption in PREA by announcing that it does not intend to grant any additional orphan drug designations for rare pediatric subpopulations of what is otherwise a common disease. The FDA maintains a list of diseases that are exempt from PREA requirements due to low prevalence of disease in the pediatric population.</w:t>
      </w:r>
    </w:p>
    <w:p>
      <w:pPr>
        <w:spacing w:after="0" w:line="18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In 2017, with the passage of the FDA Reauthorization Act of 2017, or FDARA, Congress established new requirements to govern certain molecularly targeted cancer indications. Section 505B of the FDCA, as amended by FDARA, requires that any original BLA submitted on or after August 18, 2020, for a new active ingredient, must contain reports on the molecularly targeted pediatric cancer investigation, unless the requirement is waived or deferred, if the drug that is the subject of the application is: (i) intended for the treatment of an adult cancer, and (ii) directed at a molecular target that the Secretary of the U.S. Department of Health and Human Services, or HHS, determines to be substantially relevant to the growth or progression of a pediatric cancer in accordance with FDA guidance. The FDA maintains a list of diseases that are exempt from PREA requirements due to low prevalence of disease in the pediatric population.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Submission and Review of a BLA by the FDA</w:t>
      </w:r>
    </w:p>
    <w:p>
      <w:pPr>
        <w:spacing w:after="0" w:line="22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In order to obtain approval to market a drug or biological product in the United States, a marketing application must be submitted to the FDA that provides data establishing the safety and effectiveness of the proposed drug product for the proposed indication, and the safety, purity and potency of the biological product for its intended indication. The application includes all relevant data available from pertinent preclinical and clinical trials, including negative or ambiguous results as well as positive findings, together with detailed information relating to the product’s chemistry, manufacturing, controls and proposed labeling, among other things. Data can come from company-sponsored clinical trials intended to test the safety and effectiveness of a use of a product, or from a number of alternative sources, including studies initiated by investigators. To support marketing approval, the data submitted must be sufficient in quality and quantity to establish the safety and effectiveness of the investigational drug product and the safety, purity and potency of the biological product to the satisfaction of the FDA.</w:t>
      </w:r>
    </w:p>
    <w:p>
      <w:pPr>
        <w:spacing w:after="0" w:line="19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The application is the vehicle through which sponsors formally propose that the FDA approve a new product for marketing and sale in the United States for one or more indications. Every new product candidate must be the subject of an approved BLA before it may be commercialized in the United States. Under federal law, the submission of most applications is subject to an application user fee. The sponsor of an approved application is also subject to an annual program fee. Certain exceptions and waivers are available for some of these fees, such as an exception from the application fee for products with orphan designation and a waiver for certain small businesses. If an application is withdrawn prior to the FDA acceptance for filing, 75% of these fees may be refunded to the sponsor. If an application is withdrawn after filing, a lower portion of these fees may be refunded in certain circumstances. Currently, the fee required for the submission and review of an application for federal fiscal year 2026 is approximately $4,682,003, and the sponsor of an approved application is also subject to an annual program fee, currently more than $442,213 for federal fiscal year 2026.</w:t>
      </w:r>
    </w:p>
    <w:p>
      <w:pPr>
        <w:spacing w:after="0" w:line="19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The FDA conducts a preliminary review of all applications within 60 days of receipt and must inform the sponsor at that time or before whether an application is sufficiently complete to permit substantive review. The FDA’s regulations state that an application “shall not be considered as filed until all pertinent information and data have been received” by the FDA. In the event that the FDA determines that an application does not satisfy this standard, it will issue a Refuse to File, or RTF, determination to the applicant. Typically, an RTF will be based on administrative incompleteness, such as clear omission of information or sections of required information. In October 2025, the FDA issued internal guidance clarifying that “materially incomplete or inadequately organized” applications that would not permit timely, efficient and complete review will be the subject of an RTF. The internal guidance also provides that the agency will issue an RTF for an application that relies on a single adequate and well-controlled investigation to</w:t>
      </w:r>
    </w:p>
    <w:p>
      <w:pPr>
        <w:sectPr>
          <w:pgSz w:w="12240" w:h="15840" w:orient="portrait"/>
          <w:cols w:equalWidth="0" w:num="1">
            <w:col w:w="10200"/>
          </w:cols>
          <w:pgMar w:left="1020" w:top="1317" w:right="1020" w:bottom="574" w:gutter="0" w:footer="0" w:header="0"/>
        </w:sect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23</w:t>
      </w:r>
    </w:p>
    <w:p>
      <w:pPr>
        <w:sectPr>
          <w:pgSz w:w="12240" w:h="15840" w:orient="portrait"/>
          <w:cols w:equalWidth="0" w:num="1">
            <w:col w:w="10200"/>
          </w:cols>
          <w:pgMar w:left="1020" w:top="1317" w:right="1020" w:bottom="574" w:gutter="0" w:footer="0" w:header="0"/>
          <w:type w:val="continuous"/>
        </w:sectPr>
      </w:pPr>
    </w:p>
    <w:bookmarkStart w:id="26" w:name="page27"/>
    <w:bookmarkEnd w:id="26"/>
    <w:p>
      <w:pPr>
        <w:jc w:val="both"/>
        <w:spacing w:after="0" w:line="275" w:lineRule="auto"/>
        <w:rPr>
          <w:sz w:val="20"/>
          <w:szCs w:val="20"/>
          <w:color w:val="auto"/>
        </w:rPr>
      </w:pPr>
      <w:r>
        <w:rPr>
          <w:rFonts w:ascii="Times New Roman" w:cs="Times New Roman" w:eastAsia="Times New Roman" w:hAnsi="Times New Roman"/>
          <w:sz w:val="19"/>
          <w:szCs w:val="19"/>
          <w:color w:val="auto"/>
        </w:rPr>
        <w:t>support approval if prior communications with the FDA determined the need for more than one clinical study and any justification for a single investigation is inadequate.</w:t>
      </w:r>
    </w:p>
    <w:p>
      <w:pPr>
        <w:spacing w:after="0" w:line="16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color w:val="auto"/>
        </w:rPr>
        <w:t>The FDA has agreed to specified performance goals in the review process of BLAs. Under that agreement, 90% of applications seeking approval of New Molecular Entities, or NMEs, are meant to be reviewed within ten months from the date on which FDA accepts the BLA for filing, and 90% of applications for NMEs that have been designated for “priority review” are meant to be reviewed within six months of the filing date. The review process and the PDUFA goal date may be extended by the FDA for three additional months to consider new information or clarification provided by the sponsor to address an outstanding deficiency identified by the FDA following the original submission.</w:t>
      </w:r>
    </w:p>
    <w:p>
      <w:pPr>
        <w:spacing w:after="0" w:line="18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9"/>
          <w:szCs w:val="19"/>
          <w:color w:val="auto"/>
        </w:rPr>
        <w:t>The FDA seeks to meet these timelines for review of an application but its ability to do so may be affected by a variety of factors, including government budget and funding levels, the ability to hire and retain key personnel and statutory, regulatory and policy changes. Average review times at the agency have fluctuated in recent years as a result. For example, during the past decade, the U.S. government has shut down several times and certain regulatory agencies, including the FDA, have had to furlough critical employees and stop critical activities, including the review of BLAs.</w:t>
      </w:r>
    </w:p>
    <w:p>
      <w:pPr>
        <w:spacing w:after="0" w:line="18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9"/>
          <w:szCs w:val="19"/>
          <w:color w:val="auto"/>
        </w:rPr>
        <w:t>In connection with its review of an application, the FDA typically will inspect the facility or facilities where the product is or will be manufactured. These pre-approval inspections may cover all facilities associated with a BLA submission, including drug component manufacturing (e.g., active pharmaceutical ingredients), finished drug product manufacturing, and control testing laboratories. The FDA will not approve an application unless it determines that the manufacturing processes and facilities are in compliance with cGMP requirements and adequate to assure consistent production of the product within required specifications.</w:t>
      </w:r>
    </w:p>
    <w:p>
      <w:pPr>
        <w:spacing w:after="0" w:line="18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color w:val="auto"/>
        </w:rPr>
        <w:t>Moreover, the FDA will review a sponsor’s financial relationship with the principal investigators who conducted the clinical trials in support of the BLA. Depending on the level of that compensation and any other financial interest a principal investigator may have in a sponsor, the sponsor may be required to report these relationships to the FDA. The FDA will then evaluate that financial relationship and determine whether it creates a conflict of interest or otherwise affects the interpretation of the trial or the integrity of the data generated at the principal investigator’s clinical trial site. If so, the FDA may exclude data from the clinical trial site in connection with its determination of the approvability of the application for the investigational product.</w:t>
      </w:r>
    </w:p>
    <w:p>
      <w:pPr>
        <w:spacing w:after="0" w:line="18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Additionally, before approving a BLA, the FDA will typically inspect one or more clinical sites to assure compliance with GCP and the integrity of the clinical data submitted to the FDA. With the passage of FDORA, Congress clarified the FDA’s authority to conduct inspections by expressly permitting inspection of facilities involved in the preparation, conduct, or analysis of clinical and non-clinical studies submitted to the FDA as well as other persons holding study records or involved in the study process.</w:t>
      </w:r>
    </w:p>
    <w:p>
      <w:pPr>
        <w:spacing w:after="0" w:line="18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9"/>
          <w:szCs w:val="19"/>
          <w:color w:val="auto"/>
        </w:rPr>
        <w:t>In addition, as a condition of approval, the FDA may require a sponsor to develop a REMS. REMS use risk minimization strategies beyond the professional labeling to ensure that the benefits of the product outweigh the potential risks. To determine whether a REMS is needed, the FDA will consider the size of the population likely to use the product, seriousness of the disease, expected benefit of the product, expected duration of treatment, seriousness of known or potential AEs, and whether the product is a new molecular entity. Under FDARA, the FDA must implement a protocol to expedite review of responses to inspection reports pertaining to certain applications, including applications for products in shortage or those for which approval is dependent on remediation of conditions identified in the inspection report.</w:t>
      </w:r>
    </w:p>
    <w:p>
      <w:pPr>
        <w:spacing w:after="0" w:line="19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The FDA may refer an application for a novel product to an advisory committee or explain why such referral was not made.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The FDA’s Decision on a BLA</w:t>
      </w:r>
    </w:p>
    <w:p>
      <w:pPr>
        <w:spacing w:after="0" w:line="22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color w:val="auto"/>
        </w:rPr>
        <w:t>The FDA reviews an application to determine, among other things, whether the product is safe and whether it is effective for its intended use(s), with the latter determination being made on the basis of substantial evidence. The term “substantial evidence” is defined under the FDCA as “evidence consisting of adequate and well-controlled investigations, including clinical investigations, by experts qualified by scientific training and experience to evaluate the effectiveness of the product involved, on the basis of which it could fairly and responsibly be concluded by such experts that the product will have the effect it purports or is represented to have under the conditions of use prescribed, recommended, or suggested in the labeling or proposed labeling thereof.” The FDA has interpreted this evidentiary standard to require at least two adequate and well-controlled clinical investigations to establish effectiveness of a new product. Under certain circumstances, however, the FDA has indicated that a single trial with certain characteristics and additional information may satisfy this standard. In December 2019, the FDA issued draft guidance further explaining the studies that are needed to establish substantial evidence of effectiveness. Although the FDA has not yet finalized that</w:t>
      </w:r>
    </w:p>
    <w:p>
      <w:pPr>
        <w:sectPr>
          <w:pgSz w:w="12240" w:h="15840" w:orient="portrait"/>
          <w:cols w:equalWidth="0" w:num="1">
            <w:col w:w="10200"/>
          </w:cols>
          <w:pgMar w:left="1020" w:top="1317" w:right="1020" w:bottom="574" w:gutter="0" w:footer="0" w:header="0"/>
        </w:sect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24</w:t>
      </w:r>
    </w:p>
    <w:p>
      <w:pPr>
        <w:sectPr>
          <w:pgSz w:w="12240" w:h="15840" w:orient="portrait"/>
          <w:cols w:equalWidth="0" w:num="1">
            <w:col w:w="10200"/>
          </w:cols>
          <w:pgMar w:left="1020" w:top="1317" w:right="1020" w:bottom="574" w:gutter="0" w:footer="0" w:header="0"/>
          <w:type w:val="continuous"/>
        </w:sectPr>
      </w:pPr>
    </w:p>
    <w:bookmarkStart w:id="27" w:name="page28"/>
    <w:bookmarkEnd w:id="27"/>
    <w:p>
      <w:pPr>
        <w:jc w:val="both"/>
        <w:spacing w:after="0" w:line="275" w:lineRule="auto"/>
        <w:rPr>
          <w:sz w:val="20"/>
          <w:szCs w:val="20"/>
          <w:color w:val="auto"/>
        </w:rPr>
      </w:pPr>
      <w:r>
        <w:rPr>
          <w:rFonts w:ascii="Times New Roman" w:cs="Times New Roman" w:eastAsia="Times New Roman" w:hAnsi="Times New Roman"/>
          <w:sz w:val="19"/>
          <w:szCs w:val="19"/>
          <w:color w:val="auto"/>
        </w:rPr>
        <w:t>guidance, it did issue additional draft guidance in September 2023 that outlines considerations for relying on confirmatory evidence in lieu of a second clinical study.</w:t>
      </w:r>
    </w:p>
    <w:p>
      <w:pPr>
        <w:spacing w:after="0" w:line="16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After evaluating the application and all related information, including the advisory committee recommendations, if any, and inspection reports of manufacturing facilities and clinical trial sites, the FDA will issue either an approval letter or a Complete Response Letter, or CRL. To issue an approval letter, the FDA must determine that the drug is effective and that its expected benefits outweigh its potential risks to patients. This “benefit-risk” assessment is informed by the extensive body of evidence about the product’s safety and efficacy in the BLA. This assessment is also informed by other factors, including: the severity of the underlying condition and how well patients’ medical needs are addressed by currently available therapies; uncertainty about how the premarket clinical trial evidence will extrapolate to real-world use of the product in the post-market setting; and whether risk management tools are necessary to manage specific risks.</w:t>
      </w:r>
    </w:p>
    <w:p>
      <w:pPr>
        <w:spacing w:after="0" w:line="19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A CRL indicates that the review cycle of the application is complete, and the application will not be approved in its present form. A CRL generally outlines the deficiencies in the submission and may require substantial additional testing or information in order for the FDA to reconsider the application. The CRL may require additional clinical or other data, additional pivotal Phase 3 clinical trial(s) and/or other significant and time-consuming requirements related to clinical trials, preclinical studies or manufacturing. If a CRL is issued, the sponsor will have one year to respond to the deficiencies identified by the FDA, at which time the FDA can deem the application withdrawn or, in its discretion, grant the sponsor an additional six -month extension to respond. The FDA has committed to reviewing resubmissions in response to an issued CRL in either two or six months depending on the type of information included. Even with the submission of this additional information, however, the FDA ultimately may decide that the application does not satisfy the regulatory criteria for approval. The FDA has taken the position that a CRL is not final agency action making the determination subject to judicial review. For those seeking to challenge a CRL decision, the FDA has indicated that sponsors may request a formal hearing on the CRL or they may file a request for reconsideration or a request for a formal dispute resolution. While CRLs were previously treated by the FDA as confidential and were only disclosed in action packages for approved products, the FDA announced in September 2025 that it will now release CRLs promptly after they are issued to sponsors. Since that announcement, the FDA has posted a number of CRLs on its website.</w:t>
      </w:r>
    </w:p>
    <w:p>
      <w:pPr>
        <w:spacing w:after="0" w:line="19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An approval letter, on the other hand, authorizes commercial marketing of the product with specific prescribing information for specific indications described in the FDA-approved labeling. Depending on the specific risk(s) to be addressed, the FDA may require that contraindications, warnings or precautions be included in the product labeling, require that post-approval trials, including Phase 4 clinical trials, be conducted to further assess a product’s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trials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19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9"/>
          <w:szCs w:val="19"/>
          <w:color w:val="auto"/>
        </w:rPr>
        <w:t>Under the Ensuring Innovation Act, which was signed into law in April 2021, the FDA must publish action packages summarizing its decisions to approve new drugs and biologics within 30 days of approval of such products.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Expedited Review Programs</w:t>
      </w:r>
    </w:p>
    <w:p>
      <w:pPr>
        <w:spacing w:after="0" w:line="22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The FDA is authorized to designate certain products for expedited review if they are intended to address an unmet medical need in the treatment of a serious or life-threatening disease or condition. These programs include fast track designation, Breakthrough Therapy designation and priority review designation. None of these expedited programs changes the standards for approval but they may help expedite the development or approval process governing product candidates.</w:t>
      </w:r>
    </w:p>
    <w:p>
      <w:pPr>
        <w:spacing w:after="0" w:line="18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Specifically, the FDA may designate a product for Fast Track review if it is intended, whether alone or in combination with one or more other products, for the treatment of a serious or life-threatening disease or condition, and it demonstrates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However, the FDA’s time period goal for reviewing a Fast Track application does not begin until the last section of the application is submitted. In addition, the Fast Track designation may be withdrawn by the FDA if the FDA believes that the designation is no longer supported by data emerging in the clinical trial process.</w:t>
      </w:r>
    </w:p>
    <w:p>
      <w:pPr>
        <w:spacing w:after="0" w:line="19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9"/>
          <w:szCs w:val="19"/>
          <w:color w:val="auto"/>
        </w:rPr>
        <w:t>Second, a product may be designated as a Breakthrough Therapy if it is intended, either alone or in combination with one or more other products, to treat a serious or life-threatening disease or condition and preliminary clinical evidence indicates that the product</w:t>
      </w:r>
    </w:p>
    <w:p>
      <w:pPr>
        <w:sectPr>
          <w:pgSz w:w="12240" w:h="15840" w:orient="portrait"/>
          <w:cols w:equalWidth="0" w:num="1">
            <w:col w:w="10200"/>
          </w:cols>
          <w:pgMar w:left="1020" w:top="1317" w:right="1020" w:bottom="574" w:gutter="0" w:footer="0" w:header="0"/>
        </w:sect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25</w:t>
      </w:r>
    </w:p>
    <w:p>
      <w:pPr>
        <w:sectPr>
          <w:pgSz w:w="12240" w:h="15840" w:orient="portrait"/>
          <w:cols w:equalWidth="0" w:num="1">
            <w:col w:w="10200"/>
          </w:cols>
          <w:pgMar w:left="1020" w:top="1317" w:right="1020" w:bottom="574" w:gutter="0" w:footer="0" w:header="0"/>
          <w:type w:val="continuous"/>
        </w:sectPr>
      </w:pPr>
    </w:p>
    <w:bookmarkStart w:id="28" w:name="page29"/>
    <w:bookmarkEnd w:id="28"/>
    <w:p>
      <w:pPr>
        <w:jc w:val="both"/>
        <w:spacing w:after="0" w:line="247" w:lineRule="auto"/>
        <w:rPr>
          <w:sz w:val="20"/>
          <w:szCs w:val="20"/>
          <w:color w:val="auto"/>
        </w:rPr>
      </w:pPr>
      <w:r>
        <w:rPr>
          <w:rFonts w:ascii="Times New Roman" w:cs="Times New Roman" w:eastAsia="Times New Roman" w:hAnsi="Times New Roman"/>
          <w:sz w:val="19"/>
          <w:szCs w:val="19"/>
          <w:color w:val="auto"/>
        </w:rPr>
        <w:t>may demonstrate substantial improvement over existing therapies on one or more clinically significant endpoints, such as substantial treatment effects observed early in clinical development.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help the sponsor design the clinical trials in an efficient manner.</w:t>
      </w:r>
    </w:p>
    <w:p>
      <w:pPr>
        <w:spacing w:after="0" w:line="18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Third, the FDA may designate a product for priority review if it is a product that treats a serious condition and, if approved, would provide a significant improvement in safety or effectiveness. The FDA determines, on a case-by-case basis, whether the proposed product represents a significant improvement when compared with other available therapies. Significant improvement may be illustrated by evidence of increased effectiveness in the treatment of a condition, elimination or substantial reduction of a treatment-limiting product reaction, documented enhancement of patient compliance that may lead to improvement in serious outcomes, and evidence of safety and effectiveness in a new subpopulation. A priority designation is intended to direct overall attention and resources to the evaluation of such applications, and to shorten the FDA’s goal for taking action on a marketing application from ten months to six months.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Accelerated Approval Pathway</w:t>
      </w:r>
    </w:p>
    <w:p>
      <w:pPr>
        <w:spacing w:after="0" w:line="22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9"/>
          <w:szCs w:val="19"/>
          <w:color w:val="auto"/>
        </w:rPr>
        <w:t>The FDA may grant accelerated approval to a product for a serious or life-threatening condition that provides meaningful therapeutic advantage to patients over existing treatments based upon a determination that the product has an effect on a surrogate endpoint that is reasonably likely to predict clinical benefit. The FDA may also grant accelerated approval for such a condition when the product has an effect on an intermediate clinical endpoint that can be measured earlier than an effect on irreversible morbidity or mortality, or IMM, and that is reasonably likely to predict an effect on irreversible morbidity or mortality or other clinical benefit, taking into account the severity, rarity or prevalence of the condition and the availability or lack of alternative treatments. Products granted accelerated approval must meet the same statutory standards for safety and effectiveness as those granted traditional approval.</w:t>
      </w:r>
    </w:p>
    <w:p>
      <w:pPr>
        <w:spacing w:after="0" w:line="19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For the purposes of accelerated approval, a surrogate endpoint is a marker, such as a laboratory measurement, radiographic image, physical sign or other measure that is thought to predict clinical benefit, but is not itself a measure of clinical benefit. Surrogate endpoints can often be measured more easily or more rapidly than clinical endpoints. An intermediate clinical endpoint is a measurement of a therapeutic effect that is considered reasonably likely to predict the clinical benefit of a drug, such as an effect on IMM. The FDA has limited experience with accelerated approvals based on intermediate clinical endpoints but has indicated that such endpoints generally may support accelerated approval where the therapeutic effect measured by the endpoint is not itself a clinical benefit and basis for traditional approval, if there is a basis for concluding that the therapeutic effect is reasonably likely to predict the ultimate clinical benefit of a product.</w:t>
      </w:r>
    </w:p>
    <w:p>
      <w:pPr>
        <w:spacing w:after="0" w:line="19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The accelerated approval pathway is most often used in settings in which the course of a disease is long, and an extended period of time is required to measure the intended clinical benefit of a product, even if the effect on the surrogate or intermediate clinical endpoint occurs rapidly. Thus, accelerated approval has been used extensively in the development and approval of products for treatment of a variety of cancers in which the goal of therapy is generally to improve survival or decrease morbidity and the duration of the typical disease course requires lengthy and sometimes large trials to demonstrate a clinical or survival benefit. Thus, the benefit of accelerated approval derives from the potential to receive approval based on surrogate endpoints sooner than possible for trials with clinical or survival endpoints, rather than deriving from any explicit shortening of the FDA approval timeline, as is the case with priority review.</w:t>
      </w:r>
    </w:p>
    <w:p>
      <w:pPr>
        <w:spacing w:after="0" w:line="19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color w:val="auto"/>
        </w:rPr>
        <w:t>The accelerated approval pathway is usually contingent on a sponsor’s agreement to conduct, in a diligent manner, additional post-approval confirmatory studies to verify and describe the product’s clinical benefit. As a result, a product candidate approved on this basis is subject to rigorous post-marketing compliance requirements, including the completion of phase 4 or post-approval trials to confirm the effect on the clinical endpoint. Failure to conduct required post-approval studies, or confirm a clinical benefit during post-marketing studies, would allow the FDA to initiate expedited proceedings to withdraw approval of the product. All promotional materials for product candidates approved under accelerated regulations are subject to prior review by the FDA.</w:t>
      </w:r>
    </w:p>
    <w:p>
      <w:pPr>
        <w:spacing w:after="0" w:line="18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With the passage of FDORA, Congress modified certain provisions governing accelerated approval of drug and biologic products. Specifically, the new legislation authorized the FDA to require a sponsor to have its confirmatory clinical trial underway before accelerated approval is awarded, and to submit progress reports on its post-approval studies to the FDA every six months until the study is completed. Moreover, FDORA established expedited procedures authorizing the FDA to withdraw an accelerated approval if certain conditions are met, including where a required confirmatory trial fails to verify and describe the predicted clinical benefit or where evidence demonstrates the product is not shown to be safe or effective under the conditions of use. The FDA may also use such procedures to withdraw an accelerated approval if a sponsor fails to conduct any required post-approval study of the product with due diligence, including with respect to “conditions specified by the Secretary.” The new procedures include the provision of due notice</w:t>
      </w:r>
    </w:p>
    <w:p>
      <w:pPr>
        <w:sectPr>
          <w:pgSz w:w="12240" w:h="15840" w:orient="portrait"/>
          <w:cols w:equalWidth="0" w:num="1">
            <w:col w:w="10200"/>
          </w:cols>
          <w:pgMar w:left="1020" w:top="1317" w:right="1020" w:bottom="574" w:gutter="0" w:footer="0" w:header="0"/>
        </w:sect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26</w:t>
      </w:r>
    </w:p>
    <w:p>
      <w:pPr>
        <w:sectPr>
          <w:pgSz w:w="12240" w:h="15840" w:orient="portrait"/>
          <w:cols w:equalWidth="0" w:num="1">
            <w:col w:w="10200"/>
          </w:cols>
          <w:pgMar w:left="1020" w:top="1317" w:right="1020" w:bottom="574" w:gutter="0" w:footer="0" w:header="0"/>
          <w:type w:val="continuous"/>
        </w:sectPr>
      </w:pPr>
    </w:p>
    <w:bookmarkStart w:id="29" w:name="page30"/>
    <w:bookmarkEnd w:id="29"/>
    <w:p>
      <w:pPr>
        <w:jc w:val="both"/>
        <w:spacing w:after="0" w:line="275" w:lineRule="auto"/>
        <w:rPr>
          <w:sz w:val="20"/>
          <w:szCs w:val="20"/>
          <w:color w:val="auto"/>
        </w:rPr>
      </w:pPr>
      <w:r>
        <w:rPr>
          <w:rFonts w:ascii="Times New Roman" w:cs="Times New Roman" w:eastAsia="Times New Roman" w:hAnsi="Times New Roman"/>
          <w:sz w:val="19"/>
          <w:szCs w:val="19"/>
          <w:color w:val="auto"/>
        </w:rPr>
        <w:t>and an explanation for a proposed withdrawal, and opportunities for a meeting with the FDA Commissioner or the FDA Commissioner’s designee and a written appeal, among other things.</w:t>
      </w:r>
    </w:p>
    <w:p>
      <w:pPr>
        <w:spacing w:after="0" w:line="16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March 2023, the FDA issued draft guidance that outlines its current thinking and approach to accelerated approval. The agency indicated that the accelerated approval pathway is commonly used for approval of oncology drugs due to the serious and life-threatening nature of cancer. Although single-arm trials have been commonly used to support accelerated approval, a randomized controlled trial is the preferred approach as it provides a more robust efficacy and safety assessment and allows for direct comparisons to an available therapy. To that end, the FDA outlined considerations for designing, conducting, and analyzing data for trials intended to support accelerated approvals of oncology therapeutics. Subsequently, in December 2024 and January 2025, the FDA issued additional draft guidance relating to accelerated approval. This guidance describe the FDA’s views on what it means to conduct a confirmatory trial with due diligence and how the agency plans to interpret whether such a study needs to be underway at the time of approval. While this guidance is currently only in draft form and will ultimately not be legally binding even when finalized, sponsors typically observe the FDA’s guidance closely to ensure that their investigational products qualify for accelerated approval.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Post-Approval Regulation</w:t>
      </w:r>
    </w:p>
    <w:p>
      <w:pPr>
        <w:spacing w:after="0" w:line="22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color w:val="auto"/>
        </w:rPr>
        <w:t>Drugs and biologics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user fee requirements for any marketed products and the establishments at which such products are manufactured, as well as new application fees for supplemental applications with clinical data.</w:t>
      </w:r>
    </w:p>
    <w:p>
      <w:pPr>
        <w:spacing w:after="0" w:line="18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9"/>
          <w:szCs w:val="19"/>
          <w:color w:val="auto"/>
        </w:rPr>
        <w:t>In addition, manufacturers and other entities involved in the manufacture and distribution of approved products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9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AEs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87" w:lineRule="exact"/>
        <w:rPr>
          <w:sz w:val="20"/>
          <w:szCs w:val="20"/>
          <w:color w:val="auto"/>
        </w:rPr>
      </w:pPr>
    </w:p>
    <w:p>
      <w:pPr>
        <w:ind w:left="920" w:hanging="458"/>
        <w:spacing w:after="0" w:line="274" w:lineRule="auto"/>
        <w:tabs>
          <w:tab w:leader="none" w:pos="920" w:val="left"/>
        </w:tabs>
        <w:numPr>
          <w:ilvl w:val="0"/>
          <w:numId w:val="20"/>
        </w:numPr>
        <w:rPr>
          <w:rFonts w:ascii="Arial" w:cs="Arial" w:eastAsia="Arial" w:hAnsi="Arial"/>
          <w:sz w:val="19"/>
          <w:szCs w:val="19"/>
          <w:color w:val="auto"/>
        </w:rPr>
      </w:pPr>
      <w:r>
        <w:rPr>
          <w:rFonts w:ascii="Times New Roman" w:cs="Times New Roman" w:eastAsia="Times New Roman" w:hAnsi="Times New Roman"/>
          <w:sz w:val="19"/>
          <w:szCs w:val="19"/>
          <w:color w:val="auto"/>
        </w:rPr>
        <w:t>restrictions on the marketing or manufacturing of the product, suspension of the approval, or complete withdrawal of the product from the market or product recalls;</w:t>
      </w:r>
    </w:p>
    <w:p>
      <w:pPr>
        <w:spacing w:after="0" w:line="61" w:lineRule="exact"/>
        <w:rPr>
          <w:rFonts w:ascii="Arial" w:cs="Arial" w:eastAsia="Arial" w:hAnsi="Arial"/>
          <w:sz w:val="19"/>
          <w:szCs w:val="19"/>
          <w:color w:val="auto"/>
        </w:rPr>
      </w:pPr>
    </w:p>
    <w:p>
      <w:pPr>
        <w:ind w:left="920" w:hanging="458"/>
        <w:spacing w:after="0"/>
        <w:tabs>
          <w:tab w:leader="none" w:pos="920" w:val="left"/>
        </w:tabs>
        <w:numPr>
          <w:ilvl w:val="0"/>
          <w:numId w:val="20"/>
        </w:numPr>
        <w:rPr>
          <w:rFonts w:ascii="Arial" w:cs="Arial" w:eastAsia="Arial" w:hAnsi="Arial"/>
          <w:sz w:val="19"/>
          <w:szCs w:val="19"/>
          <w:color w:val="auto"/>
        </w:rPr>
      </w:pPr>
      <w:r>
        <w:rPr>
          <w:rFonts w:ascii="Times New Roman" w:cs="Times New Roman" w:eastAsia="Times New Roman" w:hAnsi="Times New Roman"/>
          <w:sz w:val="19"/>
          <w:szCs w:val="19"/>
          <w:color w:val="auto"/>
        </w:rPr>
        <w:t>fines, warning letters or holds on post-approval clinical trials;</w:t>
      </w:r>
    </w:p>
    <w:p>
      <w:pPr>
        <w:spacing w:after="0" w:line="124"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20"/>
        </w:numPr>
        <w:rPr>
          <w:rFonts w:ascii="Arial" w:cs="Arial" w:eastAsia="Arial" w:hAnsi="Arial"/>
          <w:sz w:val="19"/>
          <w:szCs w:val="19"/>
          <w:color w:val="auto"/>
        </w:rPr>
      </w:pPr>
      <w:r>
        <w:rPr>
          <w:rFonts w:ascii="Times New Roman" w:cs="Times New Roman" w:eastAsia="Times New Roman" w:hAnsi="Times New Roman"/>
          <w:sz w:val="19"/>
          <w:szCs w:val="19"/>
          <w:color w:val="auto"/>
        </w:rPr>
        <w:t>refusal of the FDA to approve pending BLAs or supplements to approved BLAs, or suspension or revocation of product license approvals;</w:t>
      </w:r>
    </w:p>
    <w:p>
      <w:pPr>
        <w:spacing w:after="0" w:line="61" w:lineRule="exact"/>
        <w:rPr>
          <w:rFonts w:ascii="Arial" w:cs="Arial" w:eastAsia="Arial" w:hAnsi="Arial"/>
          <w:sz w:val="19"/>
          <w:szCs w:val="19"/>
          <w:color w:val="auto"/>
        </w:rPr>
      </w:pPr>
    </w:p>
    <w:p>
      <w:pPr>
        <w:ind w:left="920" w:hanging="458"/>
        <w:spacing w:after="0"/>
        <w:tabs>
          <w:tab w:leader="none" w:pos="920" w:val="left"/>
        </w:tabs>
        <w:numPr>
          <w:ilvl w:val="0"/>
          <w:numId w:val="20"/>
        </w:numPr>
        <w:rPr>
          <w:rFonts w:ascii="Arial" w:cs="Arial" w:eastAsia="Arial" w:hAnsi="Arial"/>
          <w:sz w:val="19"/>
          <w:szCs w:val="19"/>
          <w:color w:val="auto"/>
        </w:rPr>
      </w:pPr>
      <w:r>
        <w:rPr>
          <w:rFonts w:ascii="Times New Roman" w:cs="Times New Roman" w:eastAsia="Times New Roman" w:hAnsi="Times New Roman"/>
          <w:sz w:val="19"/>
          <w:szCs w:val="19"/>
          <w:color w:val="auto"/>
        </w:rPr>
        <w:t>product seizure or detention, or refusal to permit the import or export of products; or</w:t>
      </w:r>
    </w:p>
    <w:p>
      <w:pPr>
        <w:spacing w:after="0" w:line="124" w:lineRule="exact"/>
        <w:rPr>
          <w:rFonts w:ascii="Arial" w:cs="Arial" w:eastAsia="Arial" w:hAnsi="Arial"/>
          <w:sz w:val="19"/>
          <w:szCs w:val="19"/>
          <w:color w:val="auto"/>
        </w:rPr>
      </w:pPr>
    </w:p>
    <w:p>
      <w:pPr>
        <w:ind w:left="920" w:hanging="458"/>
        <w:spacing w:after="0"/>
        <w:tabs>
          <w:tab w:leader="none" w:pos="920" w:val="left"/>
        </w:tabs>
        <w:numPr>
          <w:ilvl w:val="0"/>
          <w:numId w:val="20"/>
        </w:numPr>
        <w:rPr>
          <w:rFonts w:ascii="Arial" w:cs="Arial" w:eastAsia="Arial" w:hAnsi="Arial"/>
          <w:sz w:val="19"/>
          <w:szCs w:val="19"/>
          <w:color w:val="auto"/>
        </w:rPr>
      </w:pPr>
      <w:r>
        <w:rPr>
          <w:rFonts w:ascii="Times New Roman" w:cs="Times New Roman" w:eastAsia="Times New Roman" w:hAnsi="Times New Roman"/>
          <w:sz w:val="19"/>
          <w:szCs w:val="19"/>
          <w:color w:val="auto"/>
        </w:rPr>
        <w:t>injunctions or the imposition of civil or criminal penalties.</w:t>
      </w:r>
    </w:p>
    <w:p>
      <w:pPr>
        <w:spacing w:after="0" w:line="22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The FDA strictly regulates marketing, labeling, advertising and promotion of products that are placed on the market. Products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 If a company is found to have promoted off-label uses, it may become subject to adverse public relations and administrative and judicial enforcement by the FDA, the Department of Justice, or the Office of the Inspector General of the Department of Health and Human Services, as well as state authorities. This could subject a company to a range of penalties that could have a significant commercial impact, including civil and criminal fines and agreements that materially restrict the manner in which a company promotes or distributes drug products. In September 2021, the FDA published final regulations that describe the types of evidence the FDA will consider in determining the intended use of a drug or biologic.</w:t>
      </w:r>
    </w:p>
    <w:p>
      <w:pPr>
        <w:sectPr>
          <w:pgSz w:w="12240" w:h="15840" w:orient="portrait"/>
          <w:cols w:equalWidth="0" w:num="1">
            <w:col w:w="10200"/>
          </w:cols>
          <w:pgMar w:left="1020" w:top="1317" w:right="102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27</w:t>
      </w:r>
    </w:p>
    <w:p>
      <w:pPr>
        <w:sectPr>
          <w:pgSz w:w="12240" w:h="15840" w:orient="portrait"/>
          <w:cols w:equalWidth="0" w:num="1">
            <w:col w:w="10200"/>
          </w:cols>
          <w:pgMar w:left="1020" w:top="1317" w:right="1020" w:bottom="574" w:gutter="0" w:footer="0" w:header="0"/>
          <w:type w:val="continuous"/>
        </w:sectPr>
      </w:pPr>
    </w:p>
    <w:bookmarkStart w:id="30" w:name="page31"/>
    <w:bookmarkEnd w:id="30"/>
    <w:p>
      <w:pPr>
        <w:jc w:val="both"/>
        <w:spacing w:after="0" w:line="244" w:lineRule="auto"/>
        <w:rPr>
          <w:sz w:val="20"/>
          <w:szCs w:val="20"/>
          <w:color w:val="auto"/>
        </w:rPr>
      </w:pPr>
      <w:r>
        <w:rPr>
          <w:rFonts w:ascii="Times New Roman" w:cs="Times New Roman" w:eastAsia="Times New Roman" w:hAnsi="Times New Roman"/>
          <w:sz w:val="19"/>
          <w:szCs w:val="19"/>
          <w:color w:val="auto"/>
        </w:rPr>
        <w:t>It may be permissible, under very specific, narrow conditions, for a manufacturer to engage in nonpromotional, non-misleading communication regarding off-label information, such as distributing scientific or medical journal information. Moreover, with the passage of the Pre-Approval Information Exchange Act in December 2022, sponsors of products that have not been approved may proactively communicate to payors certain information about products in development to help expedite patient access upon product approval. Previously, such communications were permitted under FDA guidance, but the new legislation explicitly provides protection to sponsors who convey certain information about products in development to payors, including unapproved uses of approved products.</w:t>
      </w:r>
    </w:p>
    <w:p>
      <w:pPr>
        <w:spacing w:after="0" w:line="19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color w:val="auto"/>
        </w:rPr>
        <w:t>In addition, in January 2025, the FDA published final guidance outlining its policies governing the distribution of scientific information to healthcare providers about unapproved uses of approved products. The final guidance calls for such communications to be truthful, non-misleading and scientifically sound and to include all information necessary for healthcare providers to interpret the strengths and weaknesses, validity and utility of the information about the unapproved use of the approved product. If a company engages in such communications as consistent with the guidance’s recommendations, the FDA indicated that it will not treat such communications as evidence of unlawful promotion of a new intended use for the approved product.</w:t>
      </w:r>
    </w:p>
    <w:p>
      <w:pPr>
        <w:spacing w:after="0" w:line="1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addition, the distribution of prescription pharmaceutical products is subject to a variety of federal and state laws. The Prescription Drug Marketing Act, or PDMA, was the first federal law to set minimum standards for the registration and regulation of drug distributors by the states and to regulate the distribution of drug samples. Both the PDMA and state laws limit the distribution of prescription pharmaceutical product samples and impose requirements to ensure accountability in distribution. In November 2013, the federal Drug Supply Chain Security Act, or DSCSA, became effective in the United States, mandating an industry-wide, electronic, interoperable system to trace prescription drugs through the pharmaceutical distribution supply chain with a ten-year phase-in process. Manufacturers were required by November 2023 to have such systems and processes in place, but in August 2023, the FDA granted certain exemptions from enhanced drug distribution security requirements for eligible trading partners for particular periods of time.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Biosimilars and Regulatory Exclusivity</w:t>
      </w:r>
    </w:p>
    <w:p>
      <w:pPr>
        <w:spacing w:after="0" w:line="22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9"/>
          <w:szCs w:val="19"/>
          <w:color w:val="auto"/>
        </w:rPr>
        <w:t>The 2010 Patient Protection and Affordable Care Act, or ACA, which was signed into law on March 23, 2010, included a subtitle called the Biologics Price Competition and Innovation Act of 2009, or BPCIA. The BPCIA established a regulatory scheme authorizing the FDA to approve biosimilars and interchangeable biosimilars. To date, the FDA has approved a number of biosimilar products and several interchangeable biosimilar products. The FDA has also issued numerous guidance documents outlining its approach to reviewing and licensing biosimilars and interchangeable biosimilars under the PHSA.</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color w:val="auto"/>
        </w:rPr>
        <w:t>Under the BPCIA, a manufacturer may submit an application for licensure of a biologic product that is “biosimilar to” or “interchangeable with” a previously approved biological product or “reference product.” In order for the FDA to license a biosimilar product, it must find that there are no clinically meaningful differences between the reference product and proposed biosimilar product in terms of safety, purity, and potency. For the FDA to license a biosimilar product as interchangeable with a reference product, the agency must find that the biosimilar product can be expected to produce the same clinical results as the reference product, and (for products administered multiple times) that the biologic and the reference biologic may be switched after one has been previously administered without increasing safety risks or risks of diminished efficacy relative to exclusive use of the reference biologic. In December 2022, Congress clarified through FDORA that the FDA may license multiple first interchangeable biosimilar biological products so long as the products are all approved on the first day on which such a product is approved as interchangeable with the reference product.</w:t>
      </w:r>
    </w:p>
    <w:p>
      <w:pPr>
        <w:spacing w:after="0" w:line="19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color w:val="auto"/>
        </w:rPr>
        <w:t>Under the BPCIA, an application for a biosimilar product may not be submitted to the FDA until four years following the date of approval of the reference product. The FDA may not license a biosimilar product until 12 years from the date on which the reference product was approved. Even if a product is considered to be a reference product eligible for exclusivity, another company could market a competing version of that product if the FDA approves a full BLA for such product containing the sponsor’s own preclinical data and data from adequate and well-controlled clinical trials to demonstrate the safety, purity and potency of their product. The BPCIA also created certain exclusivity periods for biosimilars approved as interchangeable products.</w:t>
      </w:r>
    </w:p>
    <w:p>
      <w:pPr>
        <w:spacing w:after="0" w:line="18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9"/>
          <w:szCs w:val="19"/>
          <w:color w:val="auto"/>
        </w:rPr>
        <w:t>The BPCIA also includes provisions to protect reference products that have patent protection. The biosimilar product sponsor and reference product sponsor may exchange certain patent and product information for the purpose of determining whether there should be a legal patent challenge. Based on the outcome of negotiations surrounding the exchanged information, the reference product sponsor may bring a patent infringement suit and injunction proceedings against the biosimilar product sponsor. The biosimilar applicant may also be able to bring an action for declaratory judgment concerning the patent.</w:t>
      </w:r>
    </w:p>
    <w:p>
      <w:pPr>
        <w:spacing w:after="0" w:line="189"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8"/>
          <w:szCs w:val="18"/>
          <w:color w:val="auto"/>
        </w:rPr>
        <w:t>The FDA maintains a publicly-available online database of licensed biological products, which is commonly referred to as the “Purple Book.” The Purple Book lists product names, dates of licensure, and applicable periods of exclusivity. Further, the reference product</w:t>
      </w:r>
    </w:p>
    <w:p>
      <w:pPr>
        <w:sectPr>
          <w:pgSz w:w="12240" w:h="15840" w:orient="portrait"/>
          <w:cols w:equalWidth="0" w:num="1">
            <w:col w:w="10200"/>
          </w:cols>
          <w:pgMar w:left="1020" w:top="1317" w:right="1020" w:bottom="574"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28</w:t>
      </w:r>
    </w:p>
    <w:p>
      <w:pPr>
        <w:sectPr>
          <w:pgSz w:w="12240" w:h="15840" w:orient="portrait"/>
          <w:cols w:equalWidth="0" w:num="1">
            <w:col w:w="10200"/>
          </w:cols>
          <w:pgMar w:left="1020" w:top="1317" w:right="1020" w:bottom="574" w:gutter="0" w:footer="0" w:header="0"/>
          <w:type w:val="continuous"/>
        </w:sectPr>
      </w:pPr>
    </w:p>
    <w:bookmarkStart w:id="31" w:name="page32"/>
    <w:bookmarkEnd w:id="31"/>
    <w:p>
      <w:pPr>
        <w:jc w:val="both"/>
        <w:spacing w:after="0" w:line="275" w:lineRule="auto"/>
        <w:rPr>
          <w:sz w:val="20"/>
          <w:szCs w:val="20"/>
          <w:color w:val="auto"/>
        </w:rPr>
      </w:pPr>
      <w:r>
        <w:rPr>
          <w:rFonts w:ascii="Times New Roman" w:cs="Times New Roman" w:eastAsia="Times New Roman" w:hAnsi="Times New Roman"/>
          <w:sz w:val="19"/>
          <w:szCs w:val="19"/>
          <w:color w:val="auto"/>
        </w:rPr>
        <w:t>sponsor must provide patent information and patent expiration dates to the FDA following the exchange of patent information between biosimilar and reference product sponsors. This information is then published in the Purple Book.</w:t>
      </w:r>
    </w:p>
    <w:p>
      <w:pPr>
        <w:spacing w:after="0" w:line="16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color w:val="auto"/>
        </w:rPr>
        <w:t>There have been recent government proposals to reduce the 12-year reference product exclusivity period, but none have been enacted to date. At the same time, since passage of the BPCIA, many states have passed laws or amendments to laws, which address pharmacy practices involving biosimilar products. Further, the FDA may revise the standards governing approval of biosimilars so as to bring such products to the market more quickly. For example, in October 2025, the FDA issued draft guidance which proposes to eliminate the need for sponsors of biosimilar products to conduct comparative human clinical efficacy studies, allowing them to rely instead on analytical testing to demonstrate product differences from a reference product.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Orphan Drug Designation and Exclusivity</w:t>
      </w:r>
    </w:p>
    <w:p>
      <w:pPr>
        <w:spacing w:after="0" w:line="22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Under the Orphan Drug Act, the FDA may designate a drug product as an “orphan drug” if it is intended to treat a rare disease or condition, generally meaning that it affects fewer than 200,000 individuals in the United States, or more in cases in which there is no reasonable expectation that the cost of developing and making a drug product available in the United States for treatment of the disease or condition will be recovered from sales of the product. A company must request orphan drug designation before submitting a BLA for the product candidate. If the request is granted, the FDA will disclose the identity of the therapeutic agent and its potential use. Orphan drug designation does not shorten the Prescription Drug User Fee Act, or PDUFA, goal dates for the regulatory review and approval process, although it does convey certain advantages such as tax benefits and exemption from the PDUFA application fee.</w:t>
      </w:r>
    </w:p>
    <w:p>
      <w:pPr>
        <w:spacing w:after="0" w:line="17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9"/>
          <w:szCs w:val="19"/>
          <w:color w:val="auto"/>
        </w:rPr>
        <w:t>If a product with orphan designation receives the first FDA approval for the disease or condition for which it has such designation or for a select indication or use within the rare disease or condition for which it was designated, the product generally will receive orphan drug exclusivity. Orphan drug exclusivity means that the FDA may not approve another sponsor’s marketing application for the same drug for the same indication for seven years, except in certain limited circumstances. Orphan exclusivity does not block the approval of a different product for the same rare disease or condition, nor does it block the approval of the same product for different indications. If a drug or biologic designated as an orphan drug ultimately receives marketing approval for an indication broader than what was designated in its orphan drug application, it may not be entitled to exclusivity.</w:t>
      </w:r>
    </w:p>
    <w:p>
      <w:pPr>
        <w:spacing w:after="0" w:line="19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9"/>
          <w:szCs w:val="19"/>
          <w:color w:val="auto"/>
        </w:rPr>
        <w:t>Orphan exclusivity will not bar approval of another product under certain circumstances, including if a company with orphan drug exclusivity is not able to meet market demand and in cases where a subsequent product with the same drug or biologic for the same indication is shown to be clinically superior to the approved product on the basis of greater efficacy or safety, or providing a major contribution to patient care. Under Omnibus legislation signed by President Trump on December 27, 2020, the requirement for a subsequent product to show clinical superiority in order to break the previous product’s orphan drug exclusivity applies to drugs and biologics that received orphan drug designation before enactment of FDARA in 2017 but have not yet been approved or licensed by FDA.</w:t>
      </w:r>
    </w:p>
    <w:p>
      <w:pPr>
        <w:spacing w:after="0" w:line="19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 xml:space="preserve">In September 2021, in </w:t>
      </w:r>
      <w:r>
        <w:rPr>
          <w:rFonts w:ascii="Times New Roman" w:cs="Times New Roman" w:eastAsia="Times New Roman" w:hAnsi="Times New Roman"/>
          <w:sz w:val="18"/>
          <w:szCs w:val="18"/>
          <w:i w:val="1"/>
          <w:iCs w:val="1"/>
          <w:color w:val="auto"/>
        </w:rPr>
        <w:t>Catalyst Pharms, Inc. v. Becerra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Catalyst</w:t>
      </w:r>
      <w:r>
        <w:rPr>
          <w:rFonts w:ascii="Times New Roman" w:cs="Times New Roman" w:eastAsia="Times New Roman" w:hAnsi="Times New Roman"/>
          <w:sz w:val="18"/>
          <w:szCs w:val="18"/>
          <w:color w:val="auto"/>
        </w:rPr>
        <w:t>, the Court of Appeals for the 11</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Circuit held that, for the purpose of determining the scope of orphan drug exclusivity, the term “same disease or condition” in the statute means the designated “rare disease or condition” and could not be interpreted by the FDA to mean the “indication or use.” Thus, the court concluded, orphan drug exclusivity applies to the entire designated disease or condition rather than the approved “indication or use.” Although there have been legislative proposals to overrule this decision, they have not been enacted into law. On January 23, 2023, the FDA announced that, in matters beyond the scope of the </w:t>
      </w:r>
      <w:r>
        <w:rPr>
          <w:rFonts w:ascii="Times New Roman" w:cs="Times New Roman" w:eastAsia="Times New Roman" w:hAnsi="Times New Roman"/>
          <w:sz w:val="18"/>
          <w:szCs w:val="18"/>
          <w:i w:val="1"/>
          <w:iCs w:val="1"/>
          <w:color w:val="auto"/>
        </w:rPr>
        <w:t>Catalyst</w:t>
      </w:r>
      <w:r>
        <w:rPr>
          <w:rFonts w:ascii="Times New Roman" w:cs="Times New Roman" w:eastAsia="Times New Roman" w:hAnsi="Times New Roman"/>
          <w:sz w:val="18"/>
          <w:szCs w:val="18"/>
          <w:color w:val="auto"/>
        </w:rPr>
        <w:t xml:space="preserve"> court order, the FDA will continue to apply its existing regulations tying orphan-drug exclusivity to the uses or indications for which the orphan drug is approved. More recently, however, on February 14, 2025, a federal district court in Washington, D.C., fully embraced the reasoning of the </w:t>
      </w:r>
      <w:r>
        <w:rPr>
          <w:rFonts w:ascii="Times New Roman" w:cs="Times New Roman" w:eastAsia="Times New Roman" w:hAnsi="Times New Roman"/>
          <w:sz w:val="18"/>
          <w:szCs w:val="18"/>
          <w:i w:val="1"/>
          <w:iCs w:val="1"/>
          <w:color w:val="auto"/>
        </w:rPr>
        <w:t>Catalyst</w:t>
      </w:r>
      <w:r>
        <w:rPr>
          <w:rFonts w:ascii="Times New Roman" w:cs="Times New Roman" w:eastAsia="Times New Roman" w:hAnsi="Times New Roman"/>
          <w:sz w:val="18"/>
          <w:szCs w:val="18"/>
          <w:color w:val="auto"/>
        </w:rPr>
        <w:t xml:space="preserve"> decision in another decision challenging the scope of orphan drug exclusivity. On April 17, 2025, the FDA appealed this decision to the U.S. Court of Appeals for the D.C. Circuit. The implications of this decision, and its impact on the FDA’s implementation of the Orphan Drug Act, are unclear at this point.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Pediatric Exclusivity</w:t>
      </w:r>
    </w:p>
    <w:p>
      <w:pPr>
        <w:spacing w:after="0" w:line="22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color w:val="auto"/>
        </w:rPr>
        <w:t>Pediatric exclusivity is another type of non-patent marketing exclusivity in the United States and, if granted, provides for the attachment of an additional six months of existing regulatory exclusivity. For drug products, the six-month exclusivity may be attached to the term of any existing patent or regulatory exclusivity. For biologic products, the six-month period may be attached to any existing regulatory exclusivities but not to any patent terms. This six-month exclusivity may be granted if a BLA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non-patent exclusivity for drugs and biologics, or patent protection that covers a drug product, are extended by six months. This is not a patent term extension, but it effectively extends the regulatory period during which the FDA cannot approve another application.</w:t>
      </w:r>
    </w:p>
    <w:p>
      <w:pPr>
        <w:sectPr>
          <w:pgSz w:w="12240" w:h="15840" w:orient="portrait"/>
          <w:cols w:equalWidth="0" w:num="1">
            <w:col w:w="10200"/>
          </w:cols>
          <w:pgMar w:left="1020" w:top="1317" w:right="1020" w:bottom="574" w:gutter="0" w:footer="0" w:header="0"/>
        </w:sect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29</w:t>
      </w:r>
    </w:p>
    <w:p>
      <w:pPr>
        <w:sectPr>
          <w:pgSz w:w="12240" w:h="15840" w:orient="portrait"/>
          <w:cols w:equalWidth="0" w:num="1">
            <w:col w:w="10200"/>
          </w:cols>
          <w:pgMar w:left="1020" w:top="1317" w:right="1020" w:bottom="574"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9"/>
          <w:szCs w:val="19"/>
          <w:b w:val="1"/>
          <w:bCs w:val="1"/>
          <w:i w:val="1"/>
          <w:iCs w:val="1"/>
          <w:color w:val="auto"/>
        </w:rPr>
        <w:t>Patent Term Restoration and Extension</w:t>
      </w:r>
    </w:p>
    <w:p>
      <w:pPr>
        <w:spacing w:after="0" w:line="22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A patent claiming a new drug product may be eligible for a limited patent term extension under the Hatch-Waxman Act, which permits a patent restoration of up to five years for patent term lost during product development and the FDA regulatory review. The restoration period granted on a patent covering a product is typically one-half the time between the effective date of the IND approval and the submission date of an application, plus the time between the submission date of an application and the ultimate approval date. Patent term restoration cannot be used to extend the remaining term of a patent past a total of 14 years from the product’s approval date. Only one patent applicable to an approved product is eligible for the extension, and the application for the extension must be submitted prior to the expiration of the patent in question. A patent that covers multiple products for which approval is sought can only be extended in connection with one of the approvals. The USPTO reviews and approves the application for any patent term extension or restoration in consultation with the FDA.</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Pharmaceutical Coverage, Pricing and Reimbursement</w:t>
      </w:r>
    </w:p>
    <w:p>
      <w:pPr>
        <w:spacing w:after="0" w:line="22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color w:val="auto"/>
        </w:rPr>
        <w:t>In the United States and markets in other countries, patients who are prescribed treatments for their conditions and providers performing the prescribed services generally rely on third-party payors to reimburse all or part of the associated healthcare costs. Significant uncertainty exists as to the coverage and reimbursement status of products approved by the FDA and other government authorities. Thus, even if a product candidate is approved, sales of the product will depend, in part, on the extent to which third-party payors, including government health programs in the United States such as Medicare and Medicaid, commercial health insurers and managed care organizations, provide coverage, and establish adequate reimbursement levels for, the product. The process for determining whether a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and reviewing the cost-effectiveness of medical products and services and imposing controls to manage costs. Third-party payors may limit coverage to specific products on an approved list, also known as a formulary, which might not include all of the approved products for a particular indication.</w:t>
      </w:r>
    </w:p>
    <w:p>
      <w:pPr>
        <w:spacing w:after="0" w:line="19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It is time consuming and expensive to seek coverage and reimbursement from third-party payors. In order to secure coverage and reimbursement for any product that might be approved for sale, a company may need to conduct expensive pharmacoeconomic studies in order to demonstrate the medical necessity and cost- effectiveness of the product, in addition to the costs required to obtain FDA or other comparable marketing approvals. Nonetheless, product candidates may not be considered medically necessary or cost effective. A decision by a third-party payor not to cover a product candidate could reduce physician utilization once the product is approved and have a material adverse effect on sales, results of operations and financial condition. Additionally, a payor’s decision to provide coverage for a product does not imply that an adequate reimbursement rate will be approved. Further, one payor’s determination to provide coverage for a drug product does not assure that other payors will also provide coverage and reimbursement for the product, and the level of coverage and reimbursement can differ significantly from payor to payor.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Healthcare Law and Regulation</w:t>
      </w:r>
    </w:p>
    <w:p>
      <w:pPr>
        <w:spacing w:after="0" w:line="22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9"/>
          <w:szCs w:val="19"/>
          <w:color w:val="auto"/>
        </w:rPr>
        <w:t>Healthcare providers and third-party payors play a primary role in the recommendation and prescription of pharmaceutical products that are granted marketing approval. Arrangements with providers, consultants, third-party payors and customers are subject to broadly applicable fraud and abuse, anti-kickback, false claims laws, reporting of payments to physicians and teaching physicians, patient privacy laws and regulations, and other healthcare laws and regulations that may constrain our business and/or financial arrangements.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Restrictions under applicable federal and state healthcare laws and regulations include the following:</w:t>
      </w:r>
    </w:p>
    <w:p>
      <w:pPr>
        <w:spacing w:after="0" w:line="126" w:lineRule="exact"/>
        <w:rPr>
          <w:sz w:val="20"/>
          <w:szCs w:val="20"/>
          <w:color w:val="auto"/>
        </w:rPr>
      </w:pPr>
    </w:p>
    <w:p>
      <w:pPr>
        <w:jc w:val="both"/>
        <w:ind w:left="920" w:hanging="458"/>
        <w:spacing w:after="0" w:line="269" w:lineRule="auto"/>
        <w:tabs>
          <w:tab w:leader="none" w:pos="920"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the U.S. federal Anti-Kickback Statute, which prohibits, among other things, persons and entities from knowingly and willfully soliciting, offering, paying, receiving or providing remuneration, directly or indirectly, in cash or in kind, to induce or reward either the referral of an individual for, or the purchase, order or recommendation of, any good or service, for which payment may be made, in whole or in part, under a federal healthcare program such as Medicare and Medicaid;</w:t>
      </w:r>
    </w:p>
    <w:p>
      <w:pPr>
        <w:spacing w:after="0" w:line="66" w:lineRule="exact"/>
        <w:rPr>
          <w:rFonts w:ascii="Arial" w:cs="Arial" w:eastAsia="Arial" w:hAnsi="Arial"/>
          <w:sz w:val="18"/>
          <w:szCs w:val="18"/>
          <w:color w:val="auto"/>
        </w:rPr>
      </w:pPr>
    </w:p>
    <w:p>
      <w:pPr>
        <w:jc w:val="both"/>
        <w:ind w:left="920" w:hanging="458"/>
        <w:spacing w:after="0" w:line="247" w:lineRule="auto"/>
        <w:tabs>
          <w:tab w:leader="none" w:pos="920" w:val="left"/>
        </w:tabs>
        <w:numPr>
          <w:ilvl w:val="0"/>
          <w:numId w:val="21"/>
        </w:numPr>
        <w:rPr>
          <w:rFonts w:ascii="Arial" w:cs="Arial" w:eastAsia="Arial" w:hAnsi="Arial"/>
          <w:sz w:val="19"/>
          <w:szCs w:val="19"/>
          <w:color w:val="auto"/>
        </w:rPr>
      </w:pPr>
      <w:r>
        <w:rPr>
          <w:rFonts w:ascii="Times New Roman" w:cs="Times New Roman" w:eastAsia="Times New Roman" w:hAnsi="Times New Roman"/>
          <w:sz w:val="19"/>
          <w:szCs w:val="19"/>
          <w:color w:val="auto"/>
        </w:rPr>
        <w:t>the federal civil and criminal false claims laws, including the civil False Claims Act, and civil monetary penalties laws, which prohibit individuals or entities from, among other things, knowingly presenting, or causing to be presented, to the federal government, claims for payment that are false, fictitious or fraudulent or knowingly making, using or causing to made or used a false record or statement to avoid, decrease or conceal an obligation to pay money to the federal government;</w:t>
      </w:r>
    </w:p>
    <w:p>
      <w:pPr>
        <w:spacing w:after="0" w:line="87" w:lineRule="exact"/>
        <w:rPr>
          <w:rFonts w:ascii="Arial" w:cs="Arial" w:eastAsia="Arial" w:hAnsi="Arial"/>
          <w:sz w:val="19"/>
          <w:szCs w:val="19"/>
          <w:color w:val="auto"/>
        </w:rPr>
      </w:pPr>
    </w:p>
    <w:p>
      <w:pPr>
        <w:jc w:val="both"/>
        <w:ind w:left="920" w:hanging="458"/>
        <w:spacing w:after="0" w:line="256" w:lineRule="auto"/>
        <w:tabs>
          <w:tab w:leader="none" w:pos="920" w:val="left"/>
        </w:tabs>
        <w:numPr>
          <w:ilvl w:val="0"/>
          <w:numId w:val="21"/>
        </w:numPr>
        <w:rPr>
          <w:rFonts w:ascii="Arial" w:cs="Arial" w:eastAsia="Arial" w:hAnsi="Arial"/>
          <w:sz w:val="19"/>
          <w:szCs w:val="19"/>
          <w:color w:val="auto"/>
        </w:rPr>
      </w:pPr>
      <w:r>
        <w:rPr>
          <w:rFonts w:ascii="Times New Roman" w:cs="Times New Roman" w:eastAsia="Times New Roman" w:hAnsi="Times New Roman"/>
          <w:sz w:val="19"/>
          <w:szCs w:val="19"/>
          <w:color w:val="auto"/>
        </w:rPr>
        <w:t>the federal civil monetary penalty and false statement laws and regulations relating to pricing and submission of pricing information for government programs, including penalties for knowingly and intentionally overcharging 340b eligible entities and the submission of false or fraudulent pricing information to government entities;</w:t>
      </w:r>
    </w:p>
    <w:p>
      <w:pPr>
        <w:sectPr>
          <w:pgSz w:w="12240" w:h="15840" w:orient="portrait"/>
          <w:cols w:equalWidth="0" w:num="1">
            <w:col w:w="10200"/>
          </w:cols>
          <w:pgMar w:left="1020" w:top="1319" w:right="1020" w:bottom="574" w:gutter="0" w:footer="0" w:header="0"/>
        </w:sect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30</w:t>
      </w:r>
    </w:p>
    <w:p>
      <w:pPr>
        <w:sectPr>
          <w:pgSz w:w="12240" w:h="15840" w:orient="portrait"/>
          <w:cols w:equalWidth="0" w:num="1">
            <w:col w:w="10200"/>
          </w:cols>
          <w:pgMar w:left="1020" w:top="1319" w:right="1020" w:bottom="574" w:gutter="0" w:footer="0" w:header="0"/>
          <w:type w:val="continuous"/>
        </w:sectPr>
      </w:pPr>
    </w:p>
    <w:bookmarkStart w:id="33" w:name="page34"/>
    <w:bookmarkEnd w:id="33"/>
    <w:p>
      <w:pPr>
        <w:jc w:val="both"/>
        <w:ind w:left="920" w:hanging="458"/>
        <w:spacing w:after="0" w:line="256" w:lineRule="auto"/>
        <w:tabs>
          <w:tab w:leader="none" w:pos="920" w:val="left"/>
        </w:tabs>
        <w:numPr>
          <w:ilvl w:val="0"/>
          <w:numId w:val="22"/>
        </w:numPr>
        <w:rPr>
          <w:rFonts w:ascii="Arial" w:cs="Arial" w:eastAsia="Arial" w:hAnsi="Arial"/>
          <w:sz w:val="19"/>
          <w:szCs w:val="19"/>
          <w:color w:val="auto"/>
        </w:rPr>
      </w:pPr>
      <w:r>
        <w:rPr>
          <w:rFonts w:ascii="Times New Roman" w:cs="Times New Roman" w:eastAsia="Times New Roman" w:hAnsi="Times New Roman"/>
          <w:sz w:val="19"/>
          <w:szCs w:val="19"/>
          <w:color w:val="auto"/>
        </w:rPr>
        <w:t>the federal Health Insurance Portability and Accountability Act of 1996, or HIPAA, which created additional federal criminal laws that prohibit, among other things, knowingly and willfully executing, or attempting to execute, a scheme to defraud any healthcare benefit program or making false statements relating to healthcare matters;</w:t>
      </w:r>
    </w:p>
    <w:p>
      <w:pPr>
        <w:spacing w:after="0" w:line="78" w:lineRule="exact"/>
        <w:rPr>
          <w:rFonts w:ascii="Arial" w:cs="Arial" w:eastAsia="Arial" w:hAnsi="Arial"/>
          <w:sz w:val="19"/>
          <w:szCs w:val="19"/>
          <w:color w:val="auto"/>
        </w:rPr>
      </w:pPr>
    </w:p>
    <w:p>
      <w:pPr>
        <w:jc w:val="both"/>
        <w:ind w:left="920" w:hanging="458"/>
        <w:spacing w:after="0" w:line="250" w:lineRule="auto"/>
        <w:tabs>
          <w:tab w:leader="none" w:pos="920" w:val="left"/>
        </w:tabs>
        <w:numPr>
          <w:ilvl w:val="0"/>
          <w:numId w:val="22"/>
        </w:numPr>
        <w:rPr>
          <w:rFonts w:ascii="Arial" w:cs="Arial" w:eastAsia="Arial" w:hAnsi="Arial"/>
          <w:sz w:val="19"/>
          <w:szCs w:val="19"/>
          <w:color w:val="auto"/>
        </w:rPr>
      </w:pPr>
      <w:r>
        <w:rPr>
          <w:rFonts w:ascii="Times New Roman" w:cs="Times New Roman" w:eastAsia="Times New Roman" w:hAnsi="Times New Roman"/>
          <w:sz w:val="19"/>
          <w:szCs w:val="19"/>
          <w:color w:val="auto"/>
        </w:rPr>
        <w:t>HIPAA, as amended by the Health Information Technology for Economic and Clinical Health Act, and their respective implementing regulations, including the Final Omnibus Rule published in January 2013, which impose obligations, including mandatory contractual terms, with respect to safeguarding the privacy, security, and transmission of individually identifiable health information;</w:t>
      </w:r>
    </w:p>
    <w:p>
      <w:pPr>
        <w:spacing w:after="0" w:line="84" w:lineRule="exact"/>
        <w:rPr>
          <w:rFonts w:ascii="Arial" w:cs="Arial" w:eastAsia="Arial" w:hAnsi="Arial"/>
          <w:sz w:val="19"/>
          <w:szCs w:val="19"/>
          <w:color w:val="auto"/>
        </w:rPr>
      </w:pPr>
    </w:p>
    <w:p>
      <w:pPr>
        <w:jc w:val="both"/>
        <w:ind w:left="920" w:hanging="458"/>
        <w:spacing w:after="0" w:line="256" w:lineRule="auto"/>
        <w:tabs>
          <w:tab w:leader="none" w:pos="920" w:val="left"/>
        </w:tabs>
        <w:numPr>
          <w:ilvl w:val="0"/>
          <w:numId w:val="22"/>
        </w:numPr>
        <w:rPr>
          <w:rFonts w:ascii="Arial" w:cs="Arial" w:eastAsia="Arial" w:hAnsi="Arial"/>
          <w:sz w:val="19"/>
          <w:szCs w:val="19"/>
          <w:color w:val="auto"/>
        </w:rPr>
      </w:pPr>
      <w:r>
        <w:rPr>
          <w:rFonts w:ascii="Times New Roman" w:cs="Times New Roman" w:eastAsia="Times New Roman" w:hAnsi="Times New Roman"/>
          <w:sz w:val="19"/>
          <w:szCs w:val="19"/>
          <w:color w:val="auto"/>
        </w:rPr>
        <w:t>the federal false statements statute, which prohibits knowingly and willfully falsifying, concealing or covering up a material fact or making any materially false statement in connection with the delivery of or payment for health care benefits, items or services;</w:t>
      </w:r>
    </w:p>
    <w:p>
      <w:pPr>
        <w:spacing w:after="0" w:line="78" w:lineRule="exact"/>
        <w:rPr>
          <w:rFonts w:ascii="Arial" w:cs="Arial" w:eastAsia="Arial" w:hAnsi="Arial"/>
          <w:sz w:val="19"/>
          <w:szCs w:val="19"/>
          <w:color w:val="auto"/>
        </w:rPr>
      </w:pPr>
    </w:p>
    <w:p>
      <w:pPr>
        <w:jc w:val="both"/>
        <w:ind w:left="920" w:hanging="458"/>
        <w:spacing w:after="0" w:line="256" w:lineRule="auto"/>
        <w:tabs>
          <w:tab w:leader="none" w:pos="920" w:val="left"/>
        </w:tabs>
        <w:numPr>
          <w:ilvl w:val="0"/>
          <w:numId w:val="22"/>
        </w:numPr>
        <w:rPr>
          <w:rFonts w:ascii="Arial" w:cs="Arial" w:eastAsia="Arial" w:hAnsi="Arial"/>
          <w:sz w:val="19"/>
          <w:szCs w:val="19"/>
          <w:color w:val="auto"/>
        </w:rPr>
      </w:pPr>
      <w:r>
        <w:rPr>
          <w:rFonts w:ascii="Times New Roman" w:cs="Times New Roman" w:eastAsia="Times New Roman" w:hAnsi="Times New Roman"/>
          <w:sz w:val="19"/>
          <w:szCs w:val="19"/>
          <w:color w:val="auto"/>
        </w:rPr>
        <w:t>the Foreign Corrupt Practices Act, which prohibits companies and their intermediaries from making, or offering or promising to make, improper payments to non-U.S. officials for the purpose of obtaining or retaining business or otherwise seeking favorable treatment;</w:t>
      </w:r>
    </w:p>
    <w:p>
      <w:pPr>
        <w:spacing w:after="0" w:line="78" w:lineRule="exact"/>
        <w:rPr>
          <w:rFonts w:ascii="Arial" w:cs="Arial" w:eastAsia="Arial" w:hAnsi="Arial"/>
          <w:sz w:val="19"/>
          <w:szCs w:val="19"/>
          <w:color w:val="auto"/>
        </w:rPr>
      </w:pPr>
    </w:p>
    <w:p>
      <w:pPr>
        <w:jc w:val="both"/>
        <w:ind w:left="920" w:hanging="458"/>
        <w:spacing w:after="0" w:line="245" w:lineRule="auto"/>
        <w:tabs>
          <w:tab w:leader="none" w:pos="920" w:val="left"/>
        </w:tabs>
        <w:numPr>
          <w:ilvl w:val="0"/>
          <w:numId w:val="22"/>
        </w:numPr>
        <w:rPr>
          <w:rFonts w:ascii="Arial" w:cs="Arial" w:eastAsia="Arial" w:hAnsi="Arial"/>
          <w:sz w:val="19"/>
          <w:szCs w:val="19"/>
          <w:color w:val="auto"/>
        </w:rPr>
      </w:pPr>
      <w:r>
        <w:rPr>
          <w:rFonts w:ascii="Times New Roman" w:cs="Times New Roman" w:eastAsia="Times New Roman" w:hAnsi="Times New Roman"/>
          <w:sz w:val="19"/>
          <w:szCs w:val="19"/>
          <w:color w:val="auto"/>
        </w:rPr>
        <w:t>the federal transparency requirements known as the federal Physician Payments Sunshine Act, under the Patient Protection and Affordable Care Act, or PPACA, as amended by the Health Care Education Reconciliation Act, which requires certain manufacturers of drugs, devices, biologics and medical supplies to report annually to the Centers for Medicare &amp; Medicaid Services, or CMS, within HHS, information related to payments and other transfers of value made by that entity to physicians, other healthcare providers and teaching hospitals, as well as ownership and investment interests held by physicians and their immediate family members; and</w:t>
      </w:r>
    </w:p>
    <w:p>
      <w:pPr>
        <w:spacing w:after="0" w:line="92" w:lineRule="exact"/>
        <w:rPr>
          <w:rFonts w:ascii="Arial" w:cs="Arial" w:eastAsia="Arial" w:hAnsi="Arial"/>
          <w:sz w:val="19"/>
          <w:szCs w:val="19"/>
          <w:color w:val="auto"/>
        </w:rPr>
      </w:pPr>
    </w:p>
    <w:p>
      <w:pPr>
        <w:ind w:left="920" w:hanging="458"/>
        <w:spacing w:after="0" w:line="304" w:lineRule="auto"/>
        <w:tabs>
          <w:tab w:leader="none" w:pos="920" w:val="left"/>
        </w:tabs>
        <w:numPr>
          <w:ilvl w:val="0"/>
          <w:numId w:val="22"/>
        </w:numPr>
        <w:rPr>
          <w:rFonts w:ascii="Arial" w:cs="Arial" w:eastAsia="Arial" w:hAnsi="Arial"/>
          <w:sz w:val="19"/>
          <w:szCs w:val="19"/>
          <w:color w:val="auto"/>
        </w:rPr>
      </w:pPr>
      <w:r>
        <w:rPr>
          <w:rFonts w:ascii="Times New Roman" w:cs="Times New Roman" w:eastAsia="Times New Roman" w:hAnsi="Times New Roman"/>
          <w:sz w:val="19"/>
          <w:szCs w:val="19"/>
          <w:color w:val="auto"/>
        </w:rPr>
        <w:t>analogous state and foreign laws and regulations, such as state anti</w:t>
      </w:r>
      <w:r>
        <w:rPr>
          <w:rFonts w:ascii="Arial" w:cs="Arial" w:eastAsia="Arial" w:hAnsi="Arial"/>
          <w:sz w:val="19"/>
          <w:szCs w:val="19"/>
          <w:color w:val="auto"/>
        </w:rPr>
        <w:t>̻</w:t>
      </w:r>
      <w:r>
        <w:rPr>
          <w:rFonts w:ascii="Times New Roman" w:cs="Times New Roman" w:eastAsia="Times New Roman" w:hAnsi="Times New Roman"/>
          <w:sz w:val="19"/>
          <w:szCs w:val="19"/>
          <w:color w:val="auto"/>
        </w:rPr>
        <w:t>kickback and false claims laws, which may apply to healthcare items or services that are reimbursed by non</w:t>
      </w:r>
      <w:r>
        <w:rPr>
          <w:rFonts w:ascii="Arial" w:cs="Arial" w:eastAsia="Arial" w:hAnsi="Arial"/>
          <w:sz w:val="19"/>
          <w:szCs w:val="19"/>
          <w:color w:val="auto"/>
        </w:rPr>
        <w:t>̻</w:t>
      </w:r>
      <w:r>
        <w:rPr>
          <w:rFonts w:ascii="Times New Roman" w:cs="Times New Roman" w:eastAsia="Times New Roman" w:hAnsi="Times New Roman"/>
          <w:sz w:val="19"/>
          <w:szCs w:val="19"/>
          <w:color w:val="auto"/>
        </w:rPr>
        <w:t>governmental third</w:t>
      </w:r>
      <w:r>
        <w:rPr>
          <w:rFonts w:ascii="Arial" w:cs="Arial" w:eastAsia="Arial" w:hAnsi="Arial"/>
          <w:sz w:val="19"/>
          <w:szCs w:val="19"/>
          <w:color w:val="auto"/>
        </w:rPr>
        <w:t>̻</w:t>
      </w:r>
      <w:r>
        <w:rPr>
          <w:rFonts w:ascii="Times New Roman" w:cs="Times New Roman" w:eastAsia="Times New Roman" w:hAnsi="Times New Roman"/>
          <w:sz w:val="19"/>
          <w:szCs w:val="19"/>
          <w:color w:val="auto"/>
        </w:rPr>
        <w:t>party payors, including private insurers.</w:t>
      </w:r>
    </w:p>
    <w:p>
      <w:pPr>
        <w:spacing w:after="0" w:line="14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9"/>
          <w:szCs w:val="19"/>
          <w:color w:val="auto"/>
        </w:rPr>
        <w:t>Some state laws require pharmaceutical companies to comply with the pharmaceutical industry’s voluntary compliance guidelines and the relevant compliance guidance promulgated by the federal government in addition to requiring pharmaceutical manufacturers to report information related to payments to physicians and other healthcare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18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9"/>
          <w:szCs w:val="19"/>
          <w:color w:val="auto"/>
        </w:rPr>
        <w:t>Similar healthcare laws and regulations exist in the EU and other jurisdictions, including reporting requirements detailing interactions with and payments to healthcare providers and laws governing the privacy and security of personal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Healthcare Reform in the United States and Potential Changes to Healthcare Laws</w:t>
      </w:r>
    </w:p>
    <w:p>
      <w:pPr>
        <w:spacing w:after="0" w:line="11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color w:val="auto"/>
        </w:rPr>
        <w:t>A primary trend in the U.S. healthcare industry and elsewhere is cost containment. There have been a number of federal and state proposals during the last few years regarding the pricing of pharmaceutical and biopharmaceutical products, limiting coverage and reimbursement for drugs and other medical products, government control, and other changes to the healthcare system in the United States. By way of example, the United States and state governments continue to propose and pass legislation designed to reduce the cost of healthcare. In March 2010, the United States Congress enacted the PPACA, which, among other things, includes changes to the coverage and payment for products under government health care programs.</w:t>
      </w:r>
    </w:p>
    <w:p>
      <w:pPr>
        <w:spacing w:after="0" w:line="18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color w:val="auto"/>
        </w:rPr>
        <w:t>In addition, other legislative changes have been proposed and adopted since the PPACA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These changes included aggregate reductions to Medicare payments to providers of up to 2% per fiscal year, which went into effect in April 2013 and will remain in effect through 2031 under the Coronavirus Aid, Relief, and Economic Security Act, or the CARES Act.</w:t>
      </w:r>
    </w:p>
    <w:p>
      <w:pPr>
        <w:spacing w:after="0" w:line="18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9"/>
          <w:szCs w:val="19"/>
          <w:color w:val="auto"/>
        </w:rPr>
        <w:t>The American Taxpayer Relief Act of 2012,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and otherwise affect the prices we may obtain for any drug product candidates for which we may obtain regulatory approval or the frequency with which any such product candidate is prescribed or used.</w:t>
      </w:r>
    </w:p>
    <w:p>
      <w:pPr>
        <w:spacing w:after="0" w:line="18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Since enactment of the PPACA, there have been, and continue to be, numerous legal challenges and Congressional actions to repeal and replace provisions of the law. For example, with enactment of the Tax Cuts and Jobs Act of 2017, or the TCJA, Congress repealed the “individual mandate.” The repeal of this provision, which required most Americans to carry a minimal level of health insurance,</w:t>
      </w:r>
    </w:p>
    <w:p>
      <w:pPr>
        <w:sectPr>
          <w:pgSz w:w="12240" w:h="15840" w:orient="portrait"/>
          <w:cols w:equalWidth="0" w:num="1">
            <w:col w:w="10200"/>
          </w:cols>
          <w:pgMar w:left="1020" w:top="1330" w:right="1020" w:bottom="574" w:gutter="0" w:footer="0" w:header="0"/>
        </w:sect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31</w:t>
      </w:r>
    </w:p>
    <w:p>
      <w:pPr>
        <w:sectPr>
          <w:pgSz w:w="12240" w:h="15840" w:orient="portrait"/>
          <w:cols w:equalWidth="0" w:num="1">
            <w:col w:w="10200"/>
          </w:cols>
          <w:pgMar w:left="1020" w:top="1330" w:right="1020" w:bottom="574" w:gutter="0" w:footer="0" w:header="0"/>
          <w:type w:val="continuous"/>
        </w:sectPr>
      </w:pPr>
    </w:p>
    <w:bookmarkStart w:id="34" w:name="page35"/>
    <w:bookmarkEnd w:id="34"/>
    <w:p>
      <w:pPr>
        <w:jc w:val="both"/>
        <w:spacing w:after="0" w:line="257" w:lineRule="auto"/>
        <w:rPr>
          <w:sz w:val="20"/>
          <w:szCs w:val="20"/>
          <w:color w:val="auto"/>
        </w:rPr>
      </w:pPr>
      <w:r>
        <w:rPr>
          <w:rFonts w:ascii="Times New Roman" w:cs="Times New Roman" w:eastAsia="Times New Roman" w:hAnsi="Times New Roman"/>
          <w:sz w:val="19"/>
          <w:szCs w:val="19"/>
          <w:color w:val="auto"/>
        </w:rPr>
        <w:t>became effective in 2019. On June 17, 2021, the U.S. Supreme Court dismissed the most recent judicial challenge to the PPACA brought by several states without specifically ruling on the constitutionality of the PPACA. Litigation and legislation over the PPACA are likely to continue, with unpredictable and uncertain results.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Pharmaceutical Price Initiatives</w:t>
      </w:r>
    </w:p>
    <w:p>
      <w:pPr>
        <w:spacing w:after="0" w:line="22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color w:val="auto"/>
        </w:rPr>
        <w:t>There has been heightened governmental scrutiny in recent years over the manner in which manufacturers set prices for their marketed products, which has resulted in proposed and enacted federal and state legislation designed to, among other things, bring more transparency to product pricing and reform government program reimbursement methodologies for pharmaceutical and biologic products. For example, in October 2020, HHS and the FDA published a final rule allowing states and other entities to develop a Section 804 Importation Program, or SIP, to import certain prescription drugs from Canada into the United States. That regulation was challenged in a lawsuit by the Pharmaceutical Research and Manufacturers of America, or PhRMA, but the case was dismissed by a federal district court in February 2023 after the court found that PhRMA did not have standing to sue HHS. A number of states have submitted Section 804 Importation Program proposals to the FDA with the goal of obtaining authority to import drugs from Canada, subject to conditions. On May 21, 2025, the FDA announced that it would offer individual states the opportunity to submit a draft proposal for pre-review and meet with the FDA to obtain its initial feedback prior to formally submitting SIP proposals. The intent of these meetings is to assist states in developing their proposals by further clarifying requirements, enhancing the quality of proposals submitted to the FDA and ultimately shortening the review timeline.</w:t>
      </w:r>
    </w:p>
    <w:p>
      <w:pPr>
        <w:spacing w:after="0" w:line="19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9"/>
          <w:szCs w:val="19"/>
          <w:color w:val="auto"/>
        </w:rPr>
        <w:t>On August 16, 2022, the Inflation Reduction Act of 2022, or the IRA, was signed into law. The new legislation has implications for Medicare Part D, which is a program available to individuals who are entitled to Medicare Part A or enrolled in Medicare Part B, to give them the option of paying a monthly premium for outpatient prescription drug coverage.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HHS to implement many of these provisions through guidance, as opposed to regulation, for the initial years.</w:t>
      </w:r>
    </w:p>
    <w:p>
      <w:pPr>
        <w:spacing w:after="0" w:line="19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Specifically, with respect to price negotiations, Congress authorized Medicare to negotiate lower prices for certain costly single-source drug and biologic products that do not have competing generics or biosimilars and are reimbursed under Medicare Part B and Part D. CMS may negotiate prices for ten high-cost drugs paid for by Medicare Part D starting in 2026, followed by 15 Part D drugs in 2027, 15 Part B or Part D drugs in 2028, and 20 Part B or Part D drugs in 2029 and beyond. This provision applies to drug products that have been approved for at least 9 years and biologics that have been licensed for 13 years. Drugs and biologics that have been approved for a single rare disease or condition were originally categorically excluded from price negotiation but, with passage of the One Big Beautiful Bill Act, or OBBBA, on July 3, 2025, Congress extended this exemption to drugs and biologics with multiple orphan drug designations.</w:t>
      </w:r>
    </w:p>
    <w:p>
      <w:pPr>
        <w:spacing w:after="0" w:line="19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9"/>
          <w:szCs w:val="19"/>
          <w:color w:val="auto"/>
        </w:rPr>
        <w:t>Further, the legislation subjects drug manufacturers to civil monetary penalties and a potential excise tax for failing to comply with the legislation by offering a price that is not equal to or less than the negotiated “maximum fair price” under the law or for taking price increases that exceed inflation. The legislation also requires manufacturers to pay rebates for drugs in Medicare Part D whose price increases exceed inflation. The new law also caps Medicare out-of-pocket drug costs at an estimated $4,000 a year in 2024 and, thereafter beginning in 2025, at $2,000 a year.</w:t>
      </w:r>
    </w:p>
    <w:p>
      <w:pPr>
        <w:spacing w:after="0" w:line="18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9"/>
          <w:szCs w:val="19"/>
          <w:color w:val="auto"/>
        </w:rPr>
        <w:t>The first cycle of negotiations for the Medicare Drug Price Negotiation Program commenced in the summer of 2023 with the negotiated prices for ten selected drug products becoming effective on January 1, 2026. The second cycle of negotiations with participating drug companies occurred during 2025, and the negotiated prices for this second set of 15 drugs will become effective on January 1, 2027. On January 27, 2026, CMS published the list of 15 drugs selected for the third cycle of negotiations. These negotiated prices will become effective on January 1, 2028.</w:t>
      </w:r>
    </w:p>
    <w:p>
      <w:pPr>
        <w:spacing w:after="0" w:line="18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On June 6, 2023, Merck &amp; Co. filed a lawsuit against the HHS and CMS asserting that, among other things, the IRA’s Drug Price Negotiation Program for Medicare constitutes an uncompensated taking in violation of the Fifth Amendment of the Constitution. Subsequently, a number of other parties, including the U.S. Chamber of Commerce, Bristol Myers Squibb Company, the Pharmaceutical Research and Manufacturers of America, or PhRMA, Astellas, Novo Nordisk, Janssen Pharmaceuticals, Novartis, AstraZeneca and Boehringer Ingelheim, also filed lawsuits in various courts with similar constitutional claims against the HHS and CMS. HHS has generally won the substantive disputes in these cases or succeeded in getting claims dismissed for lack of standing or on the merits. For example, on May 8, 2025, the U.S. Court of Appeals for the Third Circuit rejected AstraZeneca L.P.’s challenge to the Medicare price negotiation program, finding that the program did not violate the company’s due process rights under the Constitution. Litigation involving these and other provisions of the IRA will continue with unpredictable and uncertain results.</w:t>
      </w:r>
    </w:p>
    <w:p>
      <w:pPr>
        <w:sectPr>
          <w:pgSz w:w="12240" w:h="15840" w:orient="portrait"/>
          <w:cols w:equalWidth="0" w:num="1">
            <w:col w:w="10200"/>
          </w:cols>
          <w:pgMar w:left="1020" w:top="1317" w:right="102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32</w:t>
      </w:r>
    </w:p>
    <w:p>
      <w:pPr>
        <w:sectPr>
          <w:pgSz w:w="12240" w:h="15840" w:orient="portrait"/>
          <w:cols w:equalWidth="0" w:num="1">
            <w:col w:w="10200"/>
          </w:cols>
          <w:pgMar w:left="1020" w:top="1317" w:right="1020" w:bottom="574" w:gutter="0" w:footer="0" w:header="0"/>
          <w:type w:val="continuous"/>
        </w:sectPr>
      </w:pPr>
    </w:p>
    <w:bookmarkStart w:id="35" w:name="page36"/>
    <w:bookmarkEnd w:id="35"/>
    <w:p>
      <w:pPr>
        <w:jc w:val="both"/>
        <w:spacing w:after="0" w:line="242" w:lineRule="auto"/>
        <w:rPr>
          <w:sz w:val="20"/>
          <w:szCs w:val="20"/>
          <w:color w:val="auto"/>
        </w:rPr>
      </w:pPr>
      <w:r>
        <w:rPr>
          <w:rFonts w:ascii="Times New Roman" w:cs="Times New Roman" w:eastAsia="Times New Roman" w:hAnsi="Times New Roman"/>
          <w:sz w:val="19"/>
          <w:szCs w:val="19"/>
          <w:color w:val="auto"/>
        </w:rPr>
        <w:t>Since adoption of the IRA, the current administration has taken a number of actions to reduce the costs of pharmaceutical products. For example, an April 2025 executive order directed HHS to take steps to reduce the prices of pharmaceutical products, and a May 2025 executive order called on pharmaceutical manufacturers to voluntarily reduce the prices of medicines in the United States. The May 2025 executive order provides that if such actions do not lower the costs of pharmaceuticals, the Secretary of HHS would pursue other actions, including proposing a rulemaking that imposes most favored nation, or MFN, pricing in the United States. Thereafter, on July 31, 2025, 17 pharmaceutical companies were issued letters reiterating the requirements of the May 2025 executive order and demanding that such companies extend MFN pricing to Medicaid patients. Virtually all of these pharmaceutical companies have entered into agreements with the administration to provide for lower prices on certain pharmaceuticals. On February 5, 2026, the administration launched a website that directs individuals to pharmaceutical manufacturer websites that are offering price discounts based on the administration’s pricing agreements with pharmaceutical manufacturers.</w:t>
      </w:r>
    </w:p>
    <w:p>
      <w:pPr>
        <w:spacing w:after="0" w:line="19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Separately, on December 23, 2025, CMS, through its Center for Medicare and Medicaid Innovation, or CMMI, proposed two five-year pilot programs to implement a “reference pricing” regime for drugs paid for under Medicare for 25% of covered beneficiaries. The programs are referred to as the Global Benchmark for Efficient Drug Pricing Model for Medicare Part B drugs, or GLOBE, and the Guarding U.S. Medicare Against Rising Drug Costs for Medicare Part D drugs, or GUARD. Under the proposed pilot programs, a manufacturer would owe rebates to Medicare if prices for its drugs exceeded the prices paid by other economically comparable reference countries, defined in the proposed regulations as Organisation for Economic Co-Operation and Development countries with a gross domestic product, or GDP, of $400 billion and a per capita GDP that is at least 60% of the U.S. per capita GDP (an initial list of 19 reference countries is included in the proposed rule). These pilot programs are proposed to go into effect beginning October 1, 2026.</w:t>
      </w:r>
    </w:p>
    <w:p>
      <w:pPr>
        <w:spacing w:after="0" w:line="19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color w:val="auto"/>
        </w:rPr>
        <w:t>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 This may be increasingly true with respect to products approved pursuant to the accelerated approval pathway. State Medicaid programs and other payers are developing strategies and implementing significant coverage barriers, or refusing to cover these products outright, arguing that accelerated approval drugs have insufficient or limited evidence despite meeting the FDA’s standards for accelerated approval.</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Data Privacy Regulation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U.S. Privacy Law</w:t>
      </w:r>
    </w:p>
    <w:p>
      <w:pPr>
        <w:spacing w:after="0" w:line="22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There are multiple privacy and data security laws that may impact our business activities in the United States and in other countries where we may conduct trials or do business in the future. These laws are evolving and may increase both our obligations and our regulatory risks in the future. In the health care industry generally, for example, under HIPAA, the U.S. Department of Health and Human Services has issued regulations to protect the privacy and security of protected health information used or disclosed by specific covered entities including certain healthcare providers, health plans and healthcare clearinghouses. HIPAA also imposes certain obligations on the business associates of covered entities that obtain protected health information in the course of providing services to or on behalf of covered entities. HIPAA may apply to us in certain circumstances and may also apply to our business partners in ways that may impact our relationships with them. Our clinical trials are regulated by the Federal Policy for the Protection of Human Subjects, also known as the Common Rule, which also includes specific privacy-related provisions. In addition to federal privacy regulations, there are a number of state laws governing confidentiality and security of health information that may be applicable to our business. In addition to possible federal civil and criminal penalties for HIPAA violations, state attorneys general are authorized to file civil actions for damages or injunctions in federal courts to enforce HIPAA and seek attorney’s fees and costs associated with pursuing federal civil actions. In addition, state attorneys general (along with private plaintiffs) have brought civil actions seeking injunctions and damages resulting from alleged violations of HIPAA’s privacy and security rules. State attorneys general also have authority to enforce state privacy and security laws. Moreover, new laws and regulations governing privacy and security may be adopted in the future as well.</w:t>
      </w:r>
    </w:p>
    <w:p>
      <w:pPr>
        <w:spacing w:after="0" w:line="19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There have been several developments in recent years with respect to U.S. state data privacy laws. In 2018, California passed into law the California Consumer Privacy Act, or the CCPA, which took effect on January 1, 2020 and imposed many requirements on businesses that process the personal information of California residents. Many of the CCPA’s requirements are similar to those found in the General Data Protection Regulation, or the GDPR, including requiring businesses to provide notice to data subjects regarding</w:t>
      </w:r>
    </w:p>
    <w:p>
      <w:pPr>
        <w:sectPr>
          <w:pgSz w:w="12240" w:h="15840" w:orient="portrait"/>
          <w:cols w:equalWidth="0" w:num="1">
            <w:col w:w="10200"/>
          </w:cols>
          <w:pgMar w:left="1020" w:top="1317" w:right="1020" w:bottom="574" w:gutter="0" w:footer="0" w:header="0"/>
        </w:sect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33</w:t>
      </w:r>
    </w:p>
    <w:p>
      <w:pPr>
        <w:sectPr>
          <w:pgSz w:w="12240" w:h="15840" w:orient="portrait"/>
          <w:cols w:equalWidth="0" w:num="1">
            <w:col w:w="10200"/>
          </w:cols>
          <w:pgMar w:left="1020" w:top="1317" w:right="1020" w:bottom="574" w:gutter="0" w:footer="0" w:header="0"/>
          <w:type w:val="continuous"/>
        </w:sectPr>
      </w:pPr>
    </w:p>
    <w:bookmarkStart w:id="36" w:name="page37"/>
    <w:bookmarkEnd w:id="36"/>
    <w:p>
      <w:pPr>
        <w:jc w:val="both"/>
        <w:spacing w:after="0" w:line="243" w:lineRule="auto"/>
        <w:rPr>
          <w:sz w:val="20"/>
          <w:szCs w:val="20"/>
          <w:color w:val="auto"/>
        </w:rPr>
      </w:pPr>
      <w:r>
        <w:rPr>
          <w:rFonts w:ascii="Times New Roman" w:cs="Times New Roman" w:eastAsia="Times New Roman" w:hAnsi="Times New Roman"/>
          <w:sz w:val="19"/>
          <w:szCs w:val="19"/>
          <w:color w:val="auto"/>
        </w:rPr>
        <w:t>the information collected about them and how such information is used and shared, and providing data subjects the right to request access to such personal information and, in certain cases, request the erasure of such personal information. The CCPA also affords California residents the right to opt-out of “sales” of their personal information. The CCPA contains significant penalties for companies that violate its requirements. In addition, the California Privacy Rights Act, or the CPRA, went into effect on January 1, 2023 and significantly expanded the CCPA to incorporate additional GDPR-like provisions including requiring that the use, retention, and sharing of personal information of California residents be reasonably necessary and proportionate to the purposes of collection or processing, granting additional protections for sensitive personal information, and requiring greater disclosures related to notice to residents regarding retention of information. The CPRA also created the California Privacy Protection Agency, a new enforcement agency whose sole responsibility is to enforce the CPRA, which will further increase compliance risk.</w:t>
      </w:r>
    </w:p>
    <w:p>
      <w:pPr>
        <w:spacing w:after="0" w:line="19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color w:val="auto"/>
        </w:rPr>
        <w:t>In addition to California, a number of other states have passed comprehensive privacy laws similar to the CCPA and CPRA. These laws are either in effect or will go into effect sometime before the end of 2026, with other states likely to consider or pass similar laws in the future. Like the CCPA and CPRA, these laws create obligations related to the processing of personal information, as well as special obligations for the processing of “sensitive” data, which includes health data in some cases. Some of the provisions of these laws may apply to our business activities. Congress has also been debating passing a federal privacy law. There are also states that are specifically regulating health information that may affect our business. For example, the State of Washington passed the My Health My Data Act in 2023 which specifically regulated health information that is not otherwise regulated by the HIPAA rules, and the law also has a private right of action, which further increases the relevant compliance risk. Connecticut and Nevada have also passed similar laws regulating consumer health data, and more states are considering such legislation. These laws may impact our business activities, including our identification of research subjects, relationships with business partners and ultimately the marketing and distribution of our products.</w:t>
      </w:r>
    </w:p>
    <w:p>
      <w:pPr>
        <w:spacing w:after="0" w:line="19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9"/>
          <w:szCs w:val="19"/>
          <w:color w:val="auto"/>
        </w:rPr>
        <w:t>Plaintiffs’ lawyers are also increasingly using privacy-related statutes at both the state and federal level to bring lawsuits against companies for their data-related practices. In particular, there have been a significant number of cases filed against companies for their use of pixels and other web trackers. These cases often allege violations of the California Invasion of Privacy Act and other state laws regulating wiretapping, as well as the federal Video Privacy Protection Act. The rise in these types of lawsuits creates potential risk for our business.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General data protection regulation</w:t>
      </w:r>
    </w:p>
    <w:p>
      <w:pPr>
        <w:spacing w:after="0" w:line="22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Many countries outside of the United States maintain rigorous laws governing the privacy and security of personal information. The collection, use, disclosure, transfer or other processing of personal data, including personal health data, regarding individuals who are located in the European Economic Area, or EEA, and the processing of personal data that takes place in the EEA, is subject to the GDPR, which became effective on May 25, 2018. The GDPR is wide-ranging in scope and imposes numerous requirements on companies that process personal data, and it imposes heightened requirements on companies that process health and other sensitive data, such as requiring in many situations that a company obtain the consent of the individuals to whom the sensitive personal data relate before processing such data. Examples of obligations imposed by the GDPR on companies processing personal data that fall within the scope of the GDPR include providing information to individuals regarding data processing activities, implementing safeguards to protect the security and confidentiality of personal data, appointing a data protection officer, providing notification of data breaches and taking certain measures when engaging third-party processors. The GDPR also imposes strict rules on the transfer of personal data to countries outside the EEA,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Compliance with the GDPR is a rigorous and time-intensive process that may increase the cost of doing business or require companies to change their business practices to ensure full compliance.</w:t>
      </w:r>
    </w:p>
    <w:p>
      <w:pPr>
        <w:spacing w:after="0" w:line="19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color w:val="auto"/>
        </w:rPr>
        <w:t xml:space="preserve">In July 2020, the Court of Justice of the European Union, or the CJEU, invalidated the EU-U.S. Privacy Shield framework, one of the mechanisms used to legitimize the transfer of personal data from the EEA to the United States. The CJEU decision also drew into question the long-term viability of an alternative means of data transfer, the standard contractual clauses, for transfers of personal data from the EEA to the United States. Following the July 2020 Court of Justice of the EU judgment invalidating the so-called EU-U.S. Privacy Shield, the EC adopted an adequacy decision for the EU-U.S. Data Privacy Framework in July 2023. This adequacy decision permits U.S. companies who self-certify under the EU-U.S. Data Privacy Framework to rely on it as a valid data transfer mechanism for data transfers from the EU to the United States. However, some privacy advocacy groups have already suggested that they will be challenging the EU-U.S. Data Privacy Framework, and there is currently one pending litigation against the EU-U.S. Data Privacy Framework before the Court of Justice of the EU (CJEU), C-703/25 P - </w:t>
      </w:r>
      <w:r>
        <w:rPr>
          <w:rFonts w:ascii="Times New Roman" w:cs="Times New Roman" w:eastAsia="Times New Roman" w:hAnsi="Times New Roman"/>
          <w:sz w:val="19"/>
          <w:szCs w:val="19"/>
          <w:i w:val="1"/>
          <w:iCs w:val="1"/>
          <w:color w:val="auto"/>
        </w:rPr>
        <w:t>Latombe v Commission</w:t>
      </w:r>
      <w:r>
        <w:rPr>
          <w:rFonts w:ascii="Times New Roman" w:cs="Times New Roman" w:eastAsia="Times New Roman" w:hAnsi="Times New Roman"/>
          <w:sz w:val="19"/>
          <w:szCs w:val="19"/>
          <w:color w:val="auto"/>
        </w:rPr>
        <w:t>. If these challenges are successful, they may not only impact the EU-U.S. Data Privacy framework, but also further limit the viability of the so-called standard contractual clauses and other data transfer mechanisms.</w:t>
      </w:r>
    </w:p>
    <w:p>
      <w:pPr>
        <w:sectPr>
          <w:pgSz w:w="12240" w:h="15840" w:orient="portrait"/>
          <w:cols w:equalWidth="0" w:num="1">
            <w:col w:w="10200"/>
          </w:cols>
          <w:pgMar w:left="1020" w:top="1317" w:right="1020" w:bottom="574"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34</w:t>
      </w:r>
    </w:p>
    <w:p>
      <w:pPr>
        <w:sectPr>
          <w:pgSz w:w="12240" w:h="15840" w:orient="portrait"/>
          <w:cols w:equalWidth="0" w:num="1">
            <w:col w:w="10200"/>
          </w:cols>
          <w:pgMar w:left="1020" w:top="1317" w:right="1020" w:bottom="574" w:gutter="0" w:footer="0" w:header="0"/>
          <w:type w:val="continuous"/>
        </w:sectPr>
      </w:pPr>
    </w:p>
    <w:bookmarkStart w:id="37" w:name="page38"/>
    <w:bookmarkEnd w:id="37"/>
    <w:p>
      <w:pPr>
        <w:jc w:val="both"/>
        <w:spacing w:after="0" w:line="243" w:lineRule="auto"/>
        <w:rPr>
          <w:sz w:val="20"/>
          <w:szCs w:val="20"/>
          <w:color w:val="auto"/>
        </w:rPr>
      </w:pPr>
      <w:r>
        <w:rPr>
          <w:rFonts w:ascii="Times New Roman" w:cs="Times New Roman" w:eastAsia="Times New Roman" w:hAnsi="Times New Roman"/>
          <w:sz w:val="19"/>
          <w:szCs w:val="19"/>
          <w:color w:val="auto"/>
        </w:rPr>
        <w:t>Following the withdrawal of the United Kingdom from the EU, the U.K. Data Protection Act applies to the processing of personal data that takes place in the United Kingdom and includes parallel obligations to those set forth by GDPR. The United Kingdom government has determined that it considers all EU member states and EEA member states to be adequate for the purposes of data protection, ensuring that data flows from the United Kingdom to the EU/EEA remain unaffected. Further, the EC decided in June 2021 that the level of data protection in the United Kingdom is “essentially adequate” for purposes of data transfer from the EU to the United Kingdom. On December 19, 2025, the EC renewed this decision until December 27, 2031. The United Kingdom and the United States have also agreed to a U.S.-U.K. “Data Bridge,” which functions similarly to the EU-U.S. Data Privacy Framework and provides an additional legal mechanism for companies to transfer personal data from the United Kingdom to the United States.</w:t>
      </w:r>
    </w:p>
    <w:p>
      <w:pPr>
        <w:spacing w:after="0" w:line="19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Beyond GDPR, there are privacy and data security laws in a growing number of countries around the world. While many loosely follow GDPR as a model, other laws contain different or conflicting provisions. These laws will impact our ability to conduct our business activities, including both our clinical trials and any eventual sale and distribution of commercial products.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Review and Approval of Biologics and Drug Products Outside the United States</w:t>
      </w:r>
    </w:p>
    <w:p>
      <w:pPr>
        <w:spacing w:after="0" w:line="22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9"/>
          <w:szCs w:val="19"/>
          <w:color w:val="auto"/>
        </w:rPr>
        <w:t>In addition to regulations in the United States, we are subject to a variety of foreign regulations governing clinical trials and commercial sales and distribution of our products outside of the United States. Whether or not we obtain FDA approval for a product candidate, we must obtain approval by the comparable regulatory authorities of foreign countries or economic areas, such as the EU, before we may commence clinical trials or market products in those countries or areas. In the EU, our product candidates also may be subject to extensive regulatory requirements. As in the United States, medicinal products can be marketed only if a marketing authorization from the competent regulatory agencies has been obtained. Similar to the United States, the various phases of preclinical and clinical research in the EU are subject to significant regulatory controls.</w:t>
      </w:r>
    </w:p>
    <w:p>
      <w:pPr>
        <w:spacing w:after="0" w:line="19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With the exception of the EU and European Economic Area, or EEA, applying the harmonized regulatory rules for medicinal products, the approval process and requirements governing the conduct of clinical trials, product licensing, pricing and reimbursement vary greatly between countries and jurisdictions and can involve additional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Employees and Human Capital Resources</w:t>
      </w:r>
    </w:p>
    <w:p>
      <w:pPr>
        <w:spacing w:after="0" w:line="2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As of February 28, 2026, we had 76 full-time employees, including 30 employees with M.D., Pharm.D. or Ph.D. degrees. Of these full-time employees, 54 were engaged in research and development activities and 22 were engaged in general and administrative activities. None of our employees is represented by a labor union or covered by a collective bargaining agreement. We consider our relationship with our employees to be good.</w:t>
      </w:r>
    </w:p>
    <w:p>
      <w:pPr>
        <w:spacing w:after="0" w:line="18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9"/>
          <w:szCs w:val="19"/>
          <w:color w:val="auto"/>
        </w:rPr>
        <w:t>Our human capital resources objectives include, as applicable, identifying, recruiting, retaining, incentivizing and developing our existing and additional employees. We are committed to equal opportunity and inclusion across all aspects of our organization, including in our recruitment, advancement and development practices. We conduct annual performance and development reviews for each of our employees to discuss the individual’s strengths and development opportunities, career development goals and performance goals. We also regularly survey employees to assess employee engagement and satisfaction. In addition, each regular full-time employee is provided an allowance and time to attend appropriate job-related trainings and other professional development courses, seminars, meetings, and similar sessions.</w:t>
      </w:r>
    </w:p>
    <w:p>
      <w:pPr>
        <w:spacing w:after="0" w:line="19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9"/>
          <w:szCs w:val="19"/>
          <w:color w:val="auto"/>
        </w:rPr>
        <w:t>The principal purposes of our equity incentive plans are to attract, retain and motivate selected employees, consultants and directors through the granting of stock-based compensation awards. We value our employees and regularly benchmark total rewards we provide, such as short- and long-term compensation, 401(k) contributions, tuition reimbursement, health, welfare and quality of life benefits, paid time off and personal leave, against our industry peers to ensure we remain competitive and attractive to potential new hires.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Corporate Information</w:t>
      </w:r>
    </w:p>
    <w:p>
      <w:pPr>
        <w:spacing w:after="0" w:line="22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9"/>
          <w:szCs w:val="19"/>
          <w:color w:val="auto"/>
        </w:rPr>
        <w:t>We are a Delaware corporation that was incorporated on June 18, 2020 under the name Xilio Therapeutics, Inc. We maintain a website at the following address: www.xiliotx.com. The information contained on, or that can be accessed through, our website is not incorporated by reference into this Annual Report on Form 10-K or in any other report or document we have filed or may file with the Securities and Exchange Commission, or SEC, and any reference to our website address is intended to be an inactive textual reference only.</w:t>
      </w:r>
    </w:p>
    <w:p>
      <w:pPr>
        <w:sectPr>
          <w:pgSz w:w="12240" w:h="15840" w:orient="portrait"/>
          <w:cols w:equalWidth="0" w:num="1">
            <w:col w:w="10200"/>
          </w:cols>
          <w:pgMar w:left="1020" w:top="1317" w:right="1020" w:bottom="574"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35</w:t>
      </w:r>
    </w:p>
    <w:p>
      <w:pPr>
        <w:sectPr>
          <w:pgSz w:w="12240" w:h="15840" w:orient="portrait"/>
          <w:cols w:equalWidth="0" w:num="1">
            <w:col w:w="10200"/>
          </w:cols>
          <w:pgMar w:left="1020" w:top="1317" w:right="1020" w:bottom="574" w:gutter="0" w:footer="0" w:header="0"/>
          <w:type w:val="continuous"/>
        </w:sectPr>
      </w:pPr>
    </w:p>
    <w:bookmarkStart w:id="38" w:name="page39"/>
    <w:bookmarkEnd w:id="38"/>
    <w:p>
      <w:pPr>
        <w:jc w:val="both"/>
        <w:spacing w:after="0" w:line="242" w:lineRule="auto"/>
        <w:rPr>
          <w:sz w:val="20"/>
          <w:szCs w:val="20"/>
          <w:color w:val="auto"/>
        </w:rPr>
      </w:pPr>
      <w:r>
        <w:rPr>
          <w:rFonts w:ascii="Times New Roman" w:cs="Times New Roman" w:eastAsia="Times New Roman" w:hAnsi="Times New Roman"/>
          <w:sz w:val="19"/>
          <w:szCs w:val="19"/>
          <w:color w:val="auto"/>
        </w:rPr>
        <w:t>We make available on or through our website certain reports and amendments to those reports that we file with or furnish to the SEC in accordance with the Securities Exchange Act of 1934, as amended, or the Exchange Act. These include our Annual Reports on Form 10-K, our Quarterly Reports on Form 10-Q and our Current Reports on Form 8-K. We make this information available on our website free of charge as soon as reasonably practicable after we electronically file the information with, or furnish it to, the SEC. In addition, we routinely post on the “Investors &amp; Media” page of our website investor and scientific presentations, SEC filings, press releases, public conference calls and webcasts and other statements about our business and results of operations, some of which may contain information that may be deemed material to investors. Accordingly, investors should monitor these portions of our website, in addition to following our press releases, SEC filings, public conference calls and webcasts, as well as current or future social media channels (including LinkedIn). This list of channels may be updated from time to time on our investor relations website and may include other social media channels than the one described above. The contents of our website or these channels, or any other website that may be accessed from our website or these channels, shall not be deemed incorporated by reference in any filing under the Securities Act of 1933, as amended.</w:t>
      </w:r>
    </w:p>
    <w:p>
      <w:pPr>
        <w:spacing w:after="0" w:line="19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9"/>
          <w:szCs w:val="19"/>
          <w:color w:val="auto"/>
        </w:rPr>
        <w:t>The SEC maintains a website that contains reports, proxy and information statements, and other information regarding issuers that file electronically with the SEC at the following address: http://www.sec.gov.</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1A. Risk Factors</w:t>
      </w:r>
    </w:p>
    <w:p>
      <w:pPr>
        <w:spacing w:after="0" w:line="22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9"/>
          <w:szCs w:val="19"/>
          <w:i w:val="1"/>
          <w:iCs w:val="1"/>
          <w:color w:val="auto"/>
        </w:rPr>
        <w:t>The following information sets forth risk factors that could cause our actual results to differ materially from those contained in forward-looking statements we have made in this Annual Report on Form 10-K and those we may make from time to time. You should carefully consider the risks described below, in addition to the other information contained in this Annual Report on Form 10-K and our other public filings. Our business, financial condition or results of operations could be harmed by any of these risks. The risks and uncertainties described below are not the only ones we face. Additional risks not presently known to us or other factors not perceived by us to present significant risks to our business at this time also may impair our business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Risks Related to Our Limited Operating History, Financial Position and Capital Requirements</w:t>
      </w:r>
    </w:p>
    <w:p>
      <w:pPr>
        <w:spacing w:after="0" w:line="220" w:lineRule="exact"/>
        <w:rPr>
          <w:sz w:val="20"/>
          <w:szCs w:val="20"/>
          <w:color w:val="auto"/>
        </w:rPr>
      </w:pPr>
    </w:p>
    <w:p>
      <w:pPr>
        <w:ind w:right="200"/>
        <w:spacing w:after="0" w:line="273" w:lineRule="auto"/>
        <w:rPr>
          <w:sz w:val="20"/>
          <w:szCs w:val="20"/>
          <w:color w:val="auto"/>
        </w:rPr>
      </w:pPr>
      <w:r>
        <w:rPr>
          <w:rFonts w:ascii="Times New Roman" w:cs="Times New Roman" w:eastAsia="Times New Roman" w:hAnsi="Times New Roman"/>
          <w:sz w:val="19"/>
          <w:szCs w:val="19"/>
          <w:b w:val="1"/>
          <w:bCs w:val="1"/>
          <w:i w:val="1"/>
          <w:iCs w:val="1"/>
          <w:color w:val="auto"/>
        </w:rPr>
        <w:t>We will need to obtain substantial additional capital in the future to finance our operations and complete the development of any current or future product candidates.</w:t>
      </w:r>
    </w:p>
    <w:p>
      <w:pPr>
        <w:spacing w:after="0" w:line="16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color w:val="auto"/>
        </w:rPr>
        <w:t>As of December 31, 2025, we had cash and cash equivalents of $137.5 million. In the first quarter of 2026, we received net proceeds of approximately $37.3 million, after deducting underwriting discounts and commissions and estimated offering expenses payable by us, upon the closing of a follow-on offering of prefunded warrants and a $5.0 million development milestone related to the collaboration agreement with AbbVie Group Holdings Limited, or AbbVie. Based on our current operating plans, we anticipate that our existing cash and cash equivalents will be sufficient to enable us to fund our operating expenses and capital expenditure requirements through the end of 2027. This estimate excludes any potential future milestone payments, option-related fees or other contingent payments under our existing collaboration and partnership agreements with AbbVie and Gilead Sciences, Inc., or Gilead, and excludes the potential receipt of up to $36.2 million in additional gross proceeds in the second half of 2026 if all outstanding Series C warrants are exercised at their current exercise price. In addition, we have based our estimates on assumptions that may prove to be wrong, and we could exhaust our available capital resources sooner than we anticipate and may need to seek additional capital sooner than anticipated.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Our future capital requirements, both short-term and long-term, will depend on many factors, including, but not limited to:</w:t>
      </w:r>
    </w:p>
    <w:p>
      <w:pPr>
        <w:spacing w:after="0" w:line="126" w:lineRule="exact"/>
        <w:rPr>
          <w:sz w:val="20"/>
          <w:szCs w:val="20"/>
          <w:color w:val="auto"/>
        </w:rPr>
      </w:pPr>
    </w:p>
    <w:p>
      <w:pPr>
        <w:jc w:val="both"/>
        <w:ind w:left="920" w:hanging="458"/>
        <w:spacing w:after="0" w:line="256" w:lineRule="auto"/>
        <w:tabs>
          <w:tab w:leader="none" w:pos="920" w:val="left"/>
        </w:tabs>
        <w:numPr>
          <w:ilvl w:val="0"/>
          <w:numId w:val="23"/>
        </w:numPr>
        <w:rPr>
          <w:rFonts w:ascii="Arial" w:cs="Arial" w:eastAsia="Arial" w:hAnsi="Arial"/>
          <w:sz w:val="19"/>
          <w:szCs w:val="19"/>
          <w:color w:val="auto"/>
        </w:rPr>
      </w:pPr>
      <w:r>
        <w:rPr>
          <w:rFonts w:ascii="Times New Roman" w:cs="Times New Roman" w:eastAsia="Times New Roman" w:hAnsi="Times New Roman"/>
          <w:sz w:val="19"/>
          <w:szCs w:val="19"/>
          <w:color w:val="auto"/>
        </w:rPr>
        <w:t>the scope, progress, results and costs of research and development for our current and future product candidates, including our current and planned clinical trials for our clinical-stage product candidates, vilastobart and efarindodekin alfa, and ongoing preclinical development for our current and future product candidates;</w:t>
      </w:r>
    </w:p>
    <w:p>
      <w:pPr>
        <w:spacing w:after="0" w:line="78" w:lineRule="exact"/>
        <w:rPr>
          <w:rFonts w:ascii="Arial" w:cs="Arial" w:eastAsia="Arial" w:hAnsi="Arial"/>
          <w:sz w:val="19"/>
          <w:szCs w:val="19"/>
          <w:color w:val="auto"/>
        </w:rPr>
      </w:pPr>
    </w:p>
    <w:p>
      <w:pPr>
        <w:ind w:left="920" w:hanging="458"/>
        <w:spacing w:after="0"/>
        <w:tabs>
          <w:tab w:leader="none" w:pos="920" w:val="left"/>
        </w:tabs>
        <w:numPr>
          <w:ilvl w:val="0"/>
          <w:numId w:val="23"/>
        </w:numPr>
        <w:rPr>
          <w:rFonts w:ascii="Arial" w:cs="Arial" w:eastAsia="Arial" w:hAnsi="Arial"/>
          <w:sz w:val="19"/>
          <w:szCs w:val="19"/>
          <w:color w:val="auto"/>
        </w:rPr>
      </w:pPr>
      <w:r>
        <w:rPr>
          <w:rFonts w:ascii="Times New Roman" w:cs="Times New Roman" w:eastAsia="Times New Roman" w:hAnsi="Times New Roman"/>
          <w:sz w:val="19"/>
          <w:szCs w:val="19"/>
          <w:color w:val="auto"/>
        </w:rPr>
        <w:t>our ability to maintain our collaboration and license agreements with AbbVie and Gilead;</w:t>
      </w:r>
    </w:p>
    <w:p>
      <w:pPr>
        <w:spacing w:after="0" w:line="124" w:lineRule="exact"/>
        <w:rPr>
          <w:rFonts w:ascii="Arial" w:cs="Arial" w:eastAsia="Arial" w:hAnsi="Arial"/>
          <w:sz w:val="19"/>
          <w:szCs w:val="19"/>
          <w:color w:val="auto"/>
        </w:rPr>
      </w:pPr>
    </w:p>
    <w:p>
      <w:pPr>
        <w:jc w:val="both"/>
        <w:ind w:left="920" w:hanging="458"/>
        <w:spacing w:after="0" w:line="256" w:lineRule="auto"/>
        <w:tabs>
          <w:tab w:leader="none" w:pos="920" w:val="left"/>
        </w:tabs>
        <w:numPr>
          <w:ilvl w:val="0"/>
          <w:numId w:val="23"/>
        </w:numPr>
        <w:rPr>
          <w:rFonts w:ascii="Arial" w:cs="Arial" w:eastAsia="Arial" w:hAnsi="Arial"/>
          <w:sz w:val="19"/>
          <w:szCs w:val="19"/>
          <w:color w:val="auto"/>
        </w:rPr>
      </w:pPr>
      <w:r>
        <w:rPr>
          <w:rFonts w:ascii="Times New Roman" w:cs="Times New Roman" w:eastAsia="Times New Roman" w:hAnsi="Times New Roman"/>
          <w:sz w:val="19"/>
          <w:szCs w:val="19"/>
          <w:color w:val="auto"/>
        </w:rPr>
        <w:t>the timing and amount of milestones, option-related fees and other contingent payments under our collaboration, license and option agreement with AbbVie for masked immunotherapies and our license agreement with Gilead for efarindodekin alfa, as well as the scope, costs and timing of our development obligations under these agreements;</w:t>
      </w:r>
    </w:p>
    <w:p>
      <w:pPr>
        <w:spacing w:after="0" w:line="78" w:lineRule="exact"/>
        <w:rPr>
          <w:rFonts w:ascii="Arial" w:cs="Arial" w:eastAsia="Arial" w:hAnsi="Arial"/>
          <w:sz w:val="19"/>
          <w:szCs w:val="19"/>
          <w:color w:val="auto"/>
        </w:rPr>
      </w:pPr>
    </w:p>
    <w:p>
      <w:pPr>
        <w:jc w:val="both"/>
        <w:ind w:left="920" w:hanging="458"/>
        <w:spacing w:after="0" w:line="256" w:lineRule="auto"/>
        <w:tabs>
          <w:tab w:leader="none" w:pos="920" w:val="left"/>
        </w:tabs>
        <w:numPr>
          <w:ilvl w:val="0"/>
          <w:numId w:val="23"/>
        </w:numPr>
        <w:rPr>
          <w:rFonts w:ascii="Arial" w:cs="Arial" w:eastAsia="Arial" w:hAnsi="Arial"/>
          <w:sz w:val="19"/>
          <w:szCs w:val="19"/>
          <w:color w:val="auto"/>
        </w:rPr>
      </w:pPr>
      <w:r>
        <w:rPr>
          <w:rFonts w:ascii="Times New Roman" w:cs="Times New Roman" w:eastAsia="Times New Roman" w:hAnsi="Times New Roman"/>
          <w:sz w:val="19"/>
          <w:szCs w:val="19"/>
          <w:color w:val="auto"/>
        </w:rPr>
        <w:t>the potential receipt of up to $36.2 million in additional gross proceeds in the second half of 2026 if all of the outstanding Series C common stock warrants issued in connection with our June 2025 follow-on offering are exercised at their current exercise price of $10.50 per warrant;</w:t>
      </w:r>
    </w:p>
    <w:p>
      <w:pPr>
        <w:spacing w:after="0" w:line="78" w:lineRule="exact"/>
        <w:rPr>
          <w:rFonts w:ascii="Arial" w:cs="Arial" w:eastAsia="Arial" w:hAnsi="Arial"/>
          <w:sz w:val="19"/>
          <w:szCs w:val="19"/>
          <w:color w:val="auto"/>
        </w:rPr>
      </w:pPr>
    </w:p>
    <w:p>
      <w:pPr>
        <w:ind w:left="920" w:hanging="458"/>
        <w:spacing w:after="0"/>
        <w:tabs>
          <w:tab w:leader="none" w:pos="920" w:val="left"/>
        </w:tabs>
        <w:numPr>
          <w:ilvl w:val="0"/>
          <w:numId w:val="23"/>
        </w:numPr>
        <w:rPr>
          <w:rFonts w:ascii="Arial" w:cs="Arial" w:eastAsia="Arial" w:hAnsi="Arial"/>
          <w:sz w:val="19"/>
          <w:szCs w:val="19"/>
          <w:color w:val="auto"/>
        </w:rPr>
      </w:pPr>
      <w:r>
        <w:rPr>
          <w:rFonts w:ascii="Times New Roman" w:cs="Times New Roman" w:eastAsia="Times New Roman" w:hAnsi="Times New Roman"/>
          <w:sz w:val="19"/>
          <w:szCs w:val="19"/>
          <w:color w:val="auto"/>
        </w:rPr>
        <w:t>our ability to secure additional capital in the future;</w:t>
      </w:r>
    </w:p>
    <w:p>
      <w:pPr>
        <w:spacing w:after="0" w:line="124" w:lineRule="exact"/>
        <w:rPr>
          <w:rFonts w:ascii="Arial" w:cs="Arial" w:eastAsia="Arial" w:hAnsi="Arial"/>
          <w:sz w:val="19"/>
          <w:szCs w:val="19"/>
          <w:color w:val="auto"/>
        </w:rPr>
      </w:pPr>
    </w:p>
    <w:p>
      <w:pPr>
        <w:ind w:left="920" w:hanging="458"/>
        <w:spacing w:after="0"/>
        <w:tabs>
          <w:tab w:leader="none" w:pos="920" w:val="left"/>
        </w:tabs>
        <w:numPr>
          <w:ilvl w:val="0"/>
          <w:numId w:val="23"/>
        </w:numPr>
        <w:rPr>
          <w:rFonts w:ascii="Arial" w:cs="Arial" w:eastAsia="Arial" w:hAnsi="Arial"/>
          <w:sz w:val="19"/>
          <w:szCs w:val="19"/>
          <w:color w:val="auto"/>
        </w:rPr>
      </w:pPr>
      <w:r>
        <w:rPr>
          <w:rFonts w:ascii="Times New Roman" w:cs="Times New Roman" w:eastAsia="Times New Roman" w:hAnsi="Times New Roman"/>
          <w:sz w:val="19"/>
          <w:szCs w:val="19"/>
          <w:color w:val="auto"/>
        </w:rPr>
        <w:t>the scope, prioritization and number of our research and development programs;</w:t>
      </w:r>
    </w:p>
    <w:p>
      <w:pPr>
        <w:sectPr>
          <w:pgSz w:w="12240" w:h="15840" w:orient="portrait"/>
          <w:cols w:equalWidth="0" w:num="1">
            <w:col w:w="10200"/>
          </w:cols>
          <w:pgMar w:left="1020" w:top="1317" w:right="1020" w:bottom="574"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36</w:t>
      </w:r>
    </w:p>
    <w:p>
      <w:pPr>
        <w:sectPr>
          <w:pgSz w:w="12240" w:h="15840" w:orient="portrait"/>
          <w:cols w:equalWidth="0" w:num="1">
            <w:col w:w="10200"/>
          </w:cols>
          <w:pgMar w:left="1020" w:top="1317" w:right="1020" w:bottom="574" w:gutter="0" w:footer="0" w:header="0"/>
          <w:type w:val="continuous"/>
        </w:sectPr>
      </w:pPr>
    </w:p>
    <w:bookmarkStart w:id="39" w:name="page40"/>
    <w:bookmarkEnd w:id="39"/>
    <w:p>
      <w:pPr>
        <w:ind w:left="920" w:hanging="458"/>
        <w:spacing w:after="0" w:line="274" w:lineRule="auto"/>
        <w:tabs>
          <w:tab w:leader="none" w:pos="920" w:val="left"/>
        </w:tabs>
        <w:numPr>
          <w:ilvl w:val="0"/>
          <w:numId w:val="24"/>
        </w:numPr>
        <w:rPr>
          <w:rFonts w:ascii="Arial" w:cs="Arial" w:eastAsia="Arial" w:hAnsi="Arial"/>
          <w:sz w:val="19"/>
          <w:szCs w:val="19"/>
          <w:color w:val="auto"/>
        </w:rPr>
      </w:pPr>
      <w:r>
        <w:rPr>
          <w:rFonts w:ascii="Times New Roman" w:cs="Times New Roman" w:eastAsia="Times New Roman" w:hAnsi="Times New Roman"/>
          <w:sz w:val="19"/>
          <w:szCs w:val="19"/>
          <w:color w:val="auto"/>
        </w:rPr>
        <w:t>the costs of securing manufacturing materials for use in preclinical studies, clinical trials and, for any product candidates for which we receive regulatory approval, if any, commercial supply;</w:t>
      </w:r>
    </w:p>
    <w:p>
      <w:pPr>
        <w:spacing w:after="0" w:line="61"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24"/>
        </w:numPr>
        <w:rPr>
          <w:rFonts w:ascii="Arial" w:cs="Arial" w:eastAsia="Arial" w:hAnsi="Arial"/>
          <w:sz w:val="19"/>
          <w:szCs w:val="19"/>
          <w:color w:val="auto"/>
        </w:rPr>
      </w:pPr>
      <w:r>
        <w:rPr>
          <w:rFonts w:ascii="Times New Roman" w:cs="Times New Roman" w:eastAsia="Times New Roman" w:hAnsi="Times New Roman"/>
          <w:sz w:val="19"/>
          <w:szCs w:val="19"/>
          <w:color w:val="auto"/>
        </w:rPr>
        <w:t>the costs and timing of preparing, filing and prosecuting patent applications, maintaining and enforcing our intellectual property and proprietary rights and defending any intellectual property-related claims;</w:t>
      </w:r>
    </w:p>
    <w:p>
      <w:pPr>
        <w:spacing w:after="0" w:line="61"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24"/>
        </w:numPr>
        <w:rPr>
          <w:rFonts w:ascii="Arial" w:cs="Arial" w:eastAsia="Arial" w:hAnsi="Arial"/>
          <w:sz w:val="19"/>
          <w:szCs w:val="19"/>
          <w:color w:val="auto"/>
        </w:rPr>
      </w:pPr>
      <w:r>
        <w:rPr>
          <w:rFonts w:ascii="Times New Roman" w:cs="Times New Roman" w:eastAsia="Times New Roman" w:hAnsi="Times New Roman"/>
          <w:sz w:val="19"/>
          <w:szCs w:val="19"/>
          <w:color w:val="auto"/>
        </w:rPr>
        <w:t>the extent to which we may acquire or in-license other products, product candidates, technologies or intellectual property, as well as the terms of any such arrangements;</w:t>
      </w:r>
    </w:p>
    <w:p>
      <w:pPr>
        <w:spacing w:after="0" w:line="61" w:lineRule="exact"/>
        <w:rPr>
          <w:rFonts w:ascii="Arial" w:cs="Arial" w:eastAsia="Arial" w:hAnsi="Arial"/>
          <w:sz w:val="19"/>
          <w:szCs w:val="19"/>
          <w:color w:val="auto"/>
        </w:rPr>
      </w:pPr>
    </w:p>
    <w:p>
      <w:pPr>
        <w:ind w:left="920" w:hanging="458"/>
        <w:spacing w:after="0"/>
        <w:tabs>
          <w:tab w:leader="none" w:pos="920" w:val="left"/>
        </w:tabs>
        <w:numPr>
          <w:ilvl w:val="0"/>
          <w:numId w:val="24"/>
        </w:numPr>
        <w:rPr>
          <w:rFonts w:ascii="Arial" w:cs="Arial" w:eastAsia="Arial" w:hAnsi="Arial"/>
          <w:sz w:val="19"/>
          <w:szCs w:val="19"/>
          <w:color w:val="auto"/>
        </w:rPr>
      </w:pPr>
      <w:r>
        <w:rPr>
          <w:rFonts w:ascii="Times New Roman" w:cs="Times New Roman" w:eastAsia="Times New Roman" w:hAnsi="Times New Roman"/>
          <w:sz w:val="19"/>
          <w:szCs w:val="19"/>
          <w:color w:val="auto"/>
        </w:rPr>
        <w:t>the scope, costs, timing and outcome of regulatory review of our product candidates;</w:t>
      </w:r>
    </w:p>
    <w:p>
      <w:pPr>
        <w:spacing w:after="0" w:line="124"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24"/>
        </w:numPr>
        <w:rPr>
          <w:rFonts w:ascii="Arial" w:cs="Arial" w:eastAsia="Arial" w:hAnsi="Arial"/>
          <w:sz w:val="19"/>
          <w:szCs w:val="19"/>
          <w:color w:val="auto"/>
        </w:rPr>
      </w:pPr>
      <w:r>
        <w:rPr>
          <w:rFonts w:ascii="Times New Roman" w:cs="Times New Roman" w:eastAsia="Times New Roman" w:hAnsi="Times New Roman"/>
          <w:sz w:val="19"/>
          <w:szCs w:val="19"/>
          <w:color w:val="auto"/>
        </w:rPr>
        <w:t>the costs and timing of future commercialization activities for any of our product candidates for which we receive regulatory approval;</w:t>
      </w:r>
    </w:p>
    <w:p>
      <w:pPr>
        <w:spacing w:after="0" w:line="61"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24"/>
        </w:numPr>
        <w:rPr>
          <w:rFonts w:ascii="Arial" w:cs="Arial" w:eastAsia="Arial" w:hAnsi="Arial"/>
          <w:sz w:val="19"/>
          <w:szCs w:val="19"/>
          <w:color w:val="auto"/>
        </w:rPr>
      </w:pPr>
      <w:r>
        <w:rPr>
          <w:rFonts w:ascii="Times New Roman" w:cs="Times New Roman" w:eastAsia="Times New Roman" w:hAnsi="Times New Roman"/>
          <w:sz w:val="19"/>
          <w:szCs w:val="19"/>
          <w:color w:val="auto"/>
        </w:rPr>
        <w:t>the amount and timing of revenue, if any, received from commercial sales of any product candidates for which we receive regulatory approval;</w:t>
      </w:r>
    </w:p>
    <w:p>
      <w:pPr>
        <w:spacing w:after="0" w:line="61" w:lineRule="exact"/>
        <w:rPr>
          <w:rFonts w:ascii="Arial" w:cs="Arial" w:eastAsia="Arial" w:hAnsi="Arial"/>
          <w:sz w:val="19"/>
          <w:szCs w:val="19"/>
          <w:color w:val="auto"/>
        </w:rPr>
      </w:pPr>
    </w:p>
    <w:p>
      <w:pPr>
        <w:ind w:left="920" w:hanging="458"/>
        <w:spacing w:after="0"/>
        <w:tabs>
          <w:tab w:leader="none" w:pos="920" w:val="left"/>
        </w:tabs>
        <w:numPr>
          <w:ilvl w:val="0"/>
          <w:numId w:val="24"/>
        </w:numPr>
        <w:rPr>
          <w:rFonts w:ascii="Arial" w:cs="Arial" w:eastAsia="Arial" w:hAnsi="Arial"/>
          <w:sz w:val="19"/>
          <w:szCs w:val="19"/>
          <w:color w:val="auto"/>
        </w:rPr>
      </w:pPr>
      <w:r>
        <w:rPr>
          <w:rFonts w:ascii="Times New Roman" w:cs="Times New Roman" w:eastAsia="Times New Roman" w:hAnsi="Times New Roman"/>
          <w:sz w:val="19"/>
          <w:szCs w:val="19"/>
          <w:color w:val="auto"/>
        </w:rPr>
        <w:t>general economic conditions, including inflation and the imposition of new or revised global trade tariffs; and</w:t>
      </w:r>
    </w:p>
    <w:p>
      <w:pPr>
        <w:spacing w:after="0" w:line="124" w:lineRule="exact"/>
        <w:rPr>
          <w:rFonts w:ascii="Arial" w:cs="Arial" w:eastAsia="Arial" w:hAnsi="Arial"/>
          <w:sz w:val="19"/>
          <w:szCs w:val="19"/>
          <w:color w:val="auto"/>
        </w:rPr>
      </w:pPr>
    </w:p>
    <w:p>
      <w:pPr>
        <w:ind w:left="920" w:hanging="458"/>
        <w:spacing w:after="0"/>
        <w:tabs>
          <w:tab w:leader="none" w:pos="920" w:val="left"/>
        </w:tabs>
        <w:numPr>
          <w:ilvl w:val="0"/>
          <w:numId w:val="24"/>
        </w:numPr>
        <w:rPr>
          <w:rFonts w:ascii="Arial" w:cs="Arial" w:eastAsia="Arial" w:hAnsi="Arial"/>
          <w:sz w:val="19"/>
          <w:szCs w:val="19"/>
          <w:color w:val="auto"/>
        </w:rPr>
      </w:pPr>
      <w:r>
        <w:rPr>
          <w:rFonts w:ascii="Times New Roman" w:cs="Times New Roman" w:eastAsia="Times New Roman" w:hAnsi="Times New Roman"/>
          <w:sz w:val="19"/>
          <w:szCs w:val="19"/>
          <w:color w:val="auto"/>
        </w:rPr>
        <w:t>the costs of maintaining our operations and continuing to operate as a public company.</w:t>
      </w:r>
    </w:p>
    <w:p>
      <w:pPr>
        <w:spacing w:after="0" w:line="21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color w:val="auto"/>
        </w:rPr>
        <w:t>Our existing cash and cash equivalents will not be sufficient to complete development of any current or future product candidates, and we will require additional capital in the future to sustain our operations. We currently do not have any committed external sources of funds and will be required to obtain further funding in the future through public or private equity offerings, debt, collaborations, licensing arrangements, the conversion of common stock warrants for cash, or other sources. However, adequate additional capital may not be available to us in the future on acceptable terms, or at all. In addition, our ability to raise additional capital may be adversely impacted by potential worsening economic conditions, both inside and outside the United States, including without limitation heightened inflation, capital market volatility, interest rate and currency rate fluctuations, any potential economic slowdown or recession, future pandemics, geopolitical tensions, including trade wars or civil or political unrest, or wars or other armed conflicts. Our failure to raise additional capital in the future as and when needed to support our operations would have a material adverse effect on our financial condition, our ability to develop and commercialize our current and any future product candidates or otherwise pursue our business strategy.</w:t>
      </w:r>
    </w:p>
    <w:p>
      <w:pPr>
        <w:spacing w:after="0" w:line="18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b w:val="1"/>
          <w:bCs w:val="1"/>
          <w:i w:val="1"/>
          <w:iCs w:val="1"/>
          <w:color w:val="auto"/>
        </w:rPr>
        <w:t>If we fail to regain and maintain compliance with the continued listing requirements of Nasdaq, our common stock may be delisted and the price of our common stock and our ability to access the capital markets could be negatively impacted.</w:t>
      </w:r>
    </w:p>
    <w:p>
      <w:pPr>
        <w:spacing w:after="0" w:line="4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9"/>
          <w:szCs w:val="19"/>
          <w:color w:val="auto"/>
        </w:rPr>
        <w:t>On April 4, 2025, we received a deficiency letter from the Listing Qualifications Department, or the Nasdaq Staff, of the Nasdaq Stock Market LLC, or Nasdaq, notifying us that, for the last 30 consecutive business days, the bid price for our common stock had closed below $1.00 per share, which is the minimum bid price required to maintain continued listing on the Nasdaq Global Select Market, referred to as the minimum bid price requirement. In accordance with Nasdaq Listing Rules, we had an initial period of 180 calendar days, or until October 1, 2025, to regain compliance with the minimum bid price requirement.</w:t>
      </w:r>
    </w:p>
    <w:p>
      <w:pPr>
        <w:spacing w:after="0" w:line="7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On August 22, 2025, we received a second deficiency notice from the Nasdaq Staff notifying us that we were not in compliance with the minimum $10.0 million stockholders' equity requirement for continued listing on the Nasdaq Global Select Market. This second deficiency notice was only a notification of deficiency, not of imminent delisting, and had no immediate effect on the listing or trading of our securities on the Nasdaq Global Select Market.</w:t>
      </w:r>
    </w:p>
    <w:p>
      <w:pPr>
        <w:spacing w:after="0" w:line="6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9"/>
          <w:szCs w:val="19"/>
          <w:color w:val="auto"/>
        </w:rPr>
        <w:t>On October 2, 2025, we received a letter from the Nasdaq Staff approving our application to list our securities on the Nasdaq Capital Market. Our securities were transferred to the Nasdaq Capital Market at the opening of business on October 6, 2025. In connection with the transfer to the Nasdaq Capital Market, Nasdaq granted us an additional 180 calendar day period, or until March 30, 2026, to regain compliance with the minimum bid price requirement. If, at any time before March 30, 2026, the closing bid price for our common stock is at least $1.00 per share for a minimum of 10 consecutive business days, the Nasdaq Staff will provide written notification to us that we are in compliance with the minimum bid price requirement, unless the Nasdaq Staff exercises its discretion to extend this 10-day period pursuant to the Nasdaq Listing Rules.</w:t>
      </w:r>
    </w:p>
    <w:p>
      <w:pPr>
        <w:spacing w:after="0" w:line="18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9"/>
          <w:szCs w:val="19"/>
          <w:color w:val="auto"/>
        </w:rPr>
        <w:t>On February 23, 2026, our stockholders voted to adopt and approve an amendment to our restated certificate of incorporation, as amended, to effect a reverse stock split of our issued shares of common stock and our board of directors elected to implement a reverse stock split at a ratio of 1-for-14, which reverse stock split became effective on March 13, 2026 at 5:00 p.m. Eastern Time. However, if we do not regain compliance with the minimum bid price requirement by March 30, 2026, or if we do not meet the other listing standards, the Nasdaq Staff will provide us with notice that our common stock may be delisted. At that time, we may appeal the Nasdaq Staff’s delisting determination to a Nasdaq Listing Qualifications Panel. However, there can be no assurance that, even if we appeal the Nasdaq Staff’s delisting determination to the panel, such appeal would be successful.</w:t>
      </w:r>
    </w:p>
    <w:p>
      <w:pPr>
        <w:sectPr>
          <w:pgSz w:w="12240" w:h="15840" w:orient="portrait"/>
          <w:cols w:equalWidth="0" w:num="1">
            <w:col w:w="10200"/>
          </w:cols>
          <w:pgMar w:left="1020" w:top="1330" w:right="1020" w:bottom="574"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37</w:t>
      </w:r>
    </w:p>
    <w:p>
      <w:pPr>
        <w:sectPr>
          <w:pgSz w:w="12240" w:h="15840" w:orient="portrait"/>
          <w:cols w:equalWidth="0" w:num="1">
            <w:col w:w="10200"/>
          </w:cols>
          <w:pgMar w:left="1020" w:top="1330" w:right="1020" w:bottom="574" w:gutter="0" w:footer="0" w:header="0"/>
          <w:type w:val="continuous"/>
        </w:sectPr>
      </w:pPr>
    </w:p>
    <w:bookmarkStart w:id="40" w:name="page41"/>
    <w:bookmarkEnd w:id="40"/>
    <w:p>
      <w:pPr>
        <w:jc w:val="both"/>
        <w:spacing w:after="0" w:line="246" w:lineRule="auto"/>
        <w:rPr>
          <w:sz w:val="20"/>
          <w:szCs w:val="20"/>
          <w:color w:val="auto"/>
        </w:rPr>
      </w:pPr>
      <w:r>
        <w:rPr>
          <w:rFonts w:ascii="Times New Roman" w:cs="Times New Roman" w:eastAsia="Times New Roman" w:hAnsi="Times New Roman"/>
          <w:sz w:val="19"/>
          <w:szCs w:val="19"/>
          <w:color w:val="auto"/>
        </w:rPr>
        <w:t>If we are unable to comply with applicable Nasdaq listing standards, shares of our common stock would be subject to delisting, which could have a material adverse effect on the market for, and liquidity and price of, our common stock and would adversely affect our ability to raise capital on terms acceptable to us, or at all. Delisting from Nasdaq could also have other negative results, including, without limitation, the potential loss of confidence by investors, customers and employees and fewer business development opportunities. Any delisting of our common stock from Nasdaq would also make it more difficult for our stockholders to sell their shares of our common stock in the public market.</w:t>
      </w:r>
    </w:p>
    <w:p>
      <w:pPr>
        <w:spacing w:after="0" w:line="179" w:lineRule="exact"/>
        <w:rPr>
          <w:sz w:val="20"/>
          <w:szCs w:val="20"/>
          <w:color w:val="auto"/>
        </w:rPr>
      </w:pPr>
    </w:p>
    <w:p>
      <w:pPr>
        <w:ind w:right="720"/>
        <w:spacing w:after="0" w:line="273" w:lineRule="auto"/>
        <w:rPr>
          <w:sz w:val="20"/>
          <w:szCs w:val="20"/>
          <w:color w:val="auto"/>
        </w:rPr>
      </w:pPr>
      <w:r>
        <w:rPr>
          <w:rFonts w:ascii="Times New Roman" w:cs="Times New Roman" w:eastAsia="Times New Roman" w:hAnsi="Times New Roman"/>
          <w:sz w:val="19"/>
          <w:szCs w:val="19"/>
          <w:b w:val="1"/>
          <w:bCs w:val="1"/>
          <w:i w:val="1"/>
          <w:iCs w:val="1"/>
          <w:color w:val="auto"/>
        </w:rPr>
        <w:t>The recently implemented reverse stock split of our common stock may not achieve the intended benefits and could have a materially adverse effect on the market price of our common stock.</w:t>
      </w:r>
    </w:p>
    <w:p>
      <w:pPr>
        <w:spacing w:after="0" w:line="153"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9"/>
          <w:szCs w:val="19"/>
          <w:color w:val="auto"/>
        </w:rPr>
        <w:t>As discussed above, we recently implemented a reverse stock split of our common stock. The reverse stock split may not achieve the intended benefit of increasing the per share market price of our common stock, and there are a number of risks associated with the reverse stock split, including, without limitation:</w:t>
      </w:r>
    </w:p>
    <w:p>
      <w:pPr>
        <w:spacing w:after="0" w:line="77" w:lineRule="exact"/>
        <w:rPr>
          <w:sz w:val="20"/>
          <w:szCs w:val="20"/>
          <w:color w:val="auto"/>
        </w:rPr>
      </w:pPr>
    </w:p>
    <w:p>
      <w:pPr>
        <w:ind w:left="920" w:right="160" w:hanging="458"/>
        <w:spacing w:after="0" w:line="274" w:lineRule="auto"/>
        <w:tabs>
          <w:tab w:leader="none" w:pos="920" w:val="left"/>
        </w:tabs>
        <w:numPr>
          <w:ilvl w:val="0"/>
          <w:numId w:val="25"/>
        </w:numPr>
        <w:rPr>
          <w:rFonts w:ascii="Arial" w:cs="Arial" w:eastAsia="Arial" w:hAnsi="Arial"/>
          <w:sz w:val="19"/>
          <w:szCs w:val="19"/>
          <w:color w:val="auto"/>
        </w:rPr>
      </w:pPr>
      <w:r>
        <w:rPr>
          <w:rFonts w:ascii="Times New Roman" w:cs="Times New Roman" w:eastAsia="Times New Roman" w:hAnsi="Times New Roman"/>
          <w:sz w:val="19"/>
          <w:szCs w:val="19"/>
          <w:color w:val="auto"/>
        </w:rPr>
        <w:t>the reverse stock split may not result in a price per share that will successfully attract certain types of investors, and such resulting share price may not satisfy the investing guidelines of institutional investors or investment funds;</w:t>
      </w:r>
    </w:p>
    <w:p>
      <w:pPr>
        <w:spacing w:after="0" w:line="61" w:lineRule="exact"/>
        <w:rPr>
          <w:rFonts w:ascii="Arial" w:cs="Arial" w:eastAsia="Arial" w:hAnsi="Arial"/>
          <w:sz w:val="19"/>
          <w:szCs w:val="19"/>
          <w:color w:val="auto"/>
        </w:rPr>
      </w:pPr>
    </w:p>
    <w:p>
      <w:pPr>
        <w:ind w:left="920" w:right="180" w:hanging="458"/>
        <w:spacing w:after="0" w:line="274" w:lineRule="auto"/>
        <w:tabs>
          <w:tab w:leader="none" w:pos="920" w:val="left"/>
        </w:tabs>
        <w:numPr>
          <w:ilvl w:val="0"/>
          <w:numId w:val="25"/>
        </w:numPr>
        <w:rPr>
          <w:rFonts w:ascii="Arial" w:cs="Arial" w:eastAsia="Arial" w:hAnsi="Arial"/>
          <w:sz w:val="19"/>
          <w:szCs w:val="19"/>
          <w:color w:val="auto"/>
        </w:rPr>
      </w:pPr>
      <w:r>
        <w:rPr>
          <w:rFonts w:ascii="Times New Roman" w:cs="Times New Roman" w:eastAsia="Times New Roman" w:hAnsi="Times New Roman"/>
          <w:sz w:val="19"/>
          <w:szCs w:val="19"/>
          <w:color w:val="auto"/>
        </w:rPr>
        <w:t>the trading liquidity of the shares of our common stock may not improve, or may decline, as a result of the reverse stock split and there can be no assurance that the reverse stock split will result in the intended benefits; and</w:t>
      </w:r>
    </w:p>
    <w:p>
      <w:pPr>
        <w:spacing w:after="0" w:line="61" w:lineRule="exact"/>
        <w:rPr>
          <w:rFonts w:ascii="Arial" w:cs="Arial" w:eastAsia="Arial" w:hAnsi="Arial"/>
          <w:sz w:val="19"/>
          <w:szCs w:val="19"/>
          <w:color w:val="auto"/>
        </w:rPr>
      </w:pPr>
    </w:p>
    <w:p>
      <w:pPr>
        <w:ind w:left="920" w:right="80" w:hanging="458"/>
        <w:spacing w:after="0" w:line="274" w:lineRule="auto"/>
        <w:tabs>
          <w:tab w:leader="none" w:pos="920" w:val="left"/>
        </w:tabs>
        <w:numPr>
          <w:ilvl w:val="0"/>
          <w:numId w:val="25"/>
        </w:numPr>
        <w:rPr>
          <w:rFonts w:ascii="Arial" w:cs="Arial" w:eastAsia="Arial" w:hAnsi="Arial"/>
          <w:sz w:val="19"/>
          <w:szCs w:val="19"/>
          <w:color w:val="auto"/>
        </w:rPr>
      </w:pPr>
      <w:r>
        <w:rPr>
          <w:rFonts w:ascii="Times New Roman" w:cs="Times New Roman" w:eastAsia="Times New Roman" w:hAnsi="Times New Roman"/>
          <w:sz w:val="19"/>
          <w:szCs w:val="19"/>
          <w:color w:val="auto"/>
        </w:rPr>
        <w:t>the reverse stock split could be viewed negatively by the market and other factors, which may adversely affect the market price of our common stock.</w:t>
      </w:r>
    </w:p>
    <w:p>
      <w:pPr>
        <w:spacing w:after="0" w:line="152" w:lineRule="exact"/>
        <w:rPr>
          <w:sz w:val="20"/>
          <w:szCs w:val="20"/>
          <w:color w:val="auto"/>
        </w:rPr>
      </w:pPr>
    </w:p>
    <w:p>
      <w:pPr>
        <w:ind w:right="600"/>
        <w:spacing w:after="0" w:line="275" w:lineRule="auto"/>
        <w:rPr>
          <w:sz w:val="20"/>
          <w:szCs w:val="20"/>
          <w:color w:val="auto"/>
        </w:rPr>
      </w:pPr>
      <w:r>
        <w:rPr>
          <w:rFonts w:ascii="Times New Roman" w:cs="Times New Roman" w:eastAsia="Times New Roman" w:hAnsi="Times New Roman"/>
          <w:sz w:val="19"/>
          <w:szCs w:val="19"/>
          <w:color w:val="auto"/>
        </w:rPr>
        <w:t>There can also be no assurances the reverse stock split will prevent the delisting of our common stock from the Nasdaq Capital Market, which could have a material adverse effect on our business.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We have incurred significant operating losses since our inception and expect to incur significant losses for the foreseeable future.</w:t>
      </w:r>
    </w:p>
    <w:p>
      <w:pPr>
        <w:spacing w:after="0" w:line="21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color w:val="auto"/>
        </w:rPr>
        <w:t>Since inception, we have incurred significant operating losses, including net losses of $35.0 and $58.2 million for the years ended December 31, 2025 and 2024, respectively. As of December 31, 2025, we had an accumulated deficit of $418.8 million. We expect our operating losses and negative operating cash flows to continue for the foreseeable future as we continue to advance our pipeline of novel, masked immuno-oncology, or I-O, molecules through preclinical and clinical development, maintain the infrastructure necessary to support these activities and continue to incur costs associated with operating as a public company. We do not expect to generate any revenue from the sale of products for a number of years, if at all, and any such revenue will not be realized unless and until we obtain marketing approval for and successfully launch and commercialize a product candidate. If we obtain marketing approval for any current or future product candidates that we develop, we expect to incur significant commercialization expenses related to product sales, marketing, distribution and manufacturing. Some of these expenses may be incurred in advance of marketing approval and could be substantial.</w:t>
      </w:r>
    </w:p>
    <w:p>
      <w:pPr>
        <w:spacing w:after="0" w:line="18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9"/>
          <w:szCs w:val="19"/>
          <w:color w:val="auto"/>
        </w:rPr>
        <w:t>To date, we have financed our operations primarily from proceeds raised through private placements of equity securities; sales of common stock in our initial public offering, or IPO, and through “at-the-market” offerings; the sale of prefunded warrants in our June 2025 and February 2026 follow-on offerings; the exercise of certain common stock warrants issued in connection with our June 2025 follow-on offering; development event payments under our co-funded clinical trial collaboration with F. Hoffmann-La Roche Ltd, or Roche; and upfront and milestone payments under our collaboration and license agreements with AbbVie and Gilead. All of our programs are in clinical or preclinical development. As a result, we have not generated any revenue from product sales and do not expect to generate any revenue from product sales for at least the next several years, if at all.</w:t>
      </w:r>
    </w:p>
    <w:p>
      <w:pPr>
        <w:spacing w:after="0" w:line="18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We expect our operating losses and negative operating cash flows to continue for the foreseeable future as we continue to advance our pipeline of novel, masked I-O molecules through development. Our operating expenses and net losses may fluctuate significantly from quarter to quarter and year to year, and we expect to continue to incur significant expenses and operating losses for the foreseeable future, particularly to the extent we:</w:t>
      </w:r>
    </w:p>
    <w:p>
      <w:pPr>
        <w:spacing w:after="0" w:line="82" w:lineRule="exact"/>
        <w:rPr>
          <w:sz w:val="20"/>
          <w:szCs w:val="20"/>
          <w:color w:val="auto"/>
        </w:rPr>
      </w:pPr>
    </w:p>
    <w:p>
      <w:pPr>
        <w:ind w:left="920" w:hanging="458"/>
        <w:spacing w:after="0"/>
        <w:tabs>
          <w:tab w:leader="none" w:pos="920" w:val="left"/>
        </w:tabs>
        <w:numPr>
          <w:ilvl w:val="0"/>
          <w:numId w:val="26"/>
        </w:numPr>
        <w:rPr>
          <w:rFonts w:ascii="Arial" w:cs="Arial" w:eastAsia="Arial" w:hAnsi="Arial"/>
          <w:sz w:val="19"/>
          <w:szCs w:val="19"/>
          <w:color w:val="auto"/>
        </w:rPr>
      </w:pPr>
      <w:r>
        <w:rPr>
          <w:rFonts w:ascii="Times New Roman" w:cs="Times New Roman" w:eastAsia="Times New Roman" w:hAnsi="Times New Roman"/>
          <w:sz w:val="19"/>
          <w:szCs w:val="19"/>
          <w:color w:val="auto"/>
        </w:rPr>
        <w:t>continue to advance our current research programs and conduct additional research programs;</w:t>
      </w:r>
    </w:p>
    <w:p>
      <w:pPr>
        <w:spacing w:after="0" w:line="124"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26"/>
        </w:numPr>
        <w:rPr>
          <w:rFonts w:ascii="Arial" w:cs="Arial" w:eastAsia="Arial" w:hAnsi="Arial"/>
          <w:sz w:val="19"/>
          <w:szCs w:val="19"/>
          <w:color w:val="auto"/>
        </w:rPr>
      </w:pPr>
      <w:r>
        <w:rPr>
          <w:rFonts w:ascii="Times New Roman" w:cs="Times New Roman" w:eastAsia="Times New Roman" w:hAnsi="Times New Roman"/>
          <w:sz w:val="19"/>
          <w:szCs w:val="19"/>
          <w:color w:val="auto"/>
        </w:rPr>
        <w:t>advance our current product candidates and any future product candidates we may develop into preclinical and clinical development;</w:t>
      </w:r>
    </w:p>
    <w:p>
      <w:pPr>
        <w:spacing w:after="0" w:line="61" w:lineRule="exact"/>
        <w:rPr>
          <w:rFonts w:ascii="Arial" w:cs="Arial" w:eastAsia="Arial" w:hAnsi="Arial"/>
          <w:sz w:val="19"/>
          <w:szCs w:val="19"/>
          <w:color w:val="auto"/>
        </w:rPr>
      </w:pPr>
    </w:p>
    <w:p>
      <w:pPr>
        <w:ind w:left="920" w:hanging="458"/>
        <w:spacing w:after="0"/>
        <w:tabs>
          <w:tab w:leader="none" w:pos="920" w:val="left"/>
        </w:tabs>
        <w:numPr>
          <w:ilvl w:val="0"/>
          <w:numId w:val="26"/>
        </w:numPr>
        <w:rPr>
          <w:rFonts w:ascii="Arial" w:cs="Arial" w:eastAsia="Arial" w:hAnsi="Arial"/>
          <w:sz w:val="19"/>
          <w:szCs w:val="19"/>
          <w:color w:val="auto"/>
        </w:rPr>
      </w:pPr>
      <w:r>
        <w:rPr>
          <w:rFonts w:ascii="Times New Roman" w:cs="Times New Roman" w:eastAsia="Times New Roman" w:hAnsi="Times New Roman"/>
          <w:sz w:val="19"/>
          <w:szCs w:val="19"/>
          <w:color w:val="auto"/>
        </w:rPr>
        <w:t>seek marketing approvals for product candidates that successfully complete clinical trials, if any;</w:t>
      </w:r>
    </w:p>
    <w:p>
      <w:pPr>
        <w:spacing w:after="0" w:line="124" w:lineRule="exact"/>
        <w:rPr>
          <w:rFonts w:ascii="Arial" w:cs="Arial" w:eastAsia="Arial" w:hAnsi="Arial"/>
          <w:sz w:val="19"/>
          <w:szCs w:val="19"/>
          <w:color w:val="auto"/>
        </w:rPr>
      </w:pPr>
    </w:p>
    <w:p>
      <w:pPr>
        <w:ind w:left="920" w:hanging="458"/>
        <w:spacing w:after="0"/>
        <w:tabs>
          <w:tab w:leader="none" w:pos="920" w:val="left"/>
        </w:tabs>
        <w:numPr>
          <w:ilvl w:val="0"/>
          <w:numId w:val="26"/>
        </w:numPr>
        <w:rPr>
          <w:rFonts w:ascii="Arial" w:cs="Arial" w:eastAsia="Arial" w:hAnsi="Arial"/>
          <w:sz w:val="19"/>
          <w:szCs w:val="19"/>
          <w:color w:val="auto"/>
        </w:rPr>
      </w:pPr>
      <w:r>
        <w:rPr>
          <w:rFonts w:ascii="Times New Roman" w:cs="Times New Roman" w:eastAsia="Times New Roman" w:hAnsi="Times New Roman"/>
          <w:sz w:val="19"/>
          <w:szCs w:val="19"/>
          <w:color w:val="auto"/>
        </w:rPr>
        <w:t>obtain, expand, maintain, defend and enforce our intellectual property;</w:t>
      </w:r>
    </w:p>
    <w:p>
      <w:pPr>
        <w:spacing w:after="0" w:line="124" w:lineRule="exact"/>
        <w:rPr>
          <w:rFonts w:ascii="Arial" w:cs="Arial" w:eastAsia="Arial" w:hAnsi="Arial"/>
          <w:sz w:val="19"/>
          <w:szCs w:val="19"/>
          <w:color w:val="auto"/>
        </w:rPr>
      </w:pPr>
    </w:p>
    <w:p>
      <w:pPr>
        <w:ind w:left="920" w:hanging="458"/>
        <w:spacing w:after="0"/>
        <w:tabs>
          <w:tab w:leader="none" w:pos="920" w:val="left"/>
        </w:tabs>
        <w:numPr>
          <w:ilvl w:val="0"/>
          <w:numId w:val="26"/>
        </w:numPr>
        <w:rPr>
          <w:rFonts w:ascii="Arial" w:cs="Arial" w:eastAsia="Arial" w:hAnsi="Arial"/>
          <w:sz w:val="19"/>
          <w:szCs w:val="19"/>
          <w:color w:val="auto"/>
        </w:rPr>
      </w:pPr>
      <w:r>
        <w:rPr>
          <w:rFonts w:ascii="Times New Roman" w:cs="Times New Roman" w:eastAsia="Times New Roman" w:hAnsi="Times New Roman"/>
          <w:sz w:val="19"/>
          <w:szCs w:val="19"/>
          <w:color w:val="auto"/>
        </w:rPr>
        <w:t>continue to discover, validate and develop additional product candidates;</w:t>
      </w:r>
    </w:p>
    <w:p>
      <w:pPr>
        <w:sectPr>
          <w:pgSz w:w="12240" w:h="15840" w:orient="portrait"/>
          <w:cols w:equalWidth="0" w:num="1">
            <w:col w:w="10200"/>
          </w:cols>
          <w:pgMar w:left="1020" w:top="1317" w:right="1020" w:bottom="574"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38</w:t>
      </w:r>
    </w:p>
    <w:p>
      <w:pPr>
        <w:sectPr>
          <w:pgSz w:w="12240" w:h="15840" w:orient="portrait"/>
          <w:cols w:equalWidth="0" w:num="1">
            <w:col w:w="10200"/>
          </w:cols>
          <w:pgMar w:left="1020" w:top="1317" w:right="1020" w:bottom="574" w:gutter="0" w:footer="0" w:header="0"/>
          <w:type w:val="continuous"/>
        </w:sectPr>
      </w:pPr>
    </w:p>
    <w:bookmarkStart w:id="41" w:name="page42"/>
    <w:bookmarkEnd w:id="41"/>
    <w:p>
      <w:pPr>
        <w:ind w:left="920" w:hanging="458"/>
        <w:spacing w:after="0" w:line="274" w:lineRule="auto"/>
        <w:tabs>
          <w:tab w:leader="none" w:pos="920" w:val="left"/>
        </w:tabs>
        <w:numPr>
          <w:ilvl w:val="0"/>
          <w:numId w:val="27"/>
        </w:numPr>
        <w:rPr>
          <w:rFonts w:ascii="Arial" w:cs="Arial" w:eastAsia="Arial" w:hAnsi="Arial"/>
          <w:sz w:val="19"/>
          <w:szCs w:val="19"/>
          <w:color w:val="auto"/>
        </w:rPr>
      </w:pPr>
      <w:r>
        <w:rPr>
          <w:rFonts w:ascii="Times New Roman" w:cs="Times New Roman" w:eastAsia="Times New Roman" w:hAnsi="Times New Roman"/>
          <w:sz w:val="19"/>
          <w:szCs w:val="19"/>
          <w:color w:val="auto"/>
        </w:rPr>
        <w:t>continue to manufacture increasing quantities of our current or future product candidates for use in preclinical studies, clinical trials and for any potential commercialization;</w:t>
      </w:r>
    </w:p>
    <w:p>
      <w:pPr>
        <w:spacing w:after="0" w:line="61" w:lineRule="exact"/>
        <w:rPr>
          <w:rFonts w:ascii="Arial" w:cs="Arial" w:eastAsia="Arial" w:hAnsi="Arial"/>
          <w:sz w:val="19"/>
          <w:szCs w:val="19"/>
          <w:color w:val="auto"/>
        </w:rPr>
      </w:pPr>
    </w:p>
    <w:p>
      <w:pPr>
        <w:ind w:left="920" w:hanging="458"/>
        <w:spacing w:after="0"/>
        <w:tabs>
          <w:tab w:leader="none" w:pos="920" w:val="left"/>
        </w:tabs>
        <w:numPr>
          <w:ilvl w:val="0"/>
          <w:numId w:val="27"/>
        </w:numPr>
        <w:rPr>
          <w:rFonts w:ascii="Arial" w:cs="Arial" w:eastAsia="Arial" w:hAnsi="Arial"/>
          <w:sz w:val="19"/>
          <w:szCs w:val="19"/>
          <w:color w:val="auto"/>
        </w:rPr>
      </w:pPr>
      <w:r>
        <w:rPr>
          <w:rFonts w:ascii="Times New Roman" w:cs="Times New Roman" w:eastAsia="Times New Roman" w:hAnsi="Times New Roman"/>
          <w:sz w:val="19"/>
          <w:szCs w:val="19"/>
          <w:color w:val="auto"/>
        </w:rPr>
        <w:t>acquire or in-license other product candidates, technologies or intellectual property;</w:t>
      </w:r>
    </w:p>
    <w:p>
      <w:pPr>
        <w:spacing w:after="0" w:line="124" w:lineRule="exact"/>
        <w:rPr>
          <w:rFonts w:ascii="Arial" w:cs="Arial" w:eastAsia="Arial" w:hAnsi="Arial"/>
          <w:sz w:val="19"/>
          <w:szCs w:val="19"/>
          <w:color w:val="auto"/>
        </w:rPr>
      </w:pPr>
    </w:p>
    <w:p>
      <w:pPr>
        <w:ind w:left="920" w:hanging="458"/>
        <w:spacing w:after="0"/>
        <w:tabs>
          <w:tab w:leader="none" w:pos="920" w:val="left"/>
        </w:tabs>
        <w:numPr>
          <w:ilvl w:val="0"/>
          <w:numId w:val="27"/>
        </w:numPr>
        <w:rPr>
          <w:rFonts w:ascii="Arial" w:cs="Arial" w:eastAsia="Arial" w:hAnsi="Arial"/>
          <w:sz w:val="19"/>
          <w:szCs w:val="19"/>
          <w:color w:val="auto"/>
        </w:rPr>
      </w:pPr>
      <w:r>
        <w:rPr>
          <w:rFonts w:ascii="Times New Roman" w:cs="Times New Roman" w:eastAsia="Times New Roman" w:hAnsi="Times New Roman"/>
          <w:sz w:val="19"/>
          <w:szCs w:val="19"/>
          <w:color w:val="auto"/>
        </w:rPr>
        <w:t>hire additional personnel to support current or future programs;</w:t>
      </w:r>
    </w:p>
    <w:p>
      <w:pPr>
        <w:spacing w:after="0" w:line="124"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27"/>
        </w:numPr>
        <w:rPr>
          <w:rFonts w:ascii="Arial" w:cs="Arial" w:eastAsia="Arial" w:hAnsi="Arial"/>
          <w:sz w:val="19"/>
          <w:szCs w:val="19"/>
          <w:color w:val="auto"/>
        </w:rPr>
      </w:pPr>
      <w:r>
        <w:rPr>
          <w:rFonts w:ascii="Times New Roman" w:cs="Times New Roman" w:eastAsia="Times New Roman" w:hAnsi="Times New Roman"/>
          <w:sz w:val="19"/>
          <w:szCs w:val="19"/>
          <w:color w:val="auto"/>
        </w:rPr>
        <w:t>establish a commercial and distribution infrastructure to commercialize products for which we may obtain marketing approval, if any; and</w:t>
      </w:r>
    </w:p>
    <w:p>
      <w:pPr>
        <w:spacing w:after="0" w:line="61"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27"/>
        </w:numPr>
        <w:rPr>
          <w:rFonts w:ascii="Arial" w:cs="Arial" w:eastAsia="Arial" w:hAnsi="Arial"/>
          <w:sz w:val="19"/>
          <w:szCs w:val="19"/>
          <w:color w:val="auto"/>
        </w:rPr>
      </w:pPr>
      <w:r>
        <w:rPr>
          <w:rFonts w:ascii="Times New Roman" w:cs="Times New Roman" w:eastAsia="Times New Roman" w:hAnsi="Times New Roman"/>
          <w:sz w:val="19"/>
          <w:szCs w:val="19"/>
          <w:color w:val="auto"/>
        </w:rPr>
        <w:t>incur additional costs associated with current and future research, development and commercialization efforts and operations as a public company.</w:t>
      </w:r>
    </w:p>
    <w:p>
      <w:pPr>
        <w:spacing w:after="0" w:line="15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9"/>
          <w:szCs w:val="19"/>
          <w:color w:val="auto"/>
        </w:rPr>
        <w:t>Even if we successfully complete clinical trials and obtain regulatory approval for one or more of our product candidates, our ability to generate product revenue sufficient to achieve profitability will depend heavily on the successful commercialization of those product candidates. Because of the numerous risks and uncertainties associated with product development, we are unable to predict the timing or amount of increased expenses or when or if we will be able to achieve profitability. In addition, even if we are able to generate revenue from product sales, we may not become profitable.</w:t>
      </w:r>
    </w:p>
    <w:p>
      <w:pPr>
        <w:spacing w:after="0" w:line="1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9"/>
          <w:szCs w:val="19"/>
          <w:b w:val="1"/>
          <w:bCs w:val="1"/>
          <w:i w:val="1"/>
          <w:iCs w:val="1"/>
          <w:color w:val="auto"/>
        </w:rPr>
        <w:t>Raising additional capital in the future may cause dilution to our stockholders, restrict our operations or require us to relinquish rights to product candidates or our technology. In addition, the issuance of shares of common stock upon the exercise of our outstanding prefunded warrants or common stock warrants will result in immediate and substantial dilution to our existing stockholders.</w:t>
      </w:r>
    </w:p>
    <w:p>
      <w:pPr>
        <w:spacing w:after="0" w:line="17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9"/>
          <w:szCs w:val="19"/>
          <w:color w:val="auto"/>
        </w:rPr>
        <w:t>Unless and until we can generate a substantial amount of product revenue, we expect to seek additional capital through a combination of public or private equity offerings, debt, collaborations, licensing arrangements or other sources. Our issuance of additional securities, whether equity or debt, or the possibility of such issuance, may cause the market price of our common stock to decline, and our stockholders may not agree with our plans for additional capital or the terms of such capital. To the extent that we raise additional capital through the sale of equity or convertible debt securities, our stockholders’ ownership interest will be diluted, and the terms of these securities may include liquidation or other preferences that adversely affect the rights of our existing stockholders. In addition, the issuance of shares of common stock upon the exercise of our outstanding prefunded warrants or common stock warrants will result in immediate and substantial dilution to our existing stockholders. Similarly, if we issue additional shares of our common stock in one or more public or private offerings in the future, our existing stockholders will suffer further dilution. In addition, as a condition to providing additional funds to us, Gilead and AbbVie received rights superior to those of existing stockholders, and in connection with the issuance of prefunded warrants and common stock warrants in June 2025, we agreed to specified restrictions on our future equity issuances, unless we obtain the requisite prior approval of the warrant holders. Future investors may similarly receive rights that are superior to those of existing investors or which place restrictions on our future equity issuances. In addition, the incurrence of any indebtedness would result in additional payment obligations and is likely to involve restrictive covenants limiting our flexibility in conducting future business activities, and, in the event of insolvency, would be repaid before holders of our equity securities received any distribution of our corporate assets. Further, in raising funds through our collaborations and licensing arrangements with third parties, we have had to, and may in the future need to, relinquish valuable rights, partially or fully, to our technologies, future revenue streams, research programs or product candidates and grant licenses on terms unfavorable to us. In addition, securing additional capital would require a substantial amount of time and attention from our management and may divert a disproportionate amount of their attention away from day-to-day activities, which may adversely affect our management’s ability to oversee the development of our product candidates.</w:t>
      </w:r>
    </w:p>
    <w:p>
      <w:pPr>
        <w:spacing w:after="0" w:line="19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b w:val="1"/>
          <w:bCs w:val="1"/>
          <w:i w:val="1"/>
          <w:iCs w:val="1"/>
          <w:color w:val="auto"/>
        </w:rPr>
        <w:t>We have no products approved for commercial sale and have not generated any revenue from product sales. We may never generate any revenue from product sales or become profitable and, if we achieve profitability, we may not be able to sustain it.</w:t>
      </w:r>
    </w:p>
    <w:p>
      <w:pPr>
        <w:spacing w:after="0" w:line="15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To date, we have not generated any revenue from product sales. We do not expect to generate any revenue from the sale of products for a number of years, and we may never generate revenue from the sale of products. Our ability to generate revenue from product sales depends on a number of factors, including our ability to:</w:t>
      </w:r>
    </w:p>
    <w:p>
      <w:pPr>
        <w:spacing w:after="0" w:line="77" w:lineRule="exact"/>
        <w:rPr>
          <w:sz w:val="20"/>
          <w:szCs w:val="20"/>
          <w:color w:val="auto"/>
        </w:rPr>
      </w:pPr>
    </w:p>
    <w:p>
      <w:pPr>
        <w:ind w:left="920" w:hanging="458"/>
        <w:spacing w:after="0" w:line="274" w:lineRule="auto"/>
        <w:tabs>
          <w:tab w:leader="none" w:pos="920" w:val="left"/>
        </w:tabs>
        <w:numPr>
          <w:ilvl w:val="0"/>
          <w:numId w:val="28"/>
        </w:numPr>
        <w:rPr>
          <w:rFonts w:ascii="Arial" w:cs="Arial" w:eastAsia="Arial" w:hAnsi="Arial"/>
          <w:sz w:val="19"/>
          <w:szCs w:val="19"/>
          <w:color w:val="auto"/>
        </w:rPr>
      </w:pPr>
      <w:r>
        <w:rPr>
          <w:rFonts w:ascii="Times New Roman" w:cs="Times New Roman" w:eastAsia="Times New Roman" w:hAnsi="Times New Roman"/>
          <w:sz w:val="19"/>
          <w:szCs w:val="19"/>
          <w:color w:val="auto"/>
        </w:rPr>
        <w:t>successfully complete our ongoing and planned preclinical studies and clinical trials for any current or future product candidates;</w:t>
      </w:r>
    </w:p>
    <w:p>
      <w:pPr>
        <w:spacing w:after="0" w:line="61"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28"/>
        </w:numPr>
        <w:rPr>
          <w:rFonts w:ascii="Arial" w:cs="Arial" w:eastAsia="Arial" w:hAnsi="Arial"/>
          <w:sz w:val="19"/>
          <w:szCs w:val="19"/>
          <w:color w:val="auto"/>
        </w:rPr>
      </w:pPr>
      <w:r>
        <w:rPr>
          <w:rFonts w:ascii="Times New Roman" w:cs="Times New Roman" w:eastAsia="Times New Roman" w:hAnsi="Times New Roman"/>
          <w:sz w:val="19"/>
          <w:szCs w:val="19"/>
          <w:color w:val="auto"/>
        </w:rPr>
        <w:t>successfully receive U.S. Food and Drug Administration, or FDA, clearance for any investigational new drug application, or IND, for any current or future product candidates;</w:t>
      </w:r>
    </w:p>
    <w:p>
      <w:pPr>
        <w:spacing w:after="0" w:line="61" w:lineRule="exact"/>
        <w:rPr>
          <w:rFonts w:ascii="Arial" w:cs="Arial" w:eastAsia="Arial" w:hAnsi="Arial"/>
          <w:sz w:val="19"/>
          <w:szCs w:val="19"/>
          <w:color w:val="auto"/>
        </w:rPr>
      </w:pPr>
    </w:p>
    <w:p>
      <w:pPr>
        <w:jc w:val="both"/>
        <w:ind w:left="920" w:hanging="458"/>
        <w:spacing w:after="0" w:line="256" w:lineRule="auto"/>
        <w:tabs>
          <w:tab w:leader="none" w:pos="920" w:val="left"/>
        </w:tabs>
        <w:numPr>
          <w:ilvl w:val="0"/>
          <w:numId w:val="28"/>
        </w:numPr>
        <w:rPr>
          <w:rFonts w:ascii="Arial" w:cs="Arial" w:eastAsia="Arial" w:hAnsi="Arial"/>
          <w:sz w:val="19"/>
          <w:szCs w:val="19"/>
          <w:color w:val="auto"/>
        </w:rPr>
      </w:pPr>
      <w:r>
        <w:rPr>
          <w:rFonts w:ascii="Times New Roman" w:cs="Times New Roman" w:eastAsia="Times New Roman" w:hAnsi="Times New Roman"/>
          <w:sz w:val="19"/>
          <w:szCs w:val="19"/>
          <w:color w:val="auto"/>
        </w:rPr>
        <w:t>successfully initiate and complete clinical trials for our clinical-stage product candidates and any other current or future product candidates, including all safety and efficacy studies necessary to obtain U.S. and foreign regulatory approval for our product candidates;</w:t>
      </w:r>
    </w:p>
    <w:p>
      <w:pPr>
        <w:sectPr>
          <w:pgSz w:w="12240" w:h="15840" w:orient="portrait"/>
          <w:cols w:equalWidth="0" w:num="1">
            <w:col w:w="10200"/>
          </w:cols>
          <w:pgMar w:left="1020" w:top="1330" w:right="1020" w:bottom="574" w:gutter="0" w:footer="0" w:header="0"/>
        </w:sect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39</w:t>
      </w:r>
    </w:p>
    <w:p>
      <w:pPr>
        <w:sectPr>
          <w:pgSz w:w="12240" w:h="15840" w:orient="portrait"/>
          <w:cols w:equalWidth="0" w:num="1">
            <w:col w:w="10200"/>
          </w:cols>
          <w:pgMar w:left="1020" w:top="1330" w:right="1020" w:bottom="574" w:gutter="0" w:footer="0" w:header="0"/>
          <w:type w:val="continuous"/>
        </w:sectPr>
      </w:pPr>
    </w:p>
    <w:bookmarkStart w:id="42" w:name="page43"/>
    <w:bookmarkEnd w:id="42"/>
    <w:p>
      <w:pPr>
        <w:ind w:left="920" w:hanging="458"/>
        <w:spacing w:after="0" w:line="274" w:lineRule="auto"/>
        <w:tabs>
          <w:tab w:leader="none" w:pos="920" w:val="left"/>
        </w:tabs>
        <w:numPr>
          <w:ilvl w:val="0"/>
          <w:numId w:val="29"/>
        </w:numPr>
        <w:rPr>
          <w:rFonts w:ascii="Arial" w:cs="Arial" w:eastAsia="Arial" w:hAnsi="Arial"/>
          <w:sz w:val="19"/>
          <w:szCs w:val="19"/>
          <w:color w:val="auto"/>
        </w:rPr>
      </w:pPr>
      <w:r>
        <w:rPr>
          <w:rFonts w:ascii="Times New Roman" w:cs="Times New Roman" w:eastAsia="Times New Roman" w:hAnsi="Times New Roman"/>
          <w:sz w:val="19"/>
          <w:szCs w:val="19"/>
          <w:color w:val="auto"/>
        </w:rPr>
        <w:t>establish and maintain clinical and commercial manufacturing capabilities or make arrangements with third-party manufacturers for clinical supply and commercial manufacturing;</w:t>
      </w:r>
    </w:p>
    <w:p>
      <w:pPr>
        <w:spacing w:after="0" w:line="61" w:lineRule="exact"/>
        <w:rPr>
          <w:rFonts w:ascii="Arial" w:cs="Arial" w:eastAsia="Arial" w:hAnsi="Arial"/>
          <w:sz w:val="19"/>
          <w:szCs w:val="19"/>
          <w:color w:val="auto"/>
        </w:rPr>
      </w:pPr>
    </w:p>
    <w:p>
      <w:pPr>
        <w:ind w:left="920" w:hanging="458"/>
        <w:spacing w:after="0"/>
        <w:tabs>
          <w:tab w:leader="none" w:pos="920" w:val="left"/>
        </w:tabs>
        <w:numPr>
          <w:ilvl w:val="0"/>
          <w:numId w:val="29"/>
        </w:numPr>
        <w:rPr>
          <w:rFonts w:ascii="Arial" w:cs="Arial" w:eastAsia="Arial" w:hAnsi="Arial"/>
          <w:sz w:val="19"/>
          <w:szCs w:val="19"/>
          <w:color w:val="auto"/>
        </w:rPr>
      </w:pPr>
      <w:r>
        <w:rPr>
          <w:rFonts w:ascii="Times New Roman" w:cs="Times New Roman" w:eastAsia="Times New Roman" w:hAnsi="Times New Roman"/>
          <w:sz w:val="19"/>
          <w:szCs w:val="19"/>
          <w:color w:val="auto"/>
        </w:rPr>
        <w:t>launch commercial sales of our products, if and when approved, whether alone or in collaboration with others;</w:t>
      </w:r>
    </w:p>
    <w:p>
      <w:pPr>
        <w:spacing w:after="0" w:line="124"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29"/>
        </w:numPr>
        <w:rPr>
          <w:rFonts w:ascii="Arial" w:cs="Arial" w:eastAsia="Arial" w:hAnsi="Arial"/>
          <w:sz w:val="19"/>
          <w:szCs w:val="19"/>
          <w:color w:val="auto"/>
        </w:rPr>
      </w:pPr>
      <w:r>
        <w:rPr>
          <w:rFonts w:ascii="Times New Roman" w:cs="Times New Roman" w:eastAsia="Times New Roman" w:hAnsi="Times New Roman"/>
          <w:sz w:val="19"/>
          <w:szCs w:val="19"/>
          <w:color w:val="auto"/>
        </w:rPr>
        <w:t>obtain and maintain acceptance of the products, if and when approved, by patients, the medical community and third-party payors;</w:t>
      </w:r>
    </w:p>
    <w:p>
      <w:pPr>
        <w:spacing w:after="0" w:line="61" w:lineRule="exact"/>
        <w:rPr>
          <w:rFonts w:ascii="Arial" w:cs="Arial" w:eastAsia="Arial" w:hAnsi="Arial"/>
          <w:sz w:val="19"/>
          <w:szCs w:val="19"/>
          <w:color w:val="auto"/>
        </w:rPr>
      </w:pPr>
    </w:p>
    <w:p>
      <w:pPr>
        <w:ind w:left="920" w:hanging="458"/>
        <w:spacing w:after="0"/>
        <w:tabs>
          <w:tab w:leader="none" w:pos="920" w:val="left"/>
        </w:tabs>
        <w:numPr>
          <w:ilvl w:val="0"/>
          <w:numId w:val="29"/>
        </w:numPr>
        <w:rPr>
          <w:rFonts w:ascii="Arial" w:cs="Arial" w:eastAsia="Arial" w:hAnsi="Arial"/>
          <w:sz w:val="19"/>
          <w:szCs w:val="19"/>
          <w:color w:val="auto"/>
        </w:rPr>
      </w:pPr>
      <w:r>
        <w:rPr>
          <w:rFonts w:ascii="Times New Roman" w:cs="Times New Roman" w:eastAsia="Times New Roman" w:hAnsi="Times New Roman"/>
          <w:sz w:val="19"/>
          <w:szCs w:val="19"/>
          <w:color w:val="auto"/>
        </w:rPr>
        <w:t>effectively compete with other therapies;</w:t>
      </w:r>
    </w:p>
    <w:p>
      <w:pPr>
        <w:spacing w:after="0" w:line="124" w:lineRule="exact"/>
        <w:rPr>
          <w:rFonts w:ascii="Arial" w:cs="Arial" w:eastAsia="Arial" w:hAnsi="Arial"/>
          <w:sz w:val="19"/>
          <w:szCs w:val="19"/>
          <w:color w:val="auto"/>
        </w:rPr>
      </w:pPr>
    </w:p>
    <w:p>
      <w:pPr>
        <w:ind w:left="920" w:hanging="458"/>
        <w:spacing w:after="0"/>
        <w:tabs>
          <w:tab w:leader="none" w:pos="920" w:val="left"/>
        </w:tabs>
        <w:numPr>
          <w:ilvl w:val="0"/>
          <w:numId w:val="29"/>
        </w:numPr>
        <w:rPr>
          <w:rFonts w:ascii="Arial" w:cs="Arial" w:eastAsia="Arial" w:hAnsi="Arial"/>
          <w:sz w:val="19"/>
          <w:szCs w:val="19"/>
          <w:color w:val="auto"/>
        </w:rPr>
      </w:pPr>
      <w:r>
        <w:rPr>
          <w:rFonts w:ascii="Times New Roman" w:cs="Times New Roman" w:eastAsia="Times New Roman" w:hAnsi="Times New Roman"/>
          <w:sz w:val="19"/>
          <w:szCs w:val="19"/>
          <w:color w:val="auto"/>
        </w:rPr>
        <w:t>obtain and maintain healthcare coverage and adequate reimbursement for our products, if and when approved;</w:t>
      </w:r>
    </w:p>
    <w:p>
      <w:pPr>
        <w:spacing w:after="0" w:line="124" w:lineRule="exact"/>
        <w:rPr>
          <w:rFonts w:ascii="Arial" w:cs="Arial" w:eastAsia="Arial" w:hAnsi="Arial"/>
          <w:sz w:val="19"/>
          <w:szCs w:val="19"/>
          <w:color w:val="auto"/>
        </w:rPr>
      </w:pPr>
    </w:p>
    <w:p>
      <w:pPr>
        <w:ind w:left="920" w:hanging="458"/>
        <w:spacing w:after="0"/>
        <w:tabs>
          <w:tab w:leader="none" w:pos="920" w:val="left"/>
        </w:tabs>
        <w:numPr>
          <w:ilvl w:val="0"/>
          <w:numId w:val="29"/>
        </w:numPr>
        <w:rPr>
          <w:rFonts w:ascii="Arial" w:cs="Arial" w:eastAsia="Arial" w:hAnsi="Arial"/>
          <w:sz w:val="19"/>
          <w:szCs w:val="19"/>
          <w:color w:val="auto"/>
        </w:rPr>
      </w:pPr>
      <w:r>
        <w:rPr>
          <w:rFonts w:ascii="Times New Roman" w:cs="Times New Roman" w:eastAsia="Times New Roman" w:hAnsi="Times New Roman"/>
          <w:sz w:val="19"/>
          <w:szCs w:val="19"/>
          <w:color w:val="auto"/>
        </w:rPr>
        <w:t>maintain a continued acceptable safety profile of our products following approval; and</w:t>
      </w:r>
    </w:p>
    <w:p>
      <w:pPr>
        <w:spacing w:after="0" w:line="124" w:lineRule="exact"/>
        <w:rPr>
          <w:rFonts w:ascii="Arial" w:cs="Arial" w:eastAsia="Arial" w:hAnsi="Arial"/>
          <w:sz w:val="19"/>
          <w:szCs w:val="19"/>
          <w:color w:val="auto"/>
        </w:rPr>
      </w:pPr>
    </w:p>
    <w:p>
      <w:pPr>
        <w:ind w:left="920" w:hanging="458"/>
        <w:spacing w:after="0"/>
        <w:tabs>
          <w:tab w:leader="none" w:pos="920" w:val="left"/>
        </w:tabs>
        <w:numPr>
          <w:ilvl w:val="0"/>
          <w:numId w:val="29"/>
        </w:numPr>
        <w:rPr>
          <w:rFonts w:ascii="Arial" w:cs="Arial" w:eastAsia="Arial" w:hAnsi="Arial"/>
          <w:sz w:val="19"/>
          <w:szCs w:val="19"/>
          <w:color w:val="auto"/>
        </w:rPr>
      </w:pPr>
      <w:r>
        <w:rPr>
          <w:rFonts w:ascii="Times New Roman" w:cs="Times New Roman" w:eastAsia="Times New Roman" w:hAnsi="Times New Roman"/>
          <w:sz w:val="19"/>
          <w:szCs w:val="19"/>
          <w:color w:val="auto"/>
        </w:rPr>
        <w:t>enforce and defend intellectual property rights and claims.</w:t>
      </w:r>
    </w:p>
    <w:p>
      <w:pPr>
        <w:spacing w:after="0" w:line="21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Because of the numerous risks and uncertainties associated with biopharmaceutical product development, we are unable to accurately predict the timing or amount of expenses we may incur in connection with these activities prior to generating revenue from product sales. In addition, we may never succeed in these activities, and, even if we do, we may never generate revenues that are significant enough to achieve profitability. 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candidates or even continue our operations. A decline in the value of our company could also cause our stockholders to lose all or part of their investment.</w:t>
      </w:r>
    </w:p>
    <w:p>
      <w:pPr>
        <w:spacing w:after="0" w:line="18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b w:val="1"/>
          <w:bCs w:val="1"/>
          <w:i w:val="1"/>
          <w:iCs w:val="1"/>
          <w:color w:val="auto"/>
        </w:rPr>
        <w:t>Our limited operating history may make it difficult for an investor to evaluate the success of our business to date and to assess our future viability.</w:t>
      </w:r>
    </w:p>
    <w:p>
      <w:pPr>
        <w:spacing w:after="0" w:line="15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color w:val="auto"/>
        </w:rPr>
        <w:t>We are a clinical-stage biotechnology company with a limited operating history upon which investors can evaluate our business and prospects. Since inception, we have devoted substantially all of our financial resources and efforts to performing research and development activities. Our approach to the discovery and development of masked I-O product candidates using our proprietary platform technology is unproven, and we do not know whether we will be able to develop any approved products of commercial value. In addition, each of our product candidates is either in early clinical or preclinical development, and all of our other development programs are still in discovery stages. We have not yet demonstrated an ability to successfully complete any late-stage clinical trials, obtain regulatory approvals, manufacture a commercial-scale product, or arrange for a third party to do so on our behalf, or conduct the sales and marketing activities necessary for successful product commercialization. Consequently, any predictions made about our future success or viability may not be as accurate as they could be if we had a history of successfully developing and commercializing biopharmaceutical products.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Our ability to utilize our net operating loss carryforwards and certain other tax attributes may be limited.</w:t>
      </w:r>
    </w:p>
    <w:p>
      <w:pPr>
        <w:spacing w:after="0" w:line="21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We have incurred substantial losses during our history. As of December 31, 2025, we had federal and state net operating loss, or NOL, carryforwards of $263.5 million and $234.6 million, respectively. We do not anticipate generating revenue from sales of products for the foreseeable future, if ever, and we do not know whether or when we will generate taxable income necessary to utilize our NOLs.</w:t>
      </w:r>
    </w:p>
    <w:p>
      <w:pPr>
        <w:spacing w:after="0" w:line="15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In general, under Sections 382 and 383 of the Internal Revenue Code of 1986, as amended, or the Code, and corresponding provisions of state law, if a corporation undergoes an “ownership change” (generally defined as a greater than 50 percentage point change (by value) in the ownership of its equity by certain stockholders over a three-year period), the corporation’s ability to use its pre-change NOL carryforwards and other pre-change tax attributes to offset its post-change income is subject to limitations. In the second quarter of 2024, we had an ownership change as defined by Sections 382 and 383 of the Code. As a result, if we earn net taxable income, our ability to use our pre-change NOL carryforwards and other pre-change tax attributes to offset such taxable income may be subject to limitations, which could result in increased future tax liability to us and could have an adverse effect on our future results of operations.</w:t>
      </w:r>
    </w:p>
    <w:p>
      <w:pPr>
        <w:spacing w:after="0" w:line="19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There is also a risk that due to regulatory changes, such as suspensions on the use of NOLs, or other unforeseen reasons, our existing NOLs could expire or otherwise become unavailable to offset future income tax liabilities. As described below in “Risks Related to Ownership of Our Common Stock—Changes in tax laws or in their implementation or interpretation may adversely affect our business and financial condition,” the Tax Cuts and Jobs Act of 2017, or the Tax Act, as amended by the Coronavirus Aid, Relief, and Economic Security Act, or the CARES Act, includes changes to U.S. federal tax rates and the rules governing NOL carryforwards that may significantly impact our ability to utilize our NOLs to offset taxable income in the future. In addition, state NOLs generated in one state cannot be used to offset income generated in another state. For these reasons, even if we attain profitability, we may be</w:t>
      </w:r>
    </w:p>
    <w:p>
      <w:pPr>
        <w:sectPr>
          <w:pgSz w:w="12240" w:h="15840" w:orient="portrait"/>
          <w:cols w:equalWidth="0" w:num="1">
            <w:col w:w="10200"/>
          </w:cols>
          <w:pgMar w:left="1020" w:top="1330" w:right="1020" w:bottom="574" w:gutter="0" w:footer="0" w:header="0"/>
        </w:sect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40</w:t>
      </w:r>
    </w:p>
    <w:p>
      <w:pPr>
        <w:sectPr>
          <w:pgSz w:w="12240" w:h="15840" w:orient="portrait"/>
          <w:cols w:equalWidth="0" w:num="1">
            <w:col w:w="10200"/>
          </w:cols>
          <w:pgMar w:left="1020" w:top="1330" w:right="1020" w:bottom="574"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9"/>
          <w:szCs w:val="19"/>
          <w:color w:val="auto"/>
        </w:rPr>
        <w:t>unable to use a material portion of our NOLs and other tax attributes.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Risks Related to the Discovery and Development of Our Product Candidates</w:t>
      </w:r>
    </w:p>
    <w:p>
      <w:pPr>
        <w:spacing w:after="0" w:line="2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b w:val="1"/>
          <w:bCs w:val="1"/>
          <w:i w:val="1"/>
          <w:iCs w:val="1"/>
          <w:color w:val="auto"/>
        </w:rPr>
        <w:t>Our business is highly dependent on the success of our current product candidates, which are in the early stages of development and will require significant additional preclinical and clinical development before we can seek regulatory approval for and commercially launch a product.</w:t>
      </w:r>
    </w:p>
    <w:p>
      <w:pPr>
        <w:spacing w:after="0" w:line="16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color w:val="auto"/>
        </w:rPr>
        <w:t>Our business and future success is highly dependent on our ability to obtain regulatory approval for, and if approved, successfully launch and commercialize, our current product candidates, including our clinical-stage, masked I-O product candidates: vilastobart and efarindodekin alfa. We are currently evaluating vilastobart in combination with atezolizumab (Tecentriq®) in an ongoing Phase 2 clinical trial in patients with microsatellite stable, or MSS, metastatic colorectal cancer, or mCRC, and we are currently evaluating efarindodekin alfa as a monotherapy in an ongoing Phase 2 clinical trial in patients with certain advanced solid tumors. We also have a portfolio of programs that are in earlier stages of development and may never advance to clinical-stage development, including XTX501, our bispecific PD-1/masked IL-2, which is designed to selectively stimulate PD-1 positive antigen-experienced T cells and enhance their function and is currently advancing in initial IND-enabling activities, and our wholly-owned preclinical programs for a multi-specific masked T cell engager targeting prostate-specific membrane antigen, or PSMA, and six-transmembrane epithelial antigen of prostate 1, or STEAP1, and a masked T cell engager targeting claudin 18.2, or CLDN18.2, as well as an additional masked T cell engager program in collaboration with AbbVie.</w:t>
      </w:r>
    </w:p>
    <w:p>
      <w:pPr>
        <w:spacing w:after="0" w:line="19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Commencing clinical trials in the U.S. is subject to acceptance by the FDA of an IND and finalizing the trial design based on discussions with the FDA and other regulatory authorities. In the event that the FDA requires us to complete additional preclinical studies, or we are required to satisfy other FDA requests prior to commencing clinical trials, the start of our clinical trials may be delayed. Even after we receive and incorporate guidance from these regulatory authorities, the FDA or other regulatory authorities could disagree that we have satisfied their requirements to commence any clinical trial or change their position on the acceptability of our trial design or the clinical endpoints selected, which may require us to complete additional preclinical studies or clinical trials or impose stricter approval conditions than we currently expect. There are equivalent processes and risks applicable to clinical trial applications in other countries, including countries in the European Union, or EU.</w:t>
      </w:r>
    </w:p>
    <w:p>
      <w:pPr>
        <w:spacing w:after="0" w:line="19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To date, we have only had limited interactions with the FDA regarding our clinical development plans. We may experience issues surrounding preliminary trial execution, such as delays in FDA acceptance of any future INDs, revisions in trial design and finalization of trial protocols, difficulties with patient recruitment and enrollment, quality and provision of clinical supplies, or early safety signals.</w:t>
      </w:r>
    </w:p>
    <w:p>
      <w:pPr>
        <w:spacing w:after="0" w:line="18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color w:val="auto"/>
        </w:rPr>
        <w:t>We are not permitted to market any biological product in the U.S. until we receive approval of a Biologics License Application, or BLA, from the FDA. We have not previously submitted a BLA to the FDA, or similar marketing application to comparable foreign regulatory authorities. A BLA must include extensive preclinical and clinical data and supporting information to establish that the product candidate is safe, pure and potent for each desired indication. A BLA must also include significant information regarding the chemistry, manufacturing and controls for the product, and the manufacturing facilities must complete a successful pre-license inspection.</w:t>
      </w:r>
    </w:p>
    <w:p>
      <w:pPr>
        <w:spacing w:after="0" w:line="18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9"/>
          <w:szCs w:val="19"/>
          <w:color w:val="auto"/>
        </w:rPr>
        <w:t>FDA approval of a BLA is not guaranteed, and the review and approval process is expensive, uncertain and may take several years. The FDA also has substantial discretion in the approval process. The number and types of preclinical studies and clinical trials that will be required for BLA approval varies depending on the product candidate, the disease or the condition that the product candidate is designed to treat and the regulations applicable to any particular product candidate. Despite the time and expense associated with preclinical studies and clinical trials, failure can occur at any stage.</w:t>
      </w:r>
    </w:p>
    <w:p>
      <w:pPr>
        <w:spacing w:after="0" w:line="18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The FDA may also require a panel of experts, referred to as an Advisory Committee, to deliberate on the adequacy of the safety and efficacy data to support approval. The opinion of the Advisory Committee, although not binding, may have a significant impact on our ability to obtain approval of any product candidate that we develop based on the completed clinical trials.</w:t>
      </w:r>
    </w:p>
    <w:p>
      <w:pPr>
        <w:spacing w:after="0" w:line="17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Generally, public concern regarding the safety of biopharmaceutical products could delay or limit our ability to obtain regulatory approval, result in the inclusion of unfavorable information in our labeling or require us to undertake other activities that may entail additional costs. We have not obtained FDA approval for any product. This lack of experience may impede our ability to obtain FDA approval in a timely manner, if at all, for any current or future product candidates.</w:t>
      </w:r>
    </w:p>
    <w:p>
      <w:pPr>
        <w:spacing w:after="0" w:line="17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The success of our business, including our ability to finance our company and generate any revenue in the future, will primarily depend on the successful development, regulatory approval and commercialization of our current and any future product candidates, which may never occur. However, given our early stage of development, it will be years before we are able to demonstrate the safety</w:t>
      </w:r>
    </w:p>
    <w:p>
      <w:pPr>
        <w:sectPr>
          <w:pgSz w:w="12240" w:h="15840" w:orient="portrait"/>
          <w:cols w:equalWidth="0" w:num="1">
            <w:col w:w="10200"/>
          </w:cols>
          <w:pgMar w:left="1020" w:top="1317" w:right="1020" w:bottom="574" w:gutter="0" w:footer="0" w:header="0"/>
        </w:sect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41</w:t>
      </w:r>
    </w:p>
    <w:p>
      <w:pPr>
        <w:sectPr>
          <w:pgSz w:w="12240" w:h="15840" w:orient="portrait"/>
          <w:cols w:equalWidth="0" w:num="1">
            <w:col w:w="10200"/>
          </w:cols>
          <w:pgMar w:left="1020" w:top="1317" w:right="1020" w:bottom="574" w:gutter="0" w:footer="0" w:header="0"/>
          <w:type w:val="continuous"/>
        </w:sectPr>
      </w:pPr>
    </w:p>
    <w:bookmarkStart w:id="44" w:name="page45"/>
    <w:bookmarkEnd w:id="44"/>
    <w:p>
      <w:pPr>
        <w:jc w:val="both"/>
        <w:spacing w:after="0" w:line="257" w:lineRule="auto"/>
        <w:rPr>
          <w:sz w:val="20"/>
          <w:szCs w:val="20"/>
          <w:color w:val="auto"/>
        </w:rPr>
      </w:pPr>
      <w:r>
        <w:rPr>
          <w:rFonts w:ascii="Times New Roman" w:cs="Times New Roman" w:eastAsia="Times New Roman" w:hAnsi="Times New Roman"/>
          <w:sz w:val="19"/>
          <w:szCs w:val="19"/>
          <w:color w:val="auto"/>
        </w:rPr>
        <w:t>and efficacy of a treatment sufficient to warrant approval for commercialization, and we may never be able to do so. If we are unable to develop, or obtain regulatory approval for, or, if approved, successfully commercialize our current or any future product candidates, we may not be able to generate sufficient revenue to continue our business.</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b w:val="1"/>
          <w:bCs w:val="1"/>
          <w:i w:val="1"/>
          <w:iCs w:val="1"/>
          <w:color w:val="auto"/>
        </w:rPr>
        <w:t>Preclinical development is uncertain. Our preclinical programs may experience delays or may never advance to clinical trials, which would adversely affect our ability to obtain regulatory approvals or commercialize these programs on a timely basis or at all, which would have an adverse effect on our business.</w:t>
      </w:r>
    </w:p>
    <w:p>
      <w:pPr>
        <w:spacing w:after="0" w:line="16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All our product candidates are still in the early clinical stage or preclinical stage of development, and their risk of failure is high. Before we can commence clinical trials for a product candidate, we must complete extensive preclinical testing and studies that support our planned INDs in the U.S., or similar applications in other jurisdictions. We cannot be certain of the timely completion or outcome of our preclinical testing and studies, and we cannot predict if the FDA or other regulatory authorities will accept our proposed clinical programs or if the outcome of our preclinical testing and studies will ultimately support the further development of our programs. As a result, we cannot be sure that we will be able to submit INDs or similar applications for our current or future preclinical programs, including without limitation, the planned IND for XTX501, on the timelines we expect, if at all, and we cannot be sure that submission of INDs or similar applications will result in the FDA or other regulatory authorities allowing clinical trials to begin.</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b w:val="1"/>
          <w:bCs w:val="1"/>
          <w:i w:val="1"/>
          <w:iCs w:val="1"/>
          <w:color w:val="auto"/>
        </w:rPr>
        <w:t>Preclinical studies and clinical trials are expensive, time-consuming and difficult to design and implement, and involve uncertain outcomes. Furthermore, results of earlier preclinical studies and clinical trials may not be predictive of results of future preclinical studies or clinical trials.</w:t>
      </w:r>
    </w:p>
    <w:p>
      <w:pPr>
        <w:spacing w:after="0" w:line="1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risk of failure for our current and any future product candidates is high. It is impossible to predict when or if any of our product candidates will successfully complete preclinical studies or clinical trials evaluating their safety and effectiveness in humans or will ultimately receive regulatory approval. To obtain the requisite regulatory approvals to market and sell any of our product candidates, we must demonstrate through extensive preclinical studies and clinical trials that our product candidates are safe and effective in humans for use in each target indication. Preclinical and clinical testing is expensive and can take many years to complete, and the outcome is inherently uncertain. Failure can occur at any time during the preclinical or clinical trial process. The outcome of preclinical testing and early clinical trials may not be predictive of the results of later clinical trials, and interim results of a clinical trial do not necessarily predict final results. In particular, while we have conducted certain preclinical studies for each of our clinical stage product candidates, we do not know whether these product candidates will perform in our clinical trials as they have performed in these prior preclinical studies. Similarly, there can be no assurance that early, interim or preliminary clinical data or results will be predictive of or replicated in future clinical data or results, including without limitation, data reported to date for our Phase 1/2 trial for vilastobart in combination with atezolizumab and our Phase 1 trial for efarindodekin alfa. Many companies in the biopharmaceutical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preclinical studies and clinical trials, including previously unreported adverse events, or AEs.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w:t>
      </w:r>
    </w:p>
    <w:p>
      <w:pPr>
        <w:spacing w:after="0" w:line="1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9"/>
          <w:szCs w:val="19"/>
          <w:color w:val="auto"/>
        </w:rPr>
        <w:t>In some instances, there can be significant variability in safety or efficacy results between different clinical trials of the same product candidate due to numerous factors, including changes in clinical trial procedures set forth in protocols, differences in the size and type of the patient populations, adherence to the dosing regimen and other clinical trial protocols, and the rate of dropout among clinical trial participants. If we fail to produce positive results in our planned and ongoing preclinical studies or clinical trials, or if we experience material changes in clinical data or results from those we have previously reported, the development timeline and regulatory approval and commercialization prospects for our product candidates, and, correspondingly, our business, financial condition and results of operations would be materially and adversely affected.</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b w:val="1"/>
          <w:bCs w:val="1"/>
          <w:i w:val="1"/>
          <w:iCs w:val="1"/>
          <w:color w:val="auto"/>
        </w:rPr>
        <w:t>We may encounter substantial delays in the commencement or completion, or termination or suspension, of our clinical trials, which could result in increased costs to us, delay or limit our ability to generate revenue and adversely affect our commercial prospects.</w:t>
      </w:r>
    </w:p>
    <w:p>
      <w:pPr>
        <w:spacing w:after="0" w:line="16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our product candidates, we must conduct extensive clinical trials to demonstrate the safety and efficacy of the product candidate for its intended indications. We cannot guarantee that any clinical trials, including our ongoing Phase 2 clinical trial evaluating vilastobart in combination with atezolizumab or our Phase 2 clinical trial evaluating efarindodekin alfa as a monotherapy, will be conducted as planned or completed on schedule, if at all. We may</w:t>
      </w:r>
    </w:p>
    <w:p>
      <w:pPr>
        <w:sectPr>
          <w:pgSz w:w="12240" w:h="15840" w:orient="portrait"/>
          <w:cols w:equalWidth="0" w:num="1">
            <w:col w:w="10200"/>
          </w:cols>
          <w:pgMar w:left="1020" w:top="1317" w:right="102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42</w:t>
      </w:r>
    </w:p>
    <w:p>
      <w:pPr>
        <w:sectPr>
          <w:pgSz w:w="12240" w:h="15840" w:orient="portrait"/>
          <w:cols w:equalWidth="0" w:num="1">
            <w:col w:w="10200"/>
          </w:cols>
          <w:pgMar w:left="1020" w:top="1317" w:right="1020" w:bottom="574" w:gutter="0" w:footer="0" w:header="0"/>
          <w:type w:val="continuous"/>
        </w:sectPr>
      </w:pPr>
    </w:p>
    <w:bookmarkStart w:id="45" w:name="page46"/>
    <w:bookmarkEnd w:id="45"/>
    <w:p>
      <w:pPr>
        <w:spacing w:after="0" w:line="275" w:lineRule="auto"/>
        <w:rPr>
          <w:sz w:val="20"/>
          <w:szCs w:val="20"/>
          <w:color w:val="auto"/>
        </w:rPr>
      </w:pPr>
      <w:r>
        <w:rPr>
          <w:rFonts w:ascii="Times New Roman" w:cs="Times New Roman" w:eastAsia="Times New Roman" w:hAnsi="Times New Roman"/>
          <w:sz w:val="19"/>
          <w:szCs w:val="19"/>
          <w:color w:val="auto"/>
        </w:rPr>
        <w:t>experience numerous unforeseen events leading up to, during or as a result of clinical trials that could delay or prevent the initiation or completion of a clinical trial or our ability to receive marketing approval or commercialize our product candidates, including:</w:t>
      </w:r>
    </w:p>
    <w:p>
      <w:pPr>
        <w:spacing w:after="0" w:line="61" w:lineRule="exact"/>
        <w:rPr>
          <w:sz w:val="20"/>
          <w:szCs w:val="20"/>
          <w:color w:val="auto"/>
        </w:rPr>
      </w:pPr>
    </w:p>
    <w:p>
      <w:pPr>
        <w:ind w:left="920" w:hanging="458"/>
        <w:spacing w:after="0" w:line="274" w:lineRule="auto"/>
        <w:tabs>
          <w:tab w:leader="none" w:pos="920" w:val="left"/>
        </w:tabs>
        <w:numPr>
          <w:ilvl w:val="0"/>
          <w:numId w:val="30"/>
        </w:numPr>
        <w:rPr>
          <w:rFonts w:ascii="Arial" w:cs="Arial" w:eastAsia="Arial" w:hAnsi="Arial"/>
          <w:sz w:val="19"/>
          <w:szCs w:val="19"/>
          <w:color w:val="auto"/>
        </w:rPr>
      </w:pPr>
      <w:r>
        <w:rPr>
          <w:rFonts w:ascii="Times New Roman" w:cs="Times New Roman" w:eastAsia="Times New Roman" w:hAnsi="Times New Roman"/>
          <w:sz w:val="19"/>
          <w:szCs w:val="19"/>
          <w:color w:val="auto"/>
        </w:rPr>
        <w:t xml:space="preserve">we may be unable to generate sufficient preclinical, toxicology, or other </w:t>
      </w:r>
      <w:r>
        <w:rPr>
          <w:rFonts w:ascii="Times New Roman" w:cs="Times New Roman" w:eastAsia="Times New Roman" w:hAnsi="Times New Roman"/>
          <w:sz w:val="19"/>
          <w:szCs w:val="19"/>
          <w:i w:val="1"/>
          <w:iCs w:val="1"/>
          <w:color w:val="auto"/>
        </w:rPr>
        <w:t>in vivo</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i w:val="1"/>
          <w:iCs w:val="1"/>
          <w:color w:val="auto"/>
        </w:rPr>
        <w:t>in vitro</w:t>
      </w:r>
      <w:r>
        <w:rPr>
          <w:rFonts w:ascii="Times New Roman" w:cs="Times New Roman" w:eastAsia="Times New Roman" w:hAnsi="Times New Roman"/>
          <w:sz w:val="19"/>
          <w:szCs w:val="19"/>
          <w:color w:val="auto"/>
        </w:rPr>
        <w:t xml:space="preserve"> data to obtain regulatory authorizations to commence a clinical trial;</w:t>
      </w:r>
    </w:p>
    <w:p>
      <w:pPr>
        <w:spacing w:after="0" w:line="61" w:lineRule="exact"/>
        <w:rPr>
          <w:rFonts w:ascii="Arial" w:cs="Arial" w:eastAsia="Arial" w:hAnsi="Arial"/>
          <w:sz w:val="19"/>
          <w:szCs w:val="19"/>
          <w:color w:val="auto"/>
        </w:rPr>
      </w:pPr>
    </w:p>
    <w:p>
      <w:pPr>
        <w:ind w:left="920" w:hanging="457"/>
        <w:spacing w:after="0"/>
        <w:tabs>
          <w:tab w:leader="none" w:pos="920" w:val="left"/>
        </w:tabs>
        <w:numPr>
          <w:ilvl w:val="0"/>
          <w:numId w:val="30"/>
        </w:numPr>
        <w:rPr>
          <w:rFonts w:ascii="Arial" w:cs="Arial" w:eastAsia="Arial" w:hAnsi="Arial"/>
          <w:sz w:val="19"/>
          <w:szCs w:val="19"/>
          <w:color w:val="auto"/>
        </w:rPr>
      </w:pPr>
      <w:r>
        <w:rPr>
          <w:rFonts w:ascii="Times New Roman" w:cs="Times New Roman" w:eastAsia="Times New Roman" w:hAnsi="Times New Roman"/>
          <w:sz w:val="19"/>
          <w:szCs w:val="19"/>
          <w:color w:val="auto"/>
        </w:rPr>
        <w:t>we may experience issues in reaching a consensus with regulatory authorities on trial design;</w:t>
      </w:r>
    </w:p>
    <w:p>
      <w:pPr>
        <w:spacing w:after="0" w:line="124" w:lineRule="exact"/>
        <w:rPr>
          <w:rFonts w:ascii="Arial" w:cs="Arial" w:eastAsia="Arial" w:hAnsi="Arial"/>
          <w:sz w:val="19"/>
          <w:szCs w:val="19"/>
          <w:color w:val="auto"/>
        </w:rPr>
      </w:pPr>
    </w:p>
    <w:p>
      <w:pPr>
        <w:ind w:left="920" w:hanging="457"/>
        <w:spacing w:after="0" w:line="274" w:lineRule="auto"/>
        <w:tabs>
          <w:tab w:leader="none" w:pos="920" w:val="left"/>
        </w:tabs>
        <w:numPr>
          <w:ilvl w:val="0"/>
          <w:numId w:val="30"/>
        </w:numPr>
        <w:rPr>
          <w:rFonts w:ascii="Arial" w:cs="Arial" w:eastAsia="Arial" w:hAnsi="Arial"/>
          <w:sz w:val="19"/>
          <w:szCs w:val="19"/>
          <w:color w:val="auto"/>
        </w:rPr>
      </w:pPr>
      <w:r>
        <w:rPr>
          <w:rFonts w:ascii="Times New Roman" w:cs="Times New Roman" w:eastAsia="Times New Roman" w:hAnsi="Times New Roman"/>
          <w:sz w:val="19"/>
          <w:szCs w:val="19"/>
          <w:color w:val="auto"/>
        </w:rPr>
        <w:t>regulators or institutional review boards, or IRBs, or ethics committees may not authorize us or our investigators to commence a clinical trial or conduct a clinical trial at a prospective trial site;</w:t>
      </w:r>
    </w:p>
    <w:p>
      <w:pPr>
        <w:spacing w:after="0" w:line="61" w:lineRule="exact"/>
        <w:rPr>
          <w:rFonts w:ascii="Arial" w:cs="Arial" w:eastAsia="Arial" w:hAnsi="Arial"/>
          <w:sz w:val="19"/>
          <w:szCs w:val="19"/>
          <w:color w:val="auto"/>
        </w:rPr>
      </w:pPr>
    </w:p>
    <w:p>
      <w:pPr>
        <w:jc w:val="both"/>
        <w:ind w:left="920" w:hanging="457"/>
        <w:spacing w:after="0" w:line="256" w:lineRule="auto"/>
        <w:tabs>
          <w:tab w:leader="none" w:pos="920" w:val="left"/>
        </w:tabs>
        <w:numPr>
          <w:ilvl w:val="0"/>
          <w:numId w:val="30"/>
        </w:numPr>
        <w:rPr>
          <w:rFonts w:ascii="Arial" w:cs="Arial" w:eastAsia="Arial" w:hAnsi="Arial"/>
          <w:sz w:val="19"/>
          <w:szCs w:val="19"/>
          <w:color w:val="auto"/>
        </w:rPr>
      </w:pPr>
      <w:r>
        <w:rPr>
          <w:rFonts w:ascii="Times New Roman" w:cs="Times New Roman" w:eastAsia="Times New Roman" w:hAnsi="Times New Roman"/>
          <w:sz w:val="19"/>
          <w:szCs w:val="19"/>
          <w:color w:val="auto"/>
        </w:rPr>
        <w:t>we may experience delays in reaching, or fail to reach, agreement on acceptable terms with prospective trial sites and prospective contract research organizations, or CROs, the terms of which can be subject to extensive negotiation and may vary significantly among different CROs and trial sites;</w:t>
      </w:r>
    </w:p>
    <w:p>
      <w:pPr>
        <w:spacing w:after="0" w:line="78" w:lineRule="exact"/>
        <w:rPr>
          <w:rFonts w:ascii="Arial" w:cs="Arial" w:eastAsia="Arial" w:hAnsi="Arial"/>
          <w:sz w:val="19"/>
          <w:szCs w:val="19"/>
          <w:color w:val="auto"/>
        </w:rPr>
      </w:pPr>
    </w:p>
    <w:p>
      <w:pPr>
        <w:ind w:left="920" w:hanging="457"/>
        <w:spacing w:after="0" w:line="274" w:lineRule="auto"/>
        <w:tabs>
          <w:tab w:leader="none" w:pos="920" w:val="left"/>
        </w:tabs>
        <w:numPr>
          <w:ilvl w:val="0"/>
          <w:numId w:val="30"/>
        </w:numPr>
        <w:rPr>
          <w:rFonts w:ascii="Arial" w:cs="Arial" w:eastAsia="Arial" w:hAnsi="Arial"/>
          <w:sz w:val="19"/>
          <w:szCs w:val="19"/>
          <w:color w:val="auto"/>
        </w:rPr>
      </w:pPr>
      <w:r>
        <w:rPr>
          <w:rFonts w:ascii="Times New Roman" w:cs="Times New Roman" w:eastAsia="Times New Roman" w:hAnsi="Times New Roman"/>
          <w:sz w:val="19"/>
          <w:szCs w:val="19"/>
          <w:color w:val="auto"/>
        </w:rPr>
        <w:t>clinical trial sites may deviate from a trial protocol or drop out of a trial or fail to conduct the trial in accordance with regulatory requirements;</w:t>
      </w:r>
    </w:p>
    <w:p>
      <w:pPr>
        <w:spacing w:after="0" w:line="61" w:lineRule="exact"/>
        <w:rPr>
          <w:rFonts w:ascii="Arial" w:cs="Arial" w:eastAsia="Arial" w:hAnsi="Arial"/>
          <w:sz w:val="19"/>
          <w:szCs w:val="19"/>
          <w:color w:val="auto"/>
        </w:rPr>
      </w:pPr>
    </w:p>
    <w:p>
      <w:pPr>
        <w:ind w:left="920" w:hanging="457"/>
        <w:spacing w:after="0" w:line="274" w:lineRule="auto"/>
        <w:tabs>
          <w:tab w:leader="none" w:pos="920" w:val="left"/>
        </w:tabs>
        <w:numPr>
          <w:ilvl w:val="0"/>
          <w:numId w:val="30"/>
        </w:numPr>
        <w:rPr>
          <w:rFonts w:ascii="Arial" w:cs="Arial" w:eastAsia="Arial" w:hAnsi="Arial"/>
          <w:sz w:val="19"/>
          <w:szCs w:val="19"/>
          <w:color w:val="auto"/>
        </w:rPr>
      </w:pPr>
      <w:r>
        <w:rPr>
          <w:rFonts w:ascii="Times New Roman" w:cs="Times New Roman" w:eastAsia="Times New Roman" w:hAnsi="Times New Roman"/>
          <w:sz w:val="19"/>
          <w:szCs w:val="19"/>
          <w:color w:val="auto"/>
        </w:rPr>
        <w:t>the number of subjects required for clinical trials of our product candidates may be larger than we anticipate, or subjects may fail to enroll or remain in clinical trials at the rate we expect;</w:t>
      </w:r>
    </w:p>
    <w:p>
      <w:pPr>
        <w:spacing w:after="0" w:line="61" w:lineRule="exact"/>
        <w:rPr>
          <w:rFonts w:ascii="Arial" w:cs="Arial" w:eastAsia="Arial" w:hAnsi="Arial"/>
          <w:sz w:val="19"/>
          <w:szCs w:val="19"/>
          <w:color w:val="auto"/>
        </w:rPr>
      </w:pPr>
    </w:p>
    <w:p>
      <w:pPr>
        <w:jc w:val="both"/>
        <w:ind w:left="920" w:hanging="457"/>
        <w:spacing w:after="0" w:line="256" w:lineRule="auto"/>
        <w:tabs>
          <w:tab w:leader="none" w:pos="920" w:val="left"/>
        </w:tabs>
        <w:numPr>
          <w:ilvl w:val="0"/>
          <w:numId w:val="30"/>
        </w:numPr>
        <w:rPr>
          <w:rFonts w:ascii="Arial" w:cs="Arial" w:eastAsia="Arial" w:hAnsi="Arial"/>
          <w:sz w:val="19"/>
          <w:szCs w:val="19"/>
          <w:color w:val="auto"/>
        </w:rPr>
      </w:pPr>
      <w:r>
        <w:rPr>
          <w:rFonts w:ascii="Times New Roman" w:cs="Times New Roman" w:eastAsia="Times New Roman" w:hAnsi="Times New Roman"/>
          <w:sz w:val="19"/>
          <w:szCs w:val="19"/>
          <w:color w:val="auto"/>
        </w:rPr>
        <w:t>subjects that enroll in our studies may misrepresent their eligibility or may otherwise not comply with the clinical trial protocol, resulting in the need to drop the subject from the trial, increase the needed enrollment size for the clinical trial or extend its duration;</w:t>
      </w:r>
    </w:p>
    <w:p>
      <w:pPr>
        <w:spacing w:after="0" w:line="78" w:lineRule="exact"/>
        <w:rPr>
          <w:rFonts w:ascii="Arial" w:cs="Arial" w:eastAsia="Arial" w:hAnsi="Arial"/>
          <w:sz w:val="19"/>
          <w:szCs w:val="19"/>
          <w:color w:val="auto"/>
        </w:rPr>
      </w:pPr>
    </w:p>
    <w:p>
      <w:pPr>
        <w:ind w:left="920" w:hanging="457"/>
        <w:spacing w:after="0" w:line="274" w:lineRule="auto"/>
        <w:tabs>
          <w:tab w:leader="none" w:pos="920" w:val="left"/>
        </w:tabs>
        <w:numPr>
          <w:ilvl w:val="0"/>
          <w:numId w:val="30"/>
        </w:numPr>
        <w:rPr>
          <w:rFonts w:ascii="Arial" w:cs="Arial" w:eastAsia="Arial" w:hAnsi="Arial"/>
          <w:sz w:val="19"/>
          <w:szCs w:val="19"/>
          <w:color w:val="auto"/>
        </w:rPr>
      </w:pPr>
      <w:r>
        <w:rPr>
          <w:rFonts w:ascii="Times New Roman" w:cs="Times New Roman" w:eastAsia="Times New Roman" w:hAnsi="Times New Roman"/>
          <w:sz w:val="19"/>
          <w:szCs w:val="19"/>
          <w:color w:val="auto"/>
        </w:rPr>
        <w:t>subjects may choose an alternative treatment for the indication for which we are developing our product candidates, or participate in competing clinical trials;</w:t>
      </w:r>
    </w:p>
    <w:p>
      <w:pPr>
        <w:spacing w:after="0" w:line="61" w:lineRule="exact"/>
        <w:rPr>
          <w:rFonts w:ascii="Arial" w:cs="Arial" w:eastAsia="Arial" w:hAnsi="Arial"/>
          <w:sz w:val="19"/>
          <w:szCs w:val="19"/>
          <w:color w:val="auto"/>
        </w:rPr>
      </w:pPr>
    </w:p>
    <w:p>
      <w:pPr>
        <w:ind w:left="920" w:hanging="457"/>
        <w:spacing w:after="0"/>
        <w:tabs>
          <w:tab w:leader="none" w:pos="920" w:val="left"/>
        </w:tabs>
        <w:numPr>
          <w:ilvl w:val="0"/>
          <w:numId w:val="30"/>
        </w:numPr>
        <w:rPr>
          <w:rFonts w:ascii="Arial" w:cs="Arial" w:eastAsia="Arial" w:hAnsi="Arial"/>
          <w:sz w:val="19"/>
          <w:szCs w:val="19"/>
          <w:color w:val="auto"/>
        </w:rPr>
      </w:pPr>
      <w:r>
        <w:rPr>
          <w:rFonts w:ascii="Times New Roman" w:cs="Times New Roman" w:eastAsia="Times New Roman" w:hAnsi="Times New Roman"/>
          <w:sz w:val="19"/>
          <w:szCs w:val="19"/>
          <w:color w:val="auto"/>
        </w:rPr>
        <w:t>subjects may experience severe or unexpected treatment-related adverse effects;</w:t>
      </w:r>
    </w:p>
    <w:p>
      <w:pPr>
        <w:spacing w:after="0" w:line="124" w:lineRule="exact"/>
        <w:rPr>
          <w:rFonts w:ascii="Arial" w:cs="Arial" w:eastAsia="Arial" w:hAnsi="Arial"/>
          <w:sz w:val="19"/>
          <w:szCs w:val="19"/>
          <w:color w:val="auto"/>
        </w:rPr>
      </w:pPr>
    </w:p>
    <w:p>
      <w:pPr>
        <w:ind w:left="920" w:hanging="457"/>
        <w:spacing w:after="0"/>
        <w:tabs>
          <w:tab w:leader="none" w:pos="920" w:val="left"/>
        </w:tabs>
        <w:numPr>
          <w:ilvl w:val="0"/>
          <w:numId w:val="30"/>
        </w:numPr>
        <w:rPr>
          <w:rFonts w:ascii="Arial" w:cs="Arial" w:eastAsia="Arial" w:hAnsi="Arial"/>
          <w:sz w:val="19"/>
          <w:szCs w:val="19"/>
          <w:color w:val="auto"/>
        </w:rPr>
      </w:pPr>
      <w:r>
        <w:rPr>
          <w:rFonts w:ascii="Times New Roman" w:cs="Times New Roman" w:eastAsia="Times New Roman" w:hAnsi="Times New Roman"/>
          <w:sz w:val="19"/>
          <w:szCs w:val="19"/>
          <w:color w:val="auto"/>
        </w:rPr>
        <w:t>clinical trials of our product candidates may produce unfavorable, inconclusive, or clinically insignificant results;</w:t>
      </w:r>
    </w:p>
    <w:p>
      <w:pPr>
        <w:spacing w:after="0" w:line="124" w:lineRule="exact"/>
        <w:rPr>
          <w:rFonts w:ascii="Arial" w:cs="Arial" w:eastAsia="Arial" w:hAnsi="Arial"/>
          <w:sz w:val="19"/>
          <w:szCs w:val="19"/>
          <w:color w:val="auto"/>
        </w:rPr>
      </w:pPr>
    </w:p>
    <w:p>
      <w:pPr>
        <w:ind w:left="920" w:hanging="457"/>
        <w:spacing w:after="0" w:line="274" w:lineRule="auto"/>
        <w:tabs>
          <w:tab w:leader="none" w:pos="920" w:val="left"/>
        </w:tabs>
        <w:numPr>
          <w:ilvl w:val="0"/>
          <w:numId w:val="30"/>
        </w:numPr>
        <w:rPr>
          <w:rFonts w:ascii="Arial" w:cs="Arial" w:eastAsia="Arial" w:hAnsi="Arial"/>
          <w:sz w:val="19"/>
          <w:szCs w:val="19"/>
          <w:color w:val="auto"/>
        </w:rPr>
      </w:pPr>
      <w:r>
        <w:rPr>
          <w:rFonts w:ascii="Times New Roman" w:cs="Times New Roman" w:eastAsia="Times New Roman" w:hAnsi="Times New Roman"/>
          <w:sz w:val="19"/>
          <w:szCs w:val="19"/>
          <w:color w:val="auto"/>
        </w:rPr>
        <w:t>we may decide to, or regulators, or IRBs, or ethics committees may require us to, make changes to a clinical trial protocol or conduct additional preclinical studies or clinical trials, or we may decide to abandon product development programs;</w:t>
      </w:r>
    </w:p>
    <w:p>
      <w:pPr>
        <w:spacing w:after="0" w:line="61" w:lineRule="exact"/>
        <w:rPr>
          <w:rFonts w:ascii="Arial" w:cs="Arial" w:eastAsia="Arial" w:hAnsi="Arial"/>
          <w:sz w:val="19"/>
          <w:szCs w:val="19"/>
          <w:color w:val="auto"/>
        </w:rPr>
      </w:pPr>
    </w:p>
    <w:p>
      <w:pPr>
        <w:ind w:left="920" w:hanging="457"/>
        <w:spacing w:after="0"/>
        <w:tabs>
          <w:tab w:leader="none" w:pos="920" w:val="left"/>
        </w:tabs>
        <w:numPr>
          <w:ilvl w:val="0"/>
          <w:numId w:val="30"/>
        </w:numPr>
        <w:rPr>
          <w:rFonts w:ascii="Arial" w:cs="Arial" w:eastAsia="Arial" w:hAnsi="Arial"/>
          <w:sz w:val="19"/>
          <w:szCs w:val="19"/>
          <w:color w:val="auto"/>
        </w:rPr>
      </w:pPr>
      <w:r>
        <w:rPr>
          <w:rFonts w:ascii="Times New Roman" w:cs="Times New Roman" w:eastAsia="Times New Roman" w:hAnsi="Times New Roman"/>
          <w:sz w:val="19"/>
          <w:szCs w:val="19"/>
          <w:color w:val="auto"/>
        </w:rPr>
        <w:t>we may need to add new or additional clinical trial sites;</w:t>
      </w:r>
    </w:p>
    <w:p>
      <w:pPr>
        <w:spacing w:after="0" w:line="124" w:lineRule="exact"/>
        <w:rPr>
          <w:rFonts w:ascii="Arial" w:cs="Arial" w:eastAsia="Arial" w:hAnsi="Arial"/>
          <w:sz w:val="19"/>
          <w:szCs w:val="19"/>
          <w:color w:val="auto"/>
        </w:rPr>
      </w:pPr>
    </w:p>
    <w:p>
      <w:pPr>
        <w:jc w:val="both"/>
        <w:ind w:left="920" w:hanging="457"/>
        <w:spacing w:after="0" w:line="256" w:lineRule="auto"/>
        <w:tabs>
          <w:tab w:leader="none" w:pos="920" w:val="left"/>
        </w:tabs>
        <w:numPr>
          <w:ilvl w:val="0"/>
          <w:numId w:val="30"/>
        </w:numPr>
        <w:rPr>
          <w:rFonts w:ascii="Arial" w:cs="Arial" w:eastAsia="Arial" w:hAnsi="Arial"/>
          <w:sz w:val="19"/>
          <w:szCs w:val="19"/>
          <w:color w:val="auto"/>
        </w:rPr>
      </w:pPr>
      <w:r>
        <w:rPr>
          <w:rFonts w:ascii="Times New Roman" w:cs="Times New Roman" w:eastAsia="Times New Roman" w:hAnsi="Times New Roman"/>
          <w:sz w:val="19"/>
          <w:szCs w:val="19"/>
          <w:color w:val="auto"/>
        </w:rPr>
        <w:t>our third-party contractors, including those manufacturing our product candidates or conducting clinical trials on our behalf, may fail to comply with regulatory requirements or meet their contractual obligations to us in a timely manner, or at all;</w:t>
      </w:r>
    </w:p>
    <w:p>
      <w:pPr>
        <w:spacing w:after="0" w:line="78" w:lineRule="exact"/>
        <w:rPr>
          <w:rFonts w:ascii="Arial" w:cs="Arial" w:eastAsia="Arial" w:hAnsi="Arial"/>
          <w:sz w:val="19"/>
          <w:szCs w:val="19"/>
          <w:color w:val="auto"/>
        </w:rPr>
      </w:pPr>
    </w:p>
    <w:p>
      <w:pPr>
        <w:ind w:left="920" w:hanging="457"/>
        <w:spacing w:after="0" w:line="274" w:lineRule="auto"/>
        <w:tabs>
          <w:tab w:leader="none" w:pos="920" w:val="left"/>
        </w:tabs>
        <w:numPr>
          <w:ilvl w:val="0"/>
          <w:numId w:val="30"/>
        </w:numPr>
        <w:rPr>
          <w:rFonts w:ascii="Arial" w:cs="Arial" w:eastAsia="Arial" w:hAnsi="Arial"/>
          <w:sz w:val="19"/>
          <w:szCs w:val="19"/>
          <w:color w:val="auto"/>
        </w:rPr>
      </w:pPr>
      <w:r>
        <w:rPr>
          <w:rFonts w:ascii="Times New Roman" w:cs="Times New Roman" w:eastAsia="Times New Roman" w:hAnsi="Times New Roman"/>
          <w:sz w:val="19"/>
          <w:szCs w:val="19"/>
          <w:color w:val="auto"/>
        </w:rPr>
        <w:t>we may experience manufacturing delays, and any changes to manufacturing processes or third-party contractors that may be necessary or desired could result in other delays;</w:t>
      </w:r>
    </w:p>
    <w:p>
      <w:pPr>
        <w:spacing w:after="0" w:line="61" w:lineRule="exact"/>
        <w:rPr>
          <w:rFonts w:ascii="Arial" w:cs="Arial" w:eastAsia="Arial" w:hAnsi="Arial"/>
          <w:sz w:val="19"/>
          <w:szCs w:val="19"/>
          <w:color w:val="auto"/>
        </w:rPr>
      </w:pPr>
    </w:p>
    <w:p>
      <w:pPr>
        <w:ind w:left="920" w:hanging="457"/>
        <w:spacing w:after="0" w:line="274" w:lineRule="auto"/>
        <w:tabs>
          <w:tab w:leader="none" w:pos="920" w:val="left"/>
        </w:tabs>
        <w:numPr>
          <w:ilvl w:val="0"/>
          <w:numId w:val="30"/>
        </w:numPr>
        <w:rPr>
          <w:rFonts w:ascii="Arial" w:cs="Arial" w:eastAsia="Arial" w:hAnsi="Arial"/>
          <w:sz w:val="19"/>
          <w:szCs w:val="19"/>
          <w:color w:val="auto"/>
        </w:rPr>
      </w:pPr>
      <w:r>
        <w:rPr>
          <w:rFonts w:ascii="Times New Roman" w:cs="Times New Roman" w:eastAsia="Times New Roman" w:hAnsi="Times New Roman"/>
          <w:sz w:val="19"/>
          <w:szCs w:val="19"/>
          <w:color w:val="auto"/>
        </w:rPr>
        <w:t>we or our third-party contractors may experience delays due to complications resulting from the impact of public health crises, including epidemics and pandemics, or geopolitical tensions;</w:t>
      </w:r>
    </w:p>
    <w:p>
      <w:pPr>
        <w:spacing w:after="0" w:line="61" w:lineRule="exact"/>
        <w:rPr>
          <w:rFonts w:ascii="Arial" w:cs="Arial" w:eastAsia="Arial" w:hAnsi="Arial"/>
          <w:sz w:val="19"/>
          <w:szCs w:val="19"/>
          <w:color w:val="auto"/>
        </w:rPr>
      </w:pPr>
    </w:p>
    <w:p>
      <w:pPr>
        <w:ind w:left="920" w:hanging="457"/>
        <w:spacing w:after="0" w:line="274" w:lineRule="auto"/>
        <w:tabs>
          <w:tab w:leader="none" w:pos="920" w:val="left"/>
        </w:tabs>
        <w:numPr>
          <w:ilvl w:val="0"/>
          <w:numId w:val="30"/>
        </w:numPr>
        <w:rPr>
          <w:rFonts w:ascii="Arial" w:cs="Arial" w:eastAsia="Arial" w:hAnsi="Arial"/>
          <w:sz w:val="19"/>
          <w:szCs w:val="19"/>
          <w:color w:val="auto"/>
        </w:rPr>
      </w:pPr>
      <w:r>
        <w:rPr>
          <w:rFonts w:ascii="Times New Roman" w:cs="Times New Roman" w:eastAsia="Times New Roman" w:hAnsi="Times New Roman"/>
          <w:sz w:val="19"/>
          <w:szCs w:val="19"/>
          <w:color w:val="auto"/>
        </w:rPr>
        <w:t>the cost of preclinical testing and studies and clinical trials of any product candidates may be greater than we anticipate or greater than our available financial resources;</w:t>
      </w:r>
    </w:p>
    <w:p>
      <w:pPr>
        <w:spacing w:after="0" w:line="61" w:lineRule="exact"/>
        <w:rPr>
          <w:rFonts w:ascii="Arial" w:cs="Arial" w:eastAsia="Arial" w:hAnsi="Arial"/>
          <w:sz w:val="19"/>
          <w:szCs w:val="19"/>
          <w:color w:val="auto"/>
        </w:rPr>
      </w:pPr>
    </w:p>
    <w:p>
      <w:pPr>
        <w:jc w:val="both"/>
        <w:ind w:left="920" w:hanging="457"/>
        <w:spacing w:after="0" w:line="256" w:lineRule="auto"/>
        <w:tabs>
          <w:tab w:leader="none" w:pos="920" w:val="left"/>
        </w:tabs>
        <w:numPr>
          <w:ilvl w:val="0"/>
          <w:numId w:val="30"/>
        </w:numPr>
        <w:rPr>
          <w:rFonts w:ascii="Arial" w:cs="Arial" w:eastAsia="Arial" w:hAnsi="Arial"/>
          <w:sz w:val="19"/>
          <w:szCs w:val="19"/>
          <w:color w:val="auto"/>
        </w:rPr>
      </w:pPr>
      <w:r>
        <w:rPr>
          <w:rFonts w:ascii="Times New Roman" w:cs="Times New Roman" w:eastAsia="Times New Roman" w:hAnsi="Times New Roman"/>
          <w:sz w:val="19"/>
          <w:szCs w:val="19"/>
          <w:color w:val="auto"/>
        </w:rPr>
        <w:t>the supply or quality of our product candidates or other materials necessary to conduct clinical trials of our product candidates may be insufficient or inadequate or we may not be able to obtain sufficient quantities of combination therapies for use in current or future clinical trials;</w:t>
      </w:r>
    </w:p>
    <w:p>
      <w:pPr>
        <w:spacing w:after="0" w:line="78" w:lineRule="exact"/>
        <w:rPr>
          <w:rFonts w:ascii="Arial" w:cs="Arial" w:eastAsia="Arial" w:hAnsi="Arial"/>
          <w:sz w:val="19"/>
          <w:szCs w:val="19"/>
          <w:color w:val="auto"/>
        </w:rPr>
      </w:pPr>
    </w:p>
    <w:p>
      <w:pPr>
        <w:ind w:left="920" w:hanging="457"/>
        <w:spacing w:after="0" w:line="274" w:lineRule="auto"/>
        <w:tabs>
          <w:tab w:leader="none" w:pos="920" w:val="left"/>
        </w:tabs>
        <w:numPr>
          <w:ilvl w:val="0"/>
          <w:numId w:val="30"/>
        </w:numPr>
        <w:rPr>
          <w:rFonts w:ascii="Arial" w:cs="Arial" w:eastAsia="Arial" w:hAnsi="Arial"/>
          <w:sz w:val="19"/>
          <w:szCs w:val="19"/>
          <w:color w:val="auto"/>
        </w:rPr>
      </w:pPr>
      <w:r>
        <w:rPr>
          <w:rFonts w:ascii="Times New Roman" w:cs="Times New Roman" w:eastAsia="Times New Roman" w:hAnsi="Times New Roman"/>
          <w:sz w:val="19"/>
          <w:szCs w:val="19"/>
          <w:color w:val="auto"/>
        </w:rPr>
        <w:t>reports may arise from preclinical or clinical testing of other cancer therapies that raise safety or efficacy concerns about our product candidates; and</w:t>
      </w:r>
    </w:p>
    <w:p>
      <w:pPr>
        <w:spacing w:after="0" w:line="61" w:lineRule="exact"/>
        <w:rPr>
          <w:rFonts w:ascii="Arial" w:cs="Arial" w:eastAsia="Arial" w:hAnsi="Arial"/>
          <w:sz w:val="19"/>
          <w:szCs w:val="19"/>
          <w:color w:val="auto"/>
        </w:rPr>
      </w:pPr>
    </w:p>
    <w:p>
      <w:pPr>
        <w:ind w:left="920" w:hanging="457"/>
        <w:spacing w:after="0" w:line="274" w:lineRule="auto"/>
        <w:tabs>
          <w:tab w:leader="none" w:pos="920" w:val="left"/>
        </w:tabs>
        <w:numPr>
          <w:ilvl w:val="0"/>
          <w:numId w:val="30"/>
        </w:numPr>
        <w:rPr>
          <w:rFonts w:ascii="Arial" w:cs="Arial" w:eastAsia="Arial" w:hAnsi="Arial"/>
          <w:sz w:val="19"/>
          <w:szCs w:val="19"/>
          <w:color w:val="auto"/>
        </w:rPr>
      </w:pPr>
      <w:r>
        <w:rPr>
          <w:rFonts w:ascii="Times New Roman" w:cs="Times New Roman" w:eastAsia="Times New Roman" w:hAnsi="Times New Roman"/>
          <w:sz w:val="19"/>
          <w:szCs w:val="19"/>
          <w:color w:val="auto"/>
        </w:rPr>
        <w:t>regulators may revise the requirements for approving our product candidates, or such requirements may not be as we anticipate.</w:t>
      </w:r>
    </w:p>
    <w:p>
      <w:pPr>
        <w:spacing w:after="0" w:line="16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If we are required to conduct additional clinical trials or other testing of our product candidates beyond the clinical trials and testing that we contemplate, if we are unable to successfully complete clinical trials or other testing of our product candidates, if the results of these clinical trials or tests are unfavorable or are only modestly favorable or if there are safety concerns associated with any of product candidates, we may:</w:t>
      </w:r>
    </w:p>
    <w:p>
      <w:pPr>
        <w:spacing w:after="0" w:line="82" w:lineRule="exact"/>
        <w:rPr>
          <w:sz w:val="20"/>
          <w:szCs w:val="20"/>
          <w:color w:val="auto"/>
        </w:rPr>
      </w:pPr>
    </w:p>
    <w:p>
      <w:pPr>
        <w:ind w:left="920" w:hanging="457"/>
        <w:spacing w:after="0"/>
        <w:tabs>
          <w:tab w:leader="none" w:pos="920" w:val="left"/>
        </w:tabs>
        <w:numPr>
          <w:ilvl w:val="0"/>
          <w:numId w:val="31"/>
        </w:numPr>
        <w:rPr>
          <w:rFonts w:ascii="Arial" w:cs="Arial" w:eastAsia="Arial" w:hAnsi="Arial"/>
          <w:sz w:val="19"/>
          <w:szCs w:val="19"/>
          <w:color w:val="auto"/>
        </w:rPr>
      </w:pPr>
      <w:r>
        <w:rPr>
          <w:rFonts w:ascii="Times New Roman" w:cs="Times New Roman" w:eastAsia="Times New Roman" w:hAnsi="Times New Roman"/>
          <w:sz w:val="19"/>
          <w:szCs w:val="19"/>
          <w:color w:val="auto"/>
        </w:rPr>
        <w:t>incur additional unplanned costs;</w:t>
      </w:r>
    </w:p>
    <w:p>
      <w:pPr>
        <w:spacing w:after="0" w:line="124" w:lineRule="exact"/>
        <w:rPr>
          <w:rFonts w:ascii="Arial" w:cs="Arial" w:eastAsia="Arial" w:hAnsi="Arial"/>
          <w:sz w:val="19"/>
          <w:szCs w:val="19"/>
          <w:color w:val="auto"/>
        </w:rPr>
      </w:pPr>
    </w:p>
    <w:p>
      <w:pPr>
        <w:ind w:left="920" w:hanging="457"/>
        <w:spacing w:after="0"/>
        <w:tabs>
          <w:tab w:leader="none" w:pos="920" w:val="left"/>
        </w:tabs>
        <w:numPr>
          <w:ilvl w:val="0"/>
          <w:numId w:val="31"/>
        </w:numPr>
        <w:rPr>
          <w:rFonts w:ascii="Arial" w:cs="Arial" w:eastAsia="Arial" w:hAnsi="Arial"/>
          <w:sz w:val="19"/>
          <w:szCs w:val="19"/>
          <w:color w:val="auto"/>
        </w:rPr>
      </w:pPr>
      <w:r>
        <w:rPr>
          <w:rFonts w:ascii="Times New Roman" w:cs="Times New Roman" w:eastAsia="Times New Roman" w:hAnsi="Times New Roman"/>
          <w:sz w:val="19"/>
          <w:szCs w:val="19"/>
          <w:color w:val="auto"/>
        </w:rPr>
        <w:t>be required to suspend or terminate ongoing clinical trials;</w:t>
      </w:r>
    </w:p>
    <w:p>
      <w:pPr>
        <w:sectPr>
          <w:pgSz w:w="12240" w:h="15840" w:orient="portrait"/>
          <w:cols w:equalWidth="0" w:num="1">
            <w:col w:w="10200"/>
          </w:cols>
          <w:pgMar w:left="1020" w:top="1317" w:right="1020" w:bottom="574" w:gutter="0" w:footer="0" w:header="0"/>
        </w:sect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43</w:t>
      </w:r>
    </w:p>
    <w:p>
      <w:pPr>
        <w:sectPr>
          <w:pgSz w:w="12240" w:h="15840" w:orient="portrait"/>
          <w:cols w:equalWidth="0" w:num="1">
            <w:col w:w="10200"/>
          </w:cols>
          <w:pgMar w:left="1020" w:top="1317" w:right="1020" w:bottom="574" w:gutter="0" w:footer="0" w:header="0"/>
          <w:type w:val="continuous"/>
        </w:sectPr>
      </w:pPr>
    </w:p>
    <w:bookmarkStart w:id="46" w:name="page47"/>
    <w:bookmarkEnd w:id="46"/>
    <w:p>
      <w:pPr>
        <w:ind w:left="920" w:hanging="458"/>
        <w:spacing w:after="0"/>
        <w:tabs>
          <w:tab w:leader="none" w:pos="920" w:val="left"/>
        </w:tabs>
        <w:numPr>
          <w:ilvl w:val="0"/>
          <w:numId w:val="32"/>
        </w:numPr>
        <w:rPr>
          <w:rFonts w:ascii="Arial" w:cs="Arial" w:eastAsia="Arial" w:hAnsi="Arial"/>
          <w:sz w:val="19"/>
          <w:szCs w:val="19"/>
          <w:color w:val="auto"/>
        </w:rPr>
      </w:pPr>
      <w:r>
        <w:rPr>
          <w:rFonts w:ascii="Times New Roman" w:cs="Times New Roman" w:eastAsia="Times New Roman" w:hAnsi="Times New Roman"/>
          <w:sz w:val="19"/>
          <w:szCs w:val="19"/>
          <w:color w:val="auto"/>
        </w:rPr>
        <w:t>be delayed in obtaining marketing approval, if at all;</w:t>
      </w:r>
    </w:p>
    <w:p>
      <w:pPr>
        <w:spacing w:after="0" w:line="124" w:lineRule="exact"/>
        <w:rPr>
          <w:rFonts w:ascii="Arial" w:cs="Arial" w:eastAsia="Arial" w:hAnsi="Arial"/>
          <w:sz w:val="19"/>
          <w:szCs w:val="19"/>
          <w:color w:val="auto"/>
        </w:rPr>
      </w:pPr>
    </w:p>
    <w:p>
      <w:pPr>
        <w:ind w:left="920" w:hanging="458"/>
        <w:spacing w:after="0"/>
        <w:tabs>
          <w:tab w:leader="none" w:pos="920" w:val="left"/>
        </w:tabs>
        <w:numPr>
          <w:ilvl w:val="0"/>
          <w:numId w:val="32"/>
        </w:numPr>
        <w:rPr>
          <w:rFonts w:ascii="Arial" w:cs="Arial" w:eastAsia="Arial" w:hAnsi="Arial"/>
          <w:sz w:val="19"/>
          <w:szCs w:val="19"/>
          <w:color w:val="auto"/>
        </w:rPr>
      </w:pPr>
      <w:r>
        <w:rPr>
          <w:rFonts w:ascii="Times New Roman" w:cs="Times New Roman" w:eastAsia="Times New Roman" w:hAnsi="Times New Roman"/>
          <w:sz w:val="19"/>
          <w:szCs w:val="19"/>
          <w:color w:val="auto"/>
        </w:rPr>
        <w:t>obtain approval for indications or patient populations that are not as broad as intended or desired;</w:t>
      </w:r>
    </w:p>
    <w:p>
      <w:pPr>
        <w:spacing w:after="0" w:line="124" w:lineRule="exact"/>
        <w:rPr>
          <w:rFonts w:ascii="Arial" w:cs="Arial" w:eastAsia="Arial" w:hAnsi="Arial"/>
          <w:sz w:val="19"/>
          <w:szCs w:val="19"/>
          <w:color w:val="auto"/>
        </w:rPr>
      </w:pPr>
    </w:p>
    <w:p>
      <w:pPr>
        <w:ind w:left="920" w:hanging="458"/>
        <w:spacing w:after="0"/>
        <w:tabs>
          <w:tab w:leader="none" w:pos="920" w:val="left"/>
        </w:tabs>
        <w:numPr>
          <w:ilvl w:val="0"/>
          <w:numId w:val="32"/>
        </w:numPr>
        <w:rPr>
          <w:rFonts w:ascii="Arial" w:cs="Arial" w:eastAsia="Arial" w:hAnsi="Arial"/>
          <w:sz w:val="19"/>
          <w:szCs w:val="19"/>
          <w:color w:val="auto"/>
        </w:rPr>
      </w:pPr>
      <w:r>
        <w:rPr>
          <w:rFonts w:ascii="Times New Roman" w:cs="Times New Roman" w:eastAsia="Times New Roman" w:hAnsi="Times New Roman"/>
          <w:sz w:val="19"/>
          <w:szCs w:val="19"/>
          <w:color w:val="auto"/>
        </w:rPr>
        <w:t>obtain approval with labeling that includes significant use or distribution restrictions or safety warnings;</w:t>
      </w:r>
    </w:p>
    <w:p>
      <w:pPr>
        <w:spacing w:after="0" w:line="124" w:lineRule="exact"/>
        <w:rPr>
          <w:rFonts w:ascii="Arial" w:cs="Arial" w:eastAsia="Arial" w:hAnsi="Arial"/>
          <w:sz w:val="19"/>
          <w:szCs w:val="19"/>
          <w:color w:val="auto"/>
        </w:rPr>
      </w:pPr>
    </w:p>
    <w:p>
      <w:pPr>
        <w:ind w:left="920" w:hanging="458"/>
        <w:spacing w:after="0"/>
        <w:tabs>
          <w:tab w:leader="none" w:pos="920" w:val="left"/>
        </w:tabs>
        <w:numPr>
          <w:ilvl w:val="0"/>
          <w:numId w:val="32"/>
        </w:numPr>
        <w:rPr>
          <w:rFonts w:ascii="Arial" w:cs="Arial" w:eastAsia="Arial" w:hAnsi="Arial"/>
          <w:sz w:val="19"/>
          <w:szCs w:val="19"/>
          <w:color w:val="auto"/>
        </w:rPr>
      </w:pPr>
      <w:r>
        <w:rPr>
          <w:rFonts w:ascii="Times New Roman" w:cs="Times New Roman" w:eastAsia="Times New Roman" w:hAnsi="Times New Roman"/>
          <w:sz w:val="19"/>
          <w:szCs w:val="19"/>
          <w:color w:val="auto"/>
        </w:rPr>
        <w:t>be subject to additional post-marketing testing or other requirements;</w:t>
      </w:r>
    </w:p>
    <w:p>
      <w:pPr>
        <w:spacing w:after="0" w:line="124" w:lineRule="exact"/>
        <w:rPr>
          <w:rFonts w:ascii="Arial" w:cs="Arial" w:eastAsia="Arial" w:hAnsi="Arial"/>
          <w:sz w:val="19"/>
          <w:szCs w:val="19"/>
          <w:color w:val="auto"/>
        </w:rPr>
      </w:pPr>
    </w:p>
    <w:p>
      <w:pPr>
        <w:ind w:left="920" w:hanging="458"/>
        <w:spacing w:after="0"/>
        <w:tabs>
          <w:tab w:leader="none" w:pos="920" w:val="left"/>
        </w:tabs>
        <w:numPr>
          <w:ilvl w:val="0"/>
          <w:numId w:val="32"/>
        </w:numPr>
        <w:rPr>
          <w:rFonts w:ascii="Arial" w:cs="Arial" w:eastAsia="Arial" w:hAnsi="Arial"/>
          <w:sz w:val="19"/>
          <w:szCs w:val="19"/>
          <w:color w:val="auto"/>
        </w:rPr>
      </w:pPr>
      <w:r>
        <w:rPr>
          <w:rFonts w:ascii="Times New Roman" w:cs="Times New Roman" w:eastAsia="Times New Roman" w:hAnsi="Times New Roman"/>
          <w:sz w:val="19"/>
          <w:szCs w:val="19"/>
          <w:color w:val="auto"/>
        </w:rPr>
        <w:t>be required to perform additional clinical trials to support approval;</w:t>
      </w:r>
    </w:p>
    <w:p>
      <w:pPr>
        <w:spacing w:after="0" w:line="124"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32"/>
        </w:numPr>
        <w:rPr>
          <w:rFonts w:ascii="Arial" w:cs="Arial" w:eastAsia="Arial" w:hAnsi="Arial"/>
          <w:sz w:val="19"/>
          <w:szCs w:val="19"/>
          <w:color w:val="auto"/>
        </w:rPr>
      </w:pPr>
      <w:r>
        <w:rPr>
          <w:rFonts w:ascii="Times New Roman" w:cs="Times New Roman" w:eastAsia="Times New Roman" w:hAnsi="Times New Roman"/>
          <w:sz w:val="19"/>
          <w:szCs w:val="19"/>
          <w:color w:val="auto"/>
        </w:rPr>
        <w:t>have regulatory authorities withdraw, or suspend, their approval of the drug or impose restrictions on its distribution in the form of a modified risk evaluation and mitigation strategy, or REMS;</w:t>
      </w:r>
    </w:p>
    <w:p>
      <w:pPr>
        <w:spacing w:after="0" w:line="61" w:lineRule="exact"/>
        <w:rPr>
          <w:rFonts w:ascii="Arial" w:cs="Arial" w:eastAsia="Arial" w:hAnsi="Arial"/>
          <w:sz w:val="19"/>
          <w:szCs w:val="19"/>
          <w:color w:val="auto"/>
        </w:rPr>
      </w:pPr>
    </w:p>
    <w:p>
      <w:pPr>
        <w:ind w:left="920" w:hanging="458"/>
        <w:spacing w:after="0"/>
        <w:tabs>
          <w:tab w:leader="none" w:pos="920" w:val="left"/>
        </w:tabs>
        <w:numPr>
          <w:ilvl w:val="0"/>
          <w:numId w:val="32"/>
        </w:numPr>
        <w:rPr>
          <w:rFonts w:ascii="Arial" w:cs="Arial" w:eastAsia="Arial" w:hAnsi="Arial"/>
          <w:sz w:val="19"/>
          <w:szCs w:val="19"/>
          <w:color w:val="auto"/>
        </w:rPr>
      </w:pPr>
      <w:r>
        <w:rPr>
          <w:rFonts w:ascii="Times New Roman" w:cs="Times New Roman" w:eastAsia="Times New Roman" w:hAnsi="Times New Roman"/>
          <w:sz w:val="19"/>
          <w:szCs w:val="19"/>
          <w:color w:val="auto"/>
        </w:rPr>
        <w:t>be subject to the addition of labeling statements, such as warnings or contraindications;</w:t>
      </w:r>
    </w:p>
    <w:p>
      <w:pPr>
        <w:spacing w:after="0" w:line="124" w:lineRule="exact"/>
        <w:rPr>
          <w:rFonts w:ascii="Arial" w:cs="Arial" w:eastAsia="Arial" w:hAnsi="Arial"/>
          <w:sz w:val="19"/>
          <w:szCs w:val="19"/>
          <w:color w:val="auto"/>
        </w:rPr>
      </w:pPr>
    </w:p>
    <w:p>
      <w:pPr>
        <w:ind w:left="920" w:hanging="458"/>
        <w:spacing w:after="0"/>
        <w:tabs>
          <w:tab w:leader="none" w:pos="920" w:val="left"/>
        </w:tabs>
        <w:numPr>
          <w:ilvl w:val="0"/>
          <w:numId w:val="32"/>
        </w:numPr>
        <w:rPr>
          <w:rFonts w:ascii="Arial" w:cs="Arial" w:eastAsia="Arial" w:hAnsi="Arial"/>
          <w:sz w:val="19"/>
          <w:szCs w:val="19"/>
          <w:color w:val="auto"/>
        </w:rPr>
      </w:pPr>
      <w:r>
        <w:rPr>
          <w:rFonts w:ascii="Times New Roman" w:cs="Times New Roman" w:eastAsia="Times New Roman" w:hAnsi="Times New Roman"/>
          <w:sz w:val="19"/>
          <w:szCs w:val="19"/>
          <w:color w:val="auto"/>
        </w:rPr>
        <w:t>have the product removed from the market after obtaining marketing approval;</w:t>
      </w:r>
    </w:p>
    <w:p>
      <w:pPr>
        <w:spacing w:after="0" w:line="124" w:lineRule="exact"/>
        <w:rPr>
          <w:rFonts w:ascii="Arial" w:cs="Arial" w:eastAsia="Arial" w:hAnsi="Arial"/>
          <w:sz w:val="19"/>
          <w:szCs w:val="19"/>
          <w:color w:val="auto"/>
        </w:rPr>
      </w:pPr>
    </w:p>
    <w:p>
      <w:pPr>
        <w:ind w:left="920" w:hanging="458"/>
        <w:spacing w:after="0"/>
        <w:tabs>
          <w:tab w:leader="none" w:pos="920" w:val="left"/>
        </w:tabs>
        <w:numPr>
          <w:ilvl w:val="0"/>
          <w:numId w:val="32"/>
        </w:numPr>
        <w:rPr>
          <w:rFonts w:ascii="Arial" w:cs="Arial" w:eastAsia="Arial" w:hAnsi="Arial"/>
          <w:sz w:val="19"/>
          <w:szCs w:val="19"/>
          <w:color w:val="auto"/>
        </w:rPr>
      </w:pPr>
      <w:r>
        <w:rPr>
          <w:rFonts w:ascii="Times New Roman" w:cs="Times New Roman" w:eastAsia="Times New Roman" w:hAnsi="Times New Roman"/>
          <w:sz w:val="19"/>
          <w:szCs w:val="19"/>
          <w:color w:val="auto"/>
        </w:rPr>
        <w:t>be subject to lawsuits; or</w:t>
      </w:r>
    </w:p>
    <w:p>
      <w:pPr>
        <w:spacing w:after="0" w:line="124" w:lineRule="exact"/>
        <w:rPr>
          <w:rFonts w:ascii="Arial" w:cs="Arial" w:eastAsia="Arial" w:hAnsi="Arial"/>
          <w:sz w:val="19"/>
          <w:szCs w:val="19"/>
          <w:color w:val="auto"/>
        </w:rPr>
      </w:pPr>
    </w:p>
    <w:p>
      <w:pPr>
        <w:ind w:left="920" w:hanging="458"/>
        <w:spacing w:after="0"/>
        <w:tabs>
          <w:tab w:leader="none" w:pos="920" w:val="left"/>
        </w:tabs>
        <w:numPr>
          <w:ilvl w:val="0"/>
          <w:numId w:val="32"/>
        </w:numPr>
        <w:rPr>
          <w:rFonts w:ascii="Arial" w:cs="Arial" w:eastAsia="Arial" w:hAnsi="Arial"/>
          <w:sz w:val="19"/>
          <w:szCs w:val="19"/>
          <w:color w:val="auto"/>
        </w:rPr>
      </w:pPr>
      <w:r>
        <w:rPr>
          <w:rFonts w:ascii="Times New Roman" w:cs="Times New Roman" w:eastAsia="Times New Roman" w:hAnsi="Times New Roman"/>
          <w:sz w:val="19"/>
          <w:szCs w:val="19"/>
          <w:color w:val="auto"/>
        </w:rPr>
        <w:t>experience damage to our reputation.</w:t>
      </w:r>
    </w:p>
    <w:p>
      <w:pPr>
        <w:spacing w:after="0" w:line="22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Conducting clinical trials in foreign countries, as we may do for our product candidates, presents additional risks that may delay completion of our clinical trials. These risks include the failure of enrolled patients in foreign countries to adhere to clinical protocols as a result of differences in healthcare services or cultural customs, managing additional administrative burdens associated with foreign regulatory schemes, as well as political and economic risks relevant to such foreign countries.</w:t>
      </w:r>
    </w:p>
    <w:p>
      <w:pPr>
        <w:spacing w:after="0" w:line="18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trial.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authorities, as the case may be, and may ultimately lead to the denial of marketing approval of one or more of our product candidates.</w:t>
      </w:r>
    </w:p>
    <w:p>
      <w:pPr>
        <w:spacing w:after="0" w:line="19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In addition to the factors above, we may make formulation or manufacturing changes to our product candidates, in which case we may need to conduct additional preclinical studies or clinical trials to bridge our modified product candidates to earlier versions, which may be costly, time consuming and may not be successful at all.</w:t>
      </w:r>
    </w:p>
    <w:p>
      <w:pPr>
        <w:spacing w:after="0" w:line="16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Our failure to successfully initiate and complete clinical trials of our product candidates and to demonstrate the efficacy and safety necessary to obtain regulatory approval to market any of our product candidates would significantly harm our business. We cannot guarantee that our clinical trials will begin as planned or be completed on schedule, if at all, or that we will not need to restructure our clinical trials. Significant preclinical study or clinical trial delays could also shorten any periods during which we may have the exclusive right to commercialize our product candidates or allow our competitors to bring products to market before we do and impair our ability to successfully commercialize our product candidates, which may harm our business and results of operations. In addition, many of the factors that cause, or lead to, delays of clinical trials may ultimately lead to the denial of regulatory approval of our product candidates.</w:t>
      </w:r>
    </w:p>
    <w:p>
      <w:pPr>
        <w:spacing w:after="0" w:line="18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b w:val="1"/>
          <w:bCs w:val="1"/>
          <w:i w:val="1"/>
          <w:iCs w:val="1"/>
          <w:color w:val="auto"/>
        </w:rPr>
        <w:t>If we experience delays or difficulties in the enrollment of patients in clinical trials, our clinical development activities could be delayed or otherwise adversely affected.</w:t>
      </w:r>
    </w:p>
    <w:p>
      <w:pPr>
        <w:spacing w:after="0" w:line="15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We may experience difficulties in patient enrollment in our clinical trials for a variety of reasons. The timely completion of clinical trials in accordance with their protocols depends, among other things, on our ability to enroll a sufficient number of patients who remain in the study until its conclusion. The enrollment of patients depends on many factors, including:</w:t>
      </w:r>
    </w:p>
    <w:p>
      <w:pPr>
        <w:spacing w:after="0" w:line="77" w:lineRule="exact"/>
        <w:rPr>
          <w:sz w:val="20"/>
          <w:szCs w:val="20"/>
          <w:color w:val="auto"/>
        </w:rPr>
      </w:pPr>
    </w:p>
    <w:p>
      <w:pPr>
        <w:ind w:left="920" w:hanging="458"/>
        <w:spacing w:after="0" w:line="274" w:lineRule="auto"/>
        <w:tabs>
          <w:tab w:leader="none" w:pos="920" w:val="left"/>
        </w:tabs>
        <w:numPr>
          <w:ilvl w:val="0"/>
          <w:numId w:val="33"/>
        </w:numPr>
        <w:rPr>
          <w:rFonts w:ascii="Arial" w:cs="Arial" w:eastAsia="Arial" w:hAnsi="Arial"/>
          <w:sz w:val="19"/>
          <w:szCs w:val="19"/>
          <w:color w:val="auto"/>
        </w:rPr>
      </w:pPr>
      <w:r>
        <w:rPr>
          <w:rFonts w:ascii="Times New Roman" w:cs="Times New Roman" w:eastAsia="Times New Roman" w:hAnsi="Times New Roman"/>
          <w:sz w:val="19"/>
          <w:szCs w:val="19"/>
          <w:color w:val="auto"/>
        </w:rPr>
        <w:t>clinicians’ and patients’ perceptions as to the potential advantages of the product candidate being studied in relation to other available therapies, including any new products that may be approved for the indications we are investigating;</w:t>
      </w:r>
    </w:p>
    <w:p>
      <w:pPr>
        <w:spacing w:after="0" w:line="61" w:lineRule="exact"/>
        <w:rPr>
          <w:rFonts w:ascii="Arial" w:cs="Arial" w:eastAsia="Arial" w:hAnsi="Arial"/>
          <w:sz w:val="19"/>
          <w:szCs w:val="19"/>
          <w:color w:val="auto"/>
        </w:rPr>
      </w:pPr>
    </w:p>
    <w:p>
      <w:pPr>
        <w:ind w:left="920" w:hanging="458"/>
        <w:spacing w:after="0"/>
        <w:tabs>
          <w:tab w:leader="none" w:pos="920" w:val="left"/>
        </w:tabs>
        <w:numPr>
          <w:ilvl w:val="0"/>
          <w:numId w:val="33"/>
        </w:numPr>
        <w:rPr>
          <w:rFonts w:ascii="Arial" w:cs="Arial" w:eastAsia="Arial" w:hAnsi="Arial"/>
          <w:sz w:val="19"/>
          <w:szCs w:val="19"/>
          <w:color w:val="auto"/>
        </w:rPr>
      </w:pPr>
      <w:r>
        <w:rPr>
          <w:rFonts w:ascii="Times New Roman" w:cs="Times New Roman" w:eastAsia="Times New Roman" w:hAnsi="Times New Roman"/>
          <w:sz w:val="19"/>
          <w:szCs w:val="19"/>
          <w:color w:val="auto"/>
        </w:rPr>
        <w:t>the severity of the disease under investigation;</w:t>
      </w:r>
    </w:p>
    <w:p>
      <w:pPr>
        <w:spacing w:after="0" w:line="124" w:lineRule="exact"/>
        <w:rPr>
          <w:rFonts w:ascii="Arial" w:cs="Arial" w:eastAsia="Arial" w:hAnsi="Arial"/>
          <w:sz w:val="19"/>
          <w:szCs w:val="19"/>
          <w:color w:val="auto"/>
        </w:rPr>
      </w:pPr>
    </w:p>
    <w:p>
      <w:pPr>
        <w:ind w:left="920" w:hanging="458"/>
        <w:spacing w:after="0"/>
        <w:tabs>
          <w:tab w:leader="none" w:pos="920" w:val="left"/>
        </w:tabs>
        <w:numPr>
          <w:ilvl w:val="0"/>
          <w:numId w:val="33"/>
        </w:numPr>
        <w:rPr>
          <w:rFonts w:ascii="Arial" w:cs="Arial" w:eastAsia="Arial" w:hAnsi="Arial"/>
          <w:sz w:val="19"/>
          <w:szCs w:val="19"/>
          <w:color w:val="auto"/>
        </w:rPr>
      </w:pPr>
      <w:r>
        <w:rPr>
          <w:rFonts w:ascii="Times New Roman" w:cs="Times New Roman" w:eastAsia="Times New Roman" w:hAnsi="Times New Roman"/>
          <w:sz w:val="19"/>
          <w:szCs w:val="19"/>
          <w:color w:val="auto"/>
        </w:rPr>
        <w:t>the patient eligibility and the inclusion and exclusion criteria defined in the protocol;</w:t>
      </w:r>
    </w:p>
    <w:p>
      <w:pPr>
        <w:spacing w:after="0" w:line="124" w:lineRule="exact"/>
        <w:rPr>
          <w:rFonts w:ascii="Arial" w:cs="Arial" w:eastAsia="Arial" w:hAnsi="Arial"/>
          <w:sz w:val="19"/>
          <w:szCs w:val="19"/>
          <w:color w:val="auto"/>
        </w:rPr>
      </w:pPr>
    </w:p>
    <w:p>
      <w:pPr>
        <w:ind w:left="920" w:hanging="458"/>
        <w:spacing w:after="0"/>
        <w:tabs>
          <w:tab w:leader="none" w:pos="920" w:val="left"/>
        </w:tabs>
        <w:numPr>
          <w:ilvl w:val="0"/>
          <w:numId w:val="33"/>
        </w:numPr>
        <w:rPr>
          <w:rFonts w:ascii="Arial" w:cs="Arial" w:eastAsia="Arial" w:hAnsi="Arial"/>
          <w:sz w:val="19"/>
          <w:szCs w:val="19"/>
          <w:color w:val="auto"/>
        </w:rPr>
      </w:pPr>
      <w:r>
        <w:rPr>
          <w:rFonts w:ascii="Times New Roman" w:cs="Times New Roman" w:eastAsia="Times New Roman" w:hAnsi="Times New Roman"/>
          <w:sz w:val="19"/>
          <w:szCs w:val="19"/>
          <w:color w:val="auto"/>
        </w:rPr>
        <w:t>AEs in our clinical trials and in third-party clinical trials of agents similar to our product candidates;</w:t>
      </w:r>
    </w:p>
    <w:p>
      <w:pPr>
        <w:spacing w:after="0" w:line="124" w:lineRule="exact"/>
        <w:rPr>
          <w:rFonts w:ascii="Arial" w:cs="Arial" w:eastAsia="Arial" w:hAnsi="Arial"/>
          <w:sz w:val="19"/>
          <w:szCs w:val="19"/>
          <w:color w:val="auto"/>
        </w:rPr>
      </w:pPr>
    </w:p>
    <w:p>
      <w:pPr>
        <w:ind w:left="920" w:hanging="458"/>
        <w:spacing w:after="0"/>
        <w:tabs>
          <w:tab w:leader="none" w:pos="920" w:val="left"/>
        </w:tabs>
        <w:numPr>
          <w:ilvl w:val="0"/>
          <w:numId w:val="33"/>
        </w:numPr>
        <w:rPr>
          <w:rFonts w:ascii="Arial" w:cs="Arial" w:eastAsia="Arial" w:hAnsi="Arial"/>
          <w:sz w:val="19"/>
          <w:szCs w:val="19"/>
          <w:color w:val="auto"/>
        </w:rPr>
      </w:pPr>
      <w:r>
        <w:rPr>
          <w:rFonts w:ascii="Times New Roman" w:cs="Times New Roman" w:eastAsia="Times New Roman" w:hAnsi="Times New Roman"/>
          <w:sz w:val="19"/>
          <w:szCs w:val="19"/>
          <w:color w:val="auto"/>
        </w:rPr>
        <w:t>the size and health of the patient population required for analysis of the trial’s primary endpoints;</w:t>
      </w:r>
    </w:p>
    <w:p>
      <w:pPr>
        <w:sectPr>
          <w:pgSz w:w="12240" w:h="15840" w:orient="portrait"/>
          <w:cols w:equalWidth="0" w:num="1">
            <w:col w:w="10200"/>
          </w:cols>
          <w:pgMar w:left="1020" w:top="1330" w:right="1020" w:bottom="574" w:gutter="0" w:footer="0" w:header="0"/>
        </w:sect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44</w:t>
      </w:r>
    </w:p>
    <w:p>
      <w:pPr>
        <w:sectPr>
          <w:pgSz w:w="12240" w:h="15840" w:orient="portrait"/>
          <w:cols w:equalWidth="0" w:num="1">
            <w:col w:w="10200"/>
          </w:cols>
          <w:pgMar w:left="1020" w:top="1330" w:right="1020" w:bottom="574" w:gutter="0" w:footer="0" w:header="0"/>
          <w:type w:val="continuous"/>
        </w:sectPr>
      </w:pPr>
    </w:p>
    <w:bookmarkStart w:id="47" w:name="page48"/>
    <w:bookmarkEnd w:id="47"/>
    <w:p>
      <w:pPr>
        <w:ind w:left="920" w:hanging="458"/>
        <w:spacing w:after="0"/>
        <w:tabs>
          <w:tab w:leader="none" w:pos="920" w:val="left"/>
        </w:tabs>
        <w:numPr>
          <w:ilvl w:val="0"/>
          <w:numId w:val="34"/>
        </w:numPr>
        <w:rPr>
          <w:rFonts w:ascii="Arial" w:cs="Arial" w:eastAsia="Arial" w:hAnsi="Arial"/>
          <w:sz w:val="19"/>
          <w:szCs w:val="19"/>
          <w:color w:val="auto"/>
        </w:rPr>
      </w:pPr>
      <w:r>
        <w:rPr>
          <w:rFonts w:ascii="Times New Roman" w:cs="Times New Roman" w:eastAsia="Times New Roman" w:hAnsi="Times New Roman"/>
          <w:sz w:val="19"/>
          <w:szCs w:val="19"/>
          <w:color w:val="auto"/>
        </w:rPr>
        <w:t>the proximity of patients to trial sites;</w:t>
      </w:r>
    </w:p>
    <w:p>
      <w:pPr>
        <w:spacing w:after="0" w:line="124" w:lineRule="exact"/>
        <w:rPr>
          <w:rFonts w:ascii="Arial" w:cs="Arial" w:eastAsia="Arial" w:hAnsi="Arial"/>
          <w:sz w:val="19"/>
          <w:szCs w:val="19"/>
          <w:color w:val="auto"/>
        </w:rPr>
      </w:pPr>
    </w:p>
    <w:p>
      <w:pPr>
        <w:ind w:left="920" w:hanging="458"/>
        <w:spacing w:after="0"/>
        <w:tabs>
          <w:tab w:leader="none" w:pos="920" w:val="left"/>
        </w:tabs>
        <w:numPr>
          <w:ilvl w:val="0"/>
          <w:numId w:val="34"/>
        </w:numPr>
        <w:rPr>
          <w:rFonts w:ascii="Arial" w:cs="Arial" w:eastAsia="Arial" w:hAnsi="Arial"/>
          <w:sz w:val="19"/>
          <w:szCs w:val="19"/>
          <w:color w:val="auto"/>
        </w:rPr>
      </w:pPr>
      <w:r>
        <w:rPr>
          <w:rFonts w:ascii="Times New Roman" w:cs="Times New Roman" w:eastAsia="Times New Roman" w:hAnsi="Times New Roman"/>
          <w:sz w:val="19"/>
          <w:szCs w:val="19"/>
          <w:color w:val="auto"/>
        </w:rPr>
        <w:t>the design of the trial;</w:t>
      </w:r>
    </w:p>
    <w:p>
      <w:pPr>
        <w:spacing w:after="0" w:line="124" w:lineRule="exact"/>
        <w:rPr>
          <w:rFonts w:ascii="Arial" w:cs="Arial" w:eastAsia="Arial" w:hAnsi="Arial"/>
          <w:sz w:val="19"/>
          <w:szCs w:val="19"/>
          <w:color w:val="auto"/>
        </w:rPr>
      </w:pPr>
    </w:p>
    <w:p>
      <w:pPr>
        <w:ind w:left="920" w:hanging="458"/>
        <w:spacing w:after="0"/>
        <w:tabs>
          <w:tab w:leader="none" w:pos="920" w:val="left"/>
        </w:tabs>
        <w:numPr>
          <w:ilvl w:val="0"/>
          <w:numId w:val="34"/>
        </w:numPr>
        <w:rPr>
          <w:rFonts w:ascii="Arial" w:cs="Arial" w:eastAsia="Arial" w:hAnsi="Arial"/>
          <w:sz w:val="19"/>
          <w:szCs w:val="19"/>
          <w:color w:val="auto"/>
        </w:rPr>
      </w:pPr>
      <w:r>
        <w:rPr>
          <w:rFonts w:ascii="Times New Roman" w:cs="Times New Roman" w:eastAsia="Times New Roman" w:hAnsi="Times New Roman"/>
          <w:sz w:val="19"/>
          <w:szCs w:val="19"/>
          <w:color w:val="auto"/>
        </w:rPr>
        <w:t>our ability to recruit clinical trial investigators with the appropriate competencies and experience;</w:t>
      </w:r>
    </w:p>
    <w:p>
      <w:pPr>
        <w:spacing w:after="0" w:line="124" w:lineRule="exact"/>
        <w:rPr>
          <w:rFonts w:ascii="Arial" w:cs="Arial" w:eastAsia="Arial" w:hAnsi="Arial"/>
          <w:sz w:val="19"/>
          <w:szCs w:val="19"/>
          <w:color w:val="auto"/>
        </w:rPr>
      </w:pPr>
    </w:p>
    <w:p>
      <w:pPr>
        <w:ind w:left="920" w:hanging="458"/>
        <w:spacing w:after="0"/>
        <w:tabs>
          <w:tab w:leader="none" w:pos="920" w:val="left"/>
        </w:tabs>
        <w:numPr>
          <w:ilvl w:val="0"/>
          <w:numId w:val="34"/>
        </w:numPr>
        <w:rPr>
          <w:rFonts w:ascii="Arial" w:cs="Arial" w:eastAsia="Arial" w:hAnsi="Arial"/>
          <w:sz w:val="19"/>
          <w:szCs w:val="19"/>
          <w:color w:val="auto"/>
        </w:rPr>
      </w:pPr>
      <w:r>
        <w:rPr>
          <w:rFonts w:ascii="Times New Roman" w:cs="Times New Roman" w:eastAsia="Times New Roman" w:hAnsi="Times New Roman"/>
          <w:sz w:val="19"/>
          <w:szCs w:val="19"/>
          <w:color w:val="auto"/>
        </w:rPr>
        <w:t>our ability to obtain and maintain patient consents;</w:t>
      </w:r>
    </w:p>
    <w:p>
      <w:pPr>
        <w:spacing w:after="0" w:line="124" w:lineRule="exact"/>
        <w:rPr>
          <w:rFonts w:ascii="Arial" w:cs="Arial" w:eastAsia="Arial" w:hAnsi="Arial"/>
          <w:sz w:val="19"/>
          <w:szCs w:val="19"/>
          <w:color w:val="auto"/>
        </w:rPr>
      </w:pPr>
    </w:p>
    <w:p>
      <w:pPr>
        <w:ind w:left="920" w:hanging="458"/>
        <w:spacing w:after="0"/>
        <w:tabs>
          <w:tab w:leader="none" w:pos="920" w:val="left"/>
        </w:tabs>
        <w:numPr>
          <w:ilvl w:val="0"/>
          <w:numId w:val="34"/>
        </w:numPr>
        <w:rPr>
          <w:rFonts w:ascii="Arial" w:cs="Arial" w:eastAsia="Arial" w:hAnsi="Arial"/>
          <w:sz w:val="19"/>
          <w:szCs w:val="19"/>
          <w:color w:val="auto"/>
        </w:rPr>
      </w:pPr>
      <w:r>
        <w:rPr>
          <w:rFonts w:ascii="Times New Roman" w:cs="Times New Roman" w:eastAsia="Times New Roman" w:hAnsi="Times New Roman"/>
          <w:sz w:val="19"/>
          <w:szCs w:val="19"/>
          <w:color w:val="auto"/>
        </w:rPr>
        <w:t>our ability to monitor patients adequately during and after treatment;</w:t>
      </w:r>
    </w:p>
    <w:p>
      <w:pPr>
        <w:spacing w:after="0" w:line="124" w:lineRule="exact"/>
        <w:rPr>
          <w:rFonts w:ascii="Arial" w:cs="Arial" w:eastAsia="Arial" w:hAnsi="Arial"/>
          <w:sz w:val="19"/>
          <w:szCs w:val="19"/>
          <w:color w:val="auto"/>
        </w:rPr>
      </w:pPr>
    </w:p>
    <w:p>
      <w:pPr>
        <w:ind w:left="920" w:hanging="458"/>
        <w:spacing w:after="0"/>
        <w:tabs>
          <w:tab w:leader="none" w:pos="920" w:val="left"/>
        </w:tabs>
        <w:numPr>
          <w:ilvl w:val="0"/>
          <w:numId w:val="34"/>
        </w:numPr>
        <w:rPr>
          <w:rFonts w:ascii="Arial" w:cs="Arial" w:eastAsia="Arial" w:hAnsi="Arial"/>
          <w:sz w:val="19"/>
          <w:szCs w:val="19"/>
          <w:color w:val="auto"/>
        </w:rPr>
      </w:pPr>
      <w:r>
        <w:rPr>
          <w:rFonts w:ascii="Times New Roman" w:cs="Times New Roman" w:eastAsia="Times New Roman" w:hAnsi="Times New Roman"/>
          <w:sz w:val="19"/>
          <w:szCs w:val="19"/>
          <w:color w:val="auto"/>
        </w:rPr>
        <w:t>the risk that patients enrolled in clinical trials will drop out of the trials before completion; and</w:t>
      </w:r>
    </w:p>
    <w:p>
      <w:pPr>
        <w:spacing w:after="0" w:line="124"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34"/>
        </w:numPr>
        <w:rPr>
          <w:rFonts w:ascii="Arial" w:cs="Arial" w:eastAsia="Arial" w:hAnsi="Arial"/>
          <w:sz w:val="19"/>
          <w:szCs w:val="19"/>
          <w:color w:val="auto"/>
        </w:rPr>
      </w:pPr>
      <w:r>
        <w:rPr>
          <w:rFonts w:ascii="Times New Roman" w:cs="Times New Roman" w:eastAsia="Times New Roman" w:hAnsi="Times New Roman"/>
          <w:sz w:val="19"/>
          <w:szCs w:val="19"/>
          <w:color w:val="auto"/>
        </w:rPr>
        <w:t>factors we may not be able to control that may limit the availability of patients, principal investigators or staff or clinical sites, such as public health crises, including epidemics and pandemics.</w:t>
      </w:r>
    </w:p>
    <w:p>
      <w:pPr>
        <w:spacing w:after="0" w:line="16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at such clinical trial site.</w:t>
      </w:r>
    </w:p>
    <w:p>
      <w:pPr>
        <w:spacing w:after="0" w:line="16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9"/>
          <w:szCs w:val="19"/>
          <w:color w:val="auto"/>
        </w:rPr>
        <w:t>Our inability to enroll a sufficient number of patients for our clinical trials would result in significant delays or might require us to abandon one or more clinical trials altogether. Enrollment delays in our clinical trials may result in increased development costs for our product candidates, slow down or halt our product candidate development and approval process and jeopardize our ability to seek and obtain the marketing approval required to commence product sales and generate revenue, which would cause the value of our company to decline and limit our ability to obtain sufficient additional capital.</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b w:val="1"/>
          <w:bCs w:val="1"/>
          <w:i w:val="1"/>
          <w:iCs w:val="1"/>
          <w:color w:val="auto"/>
        </w:rPr>
        <w:t>Our product candidates may cause undesirable or unexpectedly severe side effects that could delay or prevent their regulatory approval, limit the commercial profile of an approved label, or result in significant negative consequences following marketing approval, if any.</w:t>
      </w:r>
    </w:p>
    <w:p>
      <w:pPr>
        <w:spacing w:after="0" w:line="16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color w:val="auto"/>
        </w:rPr>
        <w:t>Undesirable or unexpectedly severe side effects caused by our product candidates could cause us to interrupt, delay or halt preclinical studies or could cause us or regulatory authorities to interrupt, delay or halt clinical trials and could result in a more restrictive label or the delay or denial of regulatory approval by the FDA or comparable foreign regulatory authorities. Traditional cytokine therapies and checkpoint inhibitors have long been associated with severe toxicities, which can be life-threatening or fatal, that have resulted in the need to dose-reduce, dose-interrupt and discontinue many patients from treatment. As has been the case with traditional I-O treatments for cancer, it is possible that there may be severe side effects associated with the use of our current or future product candidates. Results of our clinical trials could reveal a high and unacceptable severity and prevalence of these or other side effects. In such an event, our clinical trials could be suspended or terminated, and the FDA or comparable foreign regulatory authorities could order us to cease further development of or deny approval of our product candidates for any or all targeted indications. Treatment-related side effects could also affect patient recruitment or the ability of enrolled patients to complete the trial or result in potential product liability claims. Any of these occurrences may harm our business, financial condition and prospects significantly.</w:t>
      </w:r>
    </w:p>
    <w:p>
      <w:pPr>
        <w:spacing w:after="0" w:line="19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9"/>
          <w:szCs w:val="19"/>
          <w:color w:val="auto"/>
        </w:rPr>
        <w:t>In addition, clinical trials rely on a sample of the potential patient population. With a limited number of patients and limited duration of exposure, rare and severe side effects of our product candidates may only be uncovered when a significantly larger number of patients is exposed to the product candidate. If our product candidates receive marketing approval and we or others identify undesirable side effects caused by such product candidates after such approval, a number of potentially significant negative consequences could result, including:</w:t>
      </w:r>
    </w:p>
    <w:p>
      <w:pPr>
        <w:spacing w:after="0" w:line="89" w:lineRule="exact"/>
        <w:rPr>
          <w:sz w:val="20"/>
          <w:szCs w:val="20"/>
          <w:color w:val="auto"/>
        </w:rPr>
      </w:pPr>
    </w:p>
    <w:p>
      <w:pPr>
        <w:ind w:left="920" w:hanging="458"/>
        <w:spacing w:after="0" w:line="274" w:lineRule="auto"/>
        <w:tabs>
          <w:tab w:leader="none" w:pos="920" w:val="left"/>
        </w:tabs>
        <w:numPr>
          <w:ilvl w:val="0"/>
          <w:numId w:val="35"/>
        </w:numPr>
        <w:rPr>
          <w:rFonts w:ascii="Arial" w:cs="Arial" w:eastAsia="Arial" w:hAnsi="Arial"/>
          <w:sz w:val="19"/>
          <w:szCs w:val="19"/>
          <w:color w:val="auto"/>
        </w:rPr>
      </w:pPr>
      <w:r>
        <w:rPr>
          <w:rFonts w:ascii="Times New Roman" w:cs="Times New Roman" w:eastAsia="Times New Roman" w:hAnsi="Times New Roman"/>
          <w:sz w:val="19"/>
          <w:szCs w:val="19"/>
          <w:color w:val="auto"/>
        </w:rPr>
        <w:t>regulatory authorities may require the addition of labeling statements, such as a “black box” warning or a contraindication;</w:t>
      </w:r>
    </w:p>
    <w:p>
      <w:pPr>
        <w:spacing w:after="0" w:line="61" w:lineRule="exact"/>
        <w:rPr>
          <w:rFonts w:ascii="Arial" w:cs="Arial" w:eastAsia="Arial" w:hAnsi="Arial"/>
          <w:sz w:val="19"/>
          <w:szCs w:val="19"/>
          <w:color w:val="auto"/>
        </w:rPr>
      </w:pPr>
    </w:p>
    <w:p>
      <w:pPr>
        <w:ind w:left="920" w:hanging="457"/>
        <w:spacing w:after="0"/>
        <w:tabs>
          <w:tab w:leader="none" w:pos="920" w:val="left"/>
        </w:tabs>
        <w:numPr>
          <w:ilvl w:val="0"/>
          <w:numId w:val="35"/>
        </w:numPr>
        <w:rPr>
          <w:rFonts w:ascii="Arial" w:cs="Arial" w:eastAsia="Arial" w:hAnsi="Arial"/>
          <w:sz w:val="19"/>
          <w:szCs w:val="19"/>
          <w:color w:val="auto"/>
        </w:rPr>
      </w:pPr>
      <w:r>
        <w:rPr>
          <w:rFonts w:ascii="Times New Roman" w:cs="Times New Roman" w:eastAsia="Times New Roman" w:hAnsi="Times New Roman"/>
          <w:sz w:val="19"/>
          <w:szCs w:val="19"/>
          <w:color w:val="auto"/>
        </w:rPr>
        <w:t>we may be required to create a medication guide outlining the risks of such side effects for distribution to patients;</w:t>
      </w:r>
    </w:p>
    <w:p>
      <w:pPr>
        <w:spacing w:after="0" w:line="124" w:lineRule="exact"/>
        <w:rPr>
          <w:rFonts w:ascii="Arial" w:cs="Arial" w:eastAsia="Arial" w:hAnsi="Arial"/>
          <w:sz w:val="19"/>
          <w:szCs w:val="19"/>
          <w:color w:val="auto"/>
        </w:rPr>
      </w:pPr>
    </w:p>
    <w:p>
      <w:pPr>
        <w:jc w:val="both"/>
        <w:ind w:left="920" w:hanging="457"/>
        <w:spacing w:after="0" w:line="256" w:lineRule="auto"/>
        <w:tabs>
          <w:tab w:leader="none" w:pos="920" w:val="left"/>
        </w:tabs>
        <w:numPr>
          <w:ilvl w:val="0"/>
          <w:numId w:val="35"/>
        </w:numPr>
        <w:rPr>
          <w:rFonts w:ascii="Arial" w:cs="Arial" w:eastAsia="Arial" w:hAnsi="Arial"/>
          <w:sz w:val="19"/>
          <w:szCs w:val="19"/>
          <w:color w:val="auto"/>
        </w:rPr>
      </w:pPr>
      <w:r>
        <w:rPr>
          <w:rFonts w:ascii="Times New Roman" w:cs="Times New Roman" w:eastAsia="Times New Roman" w:hAnsi="Times New Roman"/>
          <w:sz w:val="19"/>
          <w:szCs w:val="19"/>
          <w:color w:val="auto"/>
        </w:rPr>
        <w:t>regulatory authorities may require a REMS plan to mitigate risks, which could include medication guides, physician communication plans, or elements to assure safe use, such as restricted distribution methods, patient registries and other risk minimization tools;</w:t>
      </w:r>
    </w:p>
    <w:p>
      <w:pPr>
        <w:spacing w:after="0" w:line="78" w:lineRule="exact"/>
        <w:rPr>
          <w:rFonts w:ascii="Arial" w:cs="Arial" w:eastAsia="Arial" w:hAnsi="Arial"/>
          <w:sz w:val="19"/>
          <w:szCs w:val="19"/>
          <w:color w:val="auto"/>
        </w:rPr>
      </w:pPr>
    </w:p>
    <w:p>
      <w:pPr>
        <w:ind w:left="920" w:hanging="457"/>
        <w:spacing w:after="0" w:line="274" w:lineRule="auto"/>
        <w:tabs>
          <w:tab w:leader="none" w:pos="920" w:val="left"/>
        </w:tabs>
        <w:numPr>
          <w:ilvl w:val="0"/>
          <w:numId w:val="35"/>
        </w:numPr>
        <w:rPr>
          <w:rFonts w:ascii="Arial" w:cs="Arial" w:eastAsia="Arial" w:hAnsi="Arial"/>
          <w:sz w:val="19"/>
          <w:szCs w:val="19"/>
          <w:color w:val="auto"/>
        </w:rPr>
      </w:pPr>
      <w:r>
        <w:rPr>
          <w:rFonts w:ascii="Times New Roman" w:cs="Times New Roman" w:eastAsia="Times New Roman" w:hAnsi="Times New Roman"/>
          <w:sz w:val="19"/>
          <w:szCs w:val="19"/>
          <w:color w:val="auto"/>
        </w:rPr>
        <w:t>we may be required to change the way such product candidates are distributed or administered, conduct additional clinical trials or change the labeling of the product candidates;</w:t>
      </w:r>
    </w:p>
    <w:p>
      <w:pPr>
        <w:spacing w:after="0" w:line="61" w:lineRule="exact"/>
        <w:rPr>
          <w:rFonts w:ascii="Arial" w:cs="Arial" w:eastAsia="Arial" w:hAnsi="Arial"/>
          <w:sz w:val="19"/>
          <w:szCs w:val="19"/>
          <w:color w:val="auto"/>
        </w:rPr>
      </w:pPr>
    </w:p>
    <w:p>
      <w:pPr>
        <w:ind w:left="920" w:hanging="457"/>
        <w:spacing w:after="0"/>
        <w:tabs>
          <w:tab w:leader="none" w:pos="920" w:val="left"/>
        </w:tabs>
        <w:numPr>
          <w:ilvl w:val="0"/>
          <w:numId w:val="35"/>
        </w:numPr>
        <w:rPr>
          <w:rFonts w:ascii="Arial" w:cs="Arial" w:eastAsia="Arial" w:hAnsi="Arial"/>
          <w:sz w:val="19"/>
          <w:szCs w:val="19"/>
          <w:color w:val="auto"/>
        </w:rPr>
      </w:pPr>
      <w:r>
        <w:rPr>
          <w:rFonts w:ascii="Times New Roman" w:cs="Times New Roman" w:eastAsia="Times New Roman" w:hAnsi="Times New Roman"/>
          <w:sz w:val="19"/>
          <w:szCs w:val="19"/>
          <w:color w:val="auto"/>
        </w:rPr>
        <w:t>we may be subject to regulatory investigations and government enforcement actions;</w:t>
      </w:r>
    </w:p>
    <w:p>
      <w:pPr>
        <w:spacing w:after="0" w:line="124" w:lineRule="exact"/>
        <w:rPr>
          <w:rFonts w:ascii="Arial" w:cs="Arial" w:eastAsia="Arial" w:hAnsi="Arial"/>
          <w:sz w:val="19"/>
          <w:szCs w:val="19"/>
          <w:color w:val="auto"/>
        </w:rPr>
      </w:pPr>
    </w:p>
    <w:p>
      <w:pPr>
        <w:ind w:left="920" w:hanging="457"/>
        <w:spacing w:after="0"/>
        <w:tabs>
          <w:tab w:leader="none" w:pos="920" w:val="left"/>
        </w:tabs>
        <w:numPr>
          <w:ilvl w:val="0"/>
          <w:numId w:val="35"/>
        </w:numPr>
        <w:rPr>
          <w:rFonts w:ascii="Arial" w:cs="Arial" w:eastAsia="Arial" w:hAnsi="Arial"/>
          <w:sz w:val="19"/>
          <w:szCs w:val="19"/>
          <w:color w:val="auto"/>
        </w:rPr>
      </w:pPr>
      <w:r>
        <w:rPr>
          <w:rFonts w:ascii="Times New Roman" w:cs="Times New Roman" w:eastAsia="Times New Roman" w:hAnsi="Times New Roman"/>
          <w:sz w:val="19"/>
          <w:szCs w:val="19"/>
          <w:color w:val="auto"/>
        </w:rPr>
        <w:t>regulatory authorities may withdraw or limit their approval of such product candidates;</w:t>
      </w:r>
    </w:p>
    <w:p>
      <w:pPr>
        <w:sectPr>
          <w:pgSz w:w="12240" w:h="15840" w:orient="portrait"/>
          <w:cols w:equalWidth="0" w:num="1">
            <w:col w:w="10200"/>
          </w:cols>
          <w:pgMar w:left="1020" w:top="1330" w:right="1020" w:bottom="574" w:gutter="0" w:footer="0" w:header="0"/>
        </w:sect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45</w:t>
      </w:r>
    </w:p>
    <w:p>
      <w:pPr>
        <w:sectPr>
          <w:pgSz w:w="12240" w:h="15840" w:orient="portrait"/>
          <w:cols w:equalWidth="0" w:num="1">
            <w:col w:w="10200"/>
          </w:cols>
          <w:pgMar w:left="1020" w:top="1330" w:right="1020" w:bottom="574" w:gutter="0" w:footer="0" w:header="0"/>
          <w:type w:val="continuous"/>
        </w:sectPr>
      </w:pPr>
    </w:p>
    <w:bookmarkStart w:id="48" w:name="page49"/>
    <w:bookmarkEnd w:id="48"/>
    <w:p>
      <w:pPr>
        <w:ind w:left="920" w:hanging="458"/>
        <w:spacing w:after="0"/>
        <w:tabs>
          <w:tab w:leader="none" w:pos="920" w:val="left"/>
        </w:tabs>
        <w:numPr>
          <w:ilvl w:val="0"/>
          <w:numId w:val="36"/>
        </w:numPr>
        <w:rPr>
          <w:rFonts w:ascii="Arial" w:cs="Arial" w:eastAsia="Arial" w:hAnsi="Arial"/>
          <w:sz w:val="19"/>
          <w:szCs w:val="19"/>
          <w:color w:val="auto"/>
        </w:rPr>
      </w:pPr>
      <w:r>
        <w:rPr>
          <w:rFonts w:ascii="Times New Roman" w:cs="Times New Roman" w:eastAsia="Times New Roman" w:hAnsi="Times New Roman"/>
          <w:sz w:val="19"/>
          <w:szCs w:val="19"/>
          <w:color w:val="auto"/>
        </w:rPr>
        <w:t>we may decide to remove such product candidates from the marketplace;</w:t>
      </w:r>
    </w:p>
    <w:p>
      <w:pPr>
        <w:spacing w:after="0" w:line="124" w:lineRule="exact"/>
        <w:rPr>
          <w:rFonts w:ascii="Arial" w:cs="Arial" w:eastAsia="Arial" w:hAnsi="Arial"/>
          <w:sz w:val="19"/>
          <w:szCs w:val="19"/>
          <w:color w:val="auto"/>
        </w:rPr>
      </w:pPr>
    </w:p>
    <w:p>
      <w:pPr>
        <w:ind w:left="920" w:hanging="458"/>
        <w:spacing w:after="0"/>
        <w:tabs>
          <w:tab w:leader="none" w:pos="920" w:val="left"/>
        </w:tabs>
        <w:numPr>
          <w:ilvl w:val="0"/>
          <w:numId w:val="36"/>
        </w:numPr>
        <w:rPr>
          <w:rFonts w:ascii="Arial" w:cs="Arial" w:eastAsia="Arial" w:hAnsi="Arial"/>
          <w:sz w:val="19"/>
          <w:szCs w:val="19"/>
          <w:color w:val="auto"/>
        </w:rPr>
      </w:pPr>
      <w:r>
        <w:rPr>
          <w:rFonts w:ascii="Times New Roman" w:cs="Times New Roman" w:eastAsia="Times New Roman" w:hAnsi="Times New Roman"/>
          <w:sz w:val="19"/>
          <w:szCs w:val="19"/>
          <w:color w:val="auto"/>
        </w:rPr>
        <w:t>we could be sued and held liable for injury caused to individuals exposed to or taking our product candidates; and</w:t>
      </w:r>
    </w:p>
    <w:p>
      <w:pPr>
        <w:spacing w:after="0" w:line="124" w:lineRule="exact"/>
        <w:rPr>
          <w:rFonts w:ascii="Arial" w:cs="Arial" w:eastAsia="Arial" w:hAnsi="Arial"/>
          <w:sz w:val="19"/>
          <w:szCs w:val="19"/>
          <w:color w:val="auto"/>
        </w:rPr>
      </w:pPr>
    </w:p>
    <w:p>
      <w:pPr>
        <w:ind w:left="920" w:hanging="458"/>
        <w:spacing w:after="0"/>
        <w:tabs>
          <w:tab w:leader="none" w:pos="920" w:val="left"/>
        </w:tabs>
        <w:numPr>
          <w:ilvl w:val="0"/>
          <w:numId w:val="36"/>
        </w:numPr>
        <w:rPr>
          <w:rFonts w:ascii="Arial" w:cs="Arial" w:eastAsia="Arial" w:hAnsi="Arial"/>
          <w:sz w:val="19"/>
          <w:szCs w:val="19"/>
          <w:color w:val="auto"/>
        </w:rPr>
      </w:pPr>
      <w:r>
        <w:rPr>
          <w:rFonts w:ascii="Times New Roman" w:cs="Times New Roman" w:eastAsia="Times New Roman" w:hAnsi="Times New Roman"/>
          <w:sz w:val="19"/>
          <w:szCs w:val="19"/>
          <w:color w:val="auto"/>
        </w:rPr>
        <w:t>we may suffer reputational harm.</w:t>
      </w:r>
    </w:p>
    <w:p>
      <w:pPr>
        <w:spacing w:after="0" w:line="21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9"/>
          <w:szCs w:val="19"/>
          <w:color w:val="auto"/>
        </w:rPr>
        <w:t>Any of these events could prevent us from achieving or maintaining market acceptance of the particular product candidate, if approved, and could significantly harm our business, results of operations and prospects.</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6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From time to time, we may publish interim top-line or preliminary data from our clinical trials. For example, we most recently reported updated data from our Phase 2 clinical trial for vilastobart in combination with atezolizumab and from our Phase 1 clinical trial for efarindodekin alfa in November 2025 at the Society for Immunotherapy of Cancer (SITC) 40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Annual Meeting. Preliminary and interim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previously published. As a result, interim and preliminary data should be viewed with caution until the final data are available. Adverse differences between preliminary or interim data and final data could significantly harm our business prospects.</w:t>
      </w:r>
    </w:p>
    <w:p>
      <w:pPr>
        <w:spacing w:after="0" w:line="18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b w:val="1"/>
          <w:bCs w:val="1"/>
          <w:i w:val="1"/>
          <w:iCs w:val="1"/>
          <w:color w:val="auto"/>
        </w:rPr>
        <w:t>We expect to develop certain of our product candidates in combination with third-party drugs and we will have limited or no control over the safety, supply, regulatory status or regulatory approval of such third-party drugs.</w:t>
      </w:r>
    </w:p>
    <w:p>
      <w:pPr>
        <w:spacing w:after="0" w:line="15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color w:val="auto"/>
        </w:rPr>
        <w:t>We intend to develop our clinical-stage product candidates, and likely other future product candidates, in combination with third-party cancer drugs, which may be either approved or unapproved. For example, we are currently evaluating vilastobart in combination with atezolizumab (Tecentriq®) in a Phase 2 clinical trial in patients with MSS mCRC. Our ability to develop and ultimately commercialize our current product candidates, and any future product candidates, used in combination with third-party drugs will depend on our ability to access such drugs on commercially reasonable terms for clinical trials and their availability for use with our commercialized product, if approved. We cannot be certain that current or potential future commercial relationships will provide us with a steady supply of such drugs on commercially reasonable terms or at all. Any failure to maintain or enter into new successful commercial relationships, or the expense of purchasing such third-party drugs in the market, may delay our development timelines, increase our costs and jeopardize our ability to develop our current product candidates and any future product candidates as commercially viable therapies. If any of these occur, our business, financial condition, operating results or prospects may be materially harmed.</w:t>
      </w:r>
    </w:p>
    <w:p>
      <w:pPr>
        <w:spacing w:after="0" w:line="19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color w:val="auto"/>
        </w:rPr>
        <w:t>Moreover, the development of product candidates for use in combination with another product or product candidate may present challenges that are not faced for single agent product candidates. For example, our plans to evaluate current or future product candidates in combination with other agents may result in AEs based on the combination therapy that may negatively impact the reported safety profile of the monotherapy in clinical trials. In addition, the FDA or comparable foreign regulatory authorities may require us to use more complex clinical trial designs in order to evaluate the contribution of each product and product candidate to any observed effects. It is possible that the results of such trials could show that any positive previous trial results are attributable to the third-party drug and not our product candidate. Developments related to the third-party drug may also impact our clinical trials for the combination therapy as well as our commercial prospects should we receive regulatory approval. Such developments may include changes to the third-party drug’s safety or efficacy profile, changes to the availability of the third-party drug, quality, and manufacturing and supply issues with respect to the third-party drug.</w:t>
      </w:r>
    </w:p>
    <w:p>
      <w:pPr>
        <w:spacing w:after="0" w:line="19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If we are able to obtain marketing approval, the FDA or comparable foreign regulatory authorities may require that products used in conjunction with each other be cross labeled for combined use. To the extent that we do not have rights to the third-party drug, this may require us to work with such third party to satisfy such a requirement. We would also continue to be subject to the risks that the FDA or comparable foreign regulatory authorities could revoke approval of the third-party drug used in combination with our product candidate or that safety, efficacy, manufacturing or supply issues could arise with such drug. Similarly, if the third-party drugs we use in combination with our product candidates are replaced as the standard of care for the indications we choose for any of our product candidates, the FDA or comparable foreign regulatory authorities may require us to conduct additional clinical trials. The occurrence of any of these risks could result in our own products, if approved, being removed from the market or being less successful commercially.</w:t>
      </w:r>
    </w:p>
    <w:p>
      <w:pPr>
        <w:sectPr>
          <w:pgSz w:w="12240" w:h="15840" w:orient="portrait"/>
          <w:cols w:equalWidth="0" w:num="1">
            <w:col w:w="10200"/>
          </w:cols>
          <w:pgMar w:left="1020" w:top="1330" w:right="102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46</w:t>
      </w:r>
    </w:p>
    <w:p>
      <w:pPr>
        <w:sectPr>
          <w:pgSz w:w="12240" w:h="15840" w:orient="portrait"/>
          <w:cols w:equalWidth="0" w:num="1">
            <w:col w:w="10200"/>
          </w:cols>
          <w:pgMar w:left="1020" w:top="1330" w:right="1020" w:bottom="574" w:gutter="0" w:footer="0" w:header="0"/>
          <w:type w:val="continuous"/>
        </w:sectPr>
      </w:pPr>
    </w:p>
    <w:bookmarkStart w:id="49" w:name="page50"/>
    <w:bookmarkEnd w:id="49"/>
    <w:p>
      <w:pPr>
        <w:spacing w:after="0" w:line="9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b w:val="1"/>
          <w:bCs w:val="1"/>
          <w:i w:val="1"/>
          <w:iCs w:val="1"/>
          <w:color w:val="auto"/>
        </w:rPr>
        <w:t>We may not be successful in our efforts to use our platform technology to enable the development of a pipeline of masked I-O product candidates.</w:t>
      </w:r>
    </w:p>
    <w:p>
      <w:pPr>
        <w:spacing w:after="0" w:line="15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 key element of our strategy is to use our novel platform technology to engineer and develop masked I-O molecules with the potential to trigger anti-tumor immunity with minimal systemic toxicity in order to advance a pipeline of product candidates. We may not be able to continue to identify and develop novel I-O therapies. Even if we are successful in continuing to advance our pipeline, the potential product candidates that we identify may not be suitable for clinical development. For example, potential product candidates may be shown to have harmful side effects or other characteristics that indicate that they are unlikely to or will not be drugs that will receive marketing approval and achieve market acceptance. If we do not successfully develop and commercialize product candidates based upon our platform approach or take longer to do so than anticipated, we will not or may not be able to obtain drug revenues in future periods, which likely would result in significant harm to our financial position and adversely affect our stock price.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We may not be successful in our efforts to identify or discover additional product candidates.</w:t>
      </w:r>
    </w:p>
    <w:p>
      <w:pPr>
        <w:spacing w:after="0" w:line="21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Although we intend to explore other therapeutic opportunities in addition to the product candidates that we are currently developing, we may fail to identify or discover viable new product candidates for clinical development for a number of reasons. If we fail to identify additional potential product candidates, our business could be materially harmed.</w:t>
      </w:r>
    </w:p>
    <w:p>
      <w:pPr>
        <w:spacing w:after="0" w:line="17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Research programs to pursue the development of our existing and planned product candidates for additional indications and to identify new product candidates and disease targets require substantial technical, financial and human resources whether or not they are ultimately successful. We may in the future rely on third parties for certain research, and we will not have complete control over their performance and ability to successfully develop product candidates. Our research programs may initially show promise in identifying potential indications and/or product candidates, yet fail to yield results for clinical development for a number of reasons, including:</w:t>
      </w:r>
    </w:p>
    <w:p>
      <w:pPr>
        <w:spacing w:after="0" w:line="70" w:lineRule="exact"/>
        <w:rPr>
          <w:sz w:val="20"/>
          <w:szCs w:val="20"/>
          <w:color w:val="auto"/>
        </w:rPr>
      </w:pPr>
    </w:p>
    <w:p>
      <w:pPr>
        <w:ind w:left="920" w:hanging="458"/>
        <w:spacing w:after="0"/>
        <w:tabs>
          <w:tab w:leader="none" w:pos="920" w:val="left"/>
        </w:tabs>
        <w:numPr>
          <w:ilvl w:val="0"/>
          <w:numId w:val="37"/>
        </w:numPr>
        <w:rPr>
          <w:rFonts w:ascii="Arial" w:cs="Arial" w:eastAsia="Arial" w:hAnsi="Arial"/>
          <w:sz w:val="19"/>
          <w:szCs w:val="19"/>
          <w:color w:val="auto"/>
        </w:rPr>
      </w:pPr>
      <w:r>
        <w:rPr>
          <w:rFonts w:ascii="Times New Roman" w:cs="Times New Roman" w:eastAsia="Times New Roman" w:hAnsi="Times New Roman"/>
          <w:sz w:val="19"/>
          <w:szCs w:val="19"/>
          <w:color w:val="auto"/>
        </w:rPr>
        <w:t>the research methodology used may not be successful in identifying potential indications and/or product candidates;</w:t>
      </w:r>
    </w:p>
    <w:p>
      <w:pPr>
        <w:spacing w:after="0" w:line="124"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37"/>
        </w:numPr>
        <w:rPr>
          <w:rFonts w:ascii="Arial" w:cs="Arial" w:eastAsia="Arial" w:hAnsi="Arial"/>
          <w:sz w:val="19"/>
          <w:szCs w:val="19"/>
          <w:color w:val="auto"/>
        </w:rPr>
      </w:pPr>
      <w:r>
        <w:rPr>
          <w:rFonts w:ascii="Times New Roman" w:cs="Times New Roman" w:eastAsia="Times New Roman" w:hAnsi="Times New Roman"/>
          <w:sz w:val="19"/>
          <w:szCs w:val="19"/>
          <w:color w:val="auto"/>
        </w:rPr>
        <w:t>potential product candidates may, after further study, be shown to have harmful adverse effects or other characteristics that indicate they are unlikely to be effective drugs; and</w:t>
      </w:r>
    </w:p>
    <w:p>
      <w:pPr>
        <w:spacing w:after="0" w:line="61" w:lineRule="exact"/>
        <w:rPr>
          <w:rFonts w:ascii="Arial" w:cs="Arial" w:eastAsia="Arial" w:hAnsi="Arial"/>
          <w:sz w:val="19"/>
          <w:szCs w:val="19"/>
          <w:color w:val="auto"/>
        </w:rPr>
      </w:pPr>
    </w:p>
    <w:p>
      <w:pPr>
        <w:jc w:val="both"/>
        <w:ind w:left="920" w:hanging="458"/>
        <w:spacing w:after="0" w:line="256" w:lineRule="auto"/>
        <w:tabs>
          <w:tab w:leader="none" w:pos="920" w:val="left"/>
        </w:tabs>
        <w:numPr>
          <w:ilvl w:val="0"/>
          <w:numId w:val="37"/>
        </w:numPr>
        <w:rPr>
          <w:rFonts w:ascii="Arial" w:cs="Arial" w:eastAsia="Arial" w:hAnsi="Arial"/>
          <w:sz w:val="19"/>
          <w:szCs w:val="19"/>
          <w:color w:val="auto"/>
        </w:rPr>
      </w:pPr>
      <w:r>
        <w:rPr>
          <w:rFonts w:ascii="Times New Roman" w:cs="Times New Roman" w:eastAsia="Times New Roman" w:hAnsi="Times New Roman"/>
          <w:sz w:val="19"/>
          <w:szCs w:val="19"/>
          <w:color w:val="auto"/>
        </w:rPr>
        <w:t>it may take greater human and financial resources than we will possess to identify and advance additional therapeutic opportunities for our product candidates or to develop suitable potential product candidates through internal research programs, thereby limiting our ability to develop, diversify and expand our product portfolio.</w:t>
      </w:r>
    </w:p>
    <w:p>
      <w:pPr>
        <w:spacing w:after="0" w:line="17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Accordingly, there can be no assurance that we will ever be able to identify additional therapeutic opportunities for our current product candidates or to develop suitable additional product candidates through internal research programs, which could materially adversely affect our future growth and prospects.</w:t>
      </w:r>
    </w:p>
    <w:p>
      <w:pPr>
        <w:spacing w:after="0" w:line="16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b w:val="1"/>
          <w:bCs w:val="1"/>
          <w:i w:val="1"/>
          <w:iCs w:val="1"/>
          <w:color w:val="auto"/>
        </w:rPr>
        <w:t>Our approach to the discovery and development of product candidates based on our technological approaches is unproven, and we do not know whether we will be able to develop any products of commercial value.</w:t>
      </w:r>
    </w:p>
    <w:p>
      <w:pPr>
        <w:spacing w:after="0" w:line="15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color w:val="auto"/>
        </w:rPr>
        <w:t>The success of our business depends primarily upon our ability to discover, develop and commercialize products based on our technological approaches. While we have had favorable preclinical and early clinical results related to our clinical-stage product candidates, vilastobart and efarindodekin alfa, we have not yet succeeded and may not succeed in demonstrating efficacy and safety for any product candidates in current or future clinical trials or in obtaining marketing approval thereafter. We rely on matrix metalloproteases, or MMPs, to activate our molecules within the tumor microenvironment. If MMP activity in human tumors is not sufficient to cleave the masking protein domain, the potential efficacy of our product candidates would be limited. We have no assurance that our product candidates will successfully progress through clinical development and ultimately marketing approval. We have invested substantially all of our efforts and financial resources in developing our initial product candidates and our future success is highly dependent on the outcome of our ongoing clinical trials and the successful development of our technology and product candidates.</w:t>
      </w:r>
    </w:p>
    <w:p>
      <w:pPr>
        <w:spacing w:after="0" w:line="19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In addition, the clinical trial requirements of the FDA and other regulatory agencies and the criteria these regulators use to determine the safety and efficacy of a product candidate may vary according to the type, complexity, novelty and intended use and market of the potential products. The regulatory approval process for novel product candidates can be more expensive and take longer than for other, better known or extensively studied pharmaceutical or other product candidates. As a result, we may face a greater regulatory burden to initiate clinical trials or to obtain regulatory approval of our product candidates as compared to product candidates based on more established technology. In addition, any product candidates for which we may be able to obtain marketing approval may be subject to extensive post-approval regulatory requirements, including requirements pertaining to manufacturing, distribution and promotion. We may need to devote significant time and resources to comply with these requirements.</w:t>
      </w:r>
    </w:p>
    <w:p>
      <w:pPr>
        <w:sectPr>
          <w:pgSz w:w="12240" w:h="15840" w:orient="portrait"/>
          <w:cols w:equalWidth="0" w:num="1">
            <w:col w:w="10200"/>
          </w:cols>
          <w:pgMar w:left="1020" w:top="1440" w:right="1020" w:bottom="574" w:gutter="0" w:footer="0" w:header="0"/>
        </w:sect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47</w:t>
      </w:r>
    </w:p>
    <w:p>
      <w:pPr>
        <w:sectPr>
          <w:pgSz w:w="12240" w:h="15840" w:orient="portrait"/>
          <w:cols w:equalWidth="0" w:num="1">
            <w:col w:w="10200"/>
          </w:cols>
          <w:pgMar w:left="1020" w:top="1440" w:right="1020" w:bottom="574" w:gutter="0" w:footer="0" w:header="0"/>
          <w:type w:val="continuous"/>
        </w:sectPr>
      </w:pPr>
    </w:p>
    <w:bookmarkStart w:id="50" w:name="page51"/>
    <w:bookmarkEnd w:id="50"/>
    <w:p>
      <w:pPr>
        <w:spacing w:after="0" w:line="9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5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color w:val="auto"/>
        </w:rPr>
        <w:t>We have chosen to initially develop each of our clinical-stage product candidates for the treatment of various solid tumor types. Nevertheless, our development efforts will be limited to a small number of cancer types, and we may forego or delay pursuit of opportunities in other cancer types that may prove to have greater potential. Likewise, we may forego or delay the pursuit of opportunities with other potential product candidates that may prove to have greater commercial potential.</w:t>
      </w:r>
    </w:p>
    <w:p>
      <w:pPr>
        <w:spacing w:after="0" w:line="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9"/>
          <w:szCs w:val="19"/>
          <w:color w:val="auto"/>
        </w:rPr>
        <w:t>In addition, our resource allocation decisions may cause us to fail to capitalize on viable commercial products or profitable market opportunities. Our spending on current and future research and development programs and product candidates for specific indications may not yield any viable product candidates. Similarly, if we do not accurately evaluate the commercial potential or target market for a particular product candidate, we may relinquish valuable rights to that product candidate through collaboration, licensing or other similar arrangements in cases in which it would have been more advantageous for us to retain sole development and commercialization rights to the product candidate.</w:t>
      </w:r>
    </w:p>
    <w:p>
      <w:pPr>
        <w:spacing w:after="0" w:line="18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b w:val="1"/>
          <w:bCs w:val="1"/>
          <w:i w:val="1"/>
          <w:iCs w:val="1"/>
          <w:color w:val="auto"/>
        </w:rPr>
        <w:t>We may become exposed to costly and damaging liability claims, either when testing our product candidates in the clinic or following commercial sale, and any product liability insurance we may obtain may not cover all damages from such claims.</w:t>
      </w:r>
    </w:p>
    <w:p>
      <w:pPr>
        <w:spacing w:after="0" w:line="15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color w:val="auto"/>
        </w:rPr>
        <w:t>We are exposed to potential product liability risks that are inherent in the research, development, manufacturing, marketing and use of biopharmaceutical products. The use of product candidates by us in clinical trials, and any sale of approved products in the future, may expose us to liability claims. For example, we may be sued if our product candidates cause or are perceived to cause injury or are found to be otherwise unsuitable during clinical trials,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w:t>
      </w:r>
    </w:p>
    <w:p>
      <w:pPr>
        <w:spacing w:after="0" w:line="18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Although the clinical trial process is designed to identify and assess potential side effects, it is always possible that a drug, even after regulatory approval, may exhibit unforeseen side effects. If any of our product candidates were to cause adverse side effects during clinical trials or after approval thereof, we may be exposed to substantial liabilities. Physicians and patients may not comply with any warnings that identify known potential adverse effects and patients who should not use our product candidates. If we cannot successfully defend ourselves against product liability claims, we may incur substantial liabilities or be required to limit or cease the development or commercialization of our product candidates or any products for which we may have received marketing approval. Even a successful defense would require significant financial and management resources. Regardless of the merits or eventual outcome, liability claims may result in:</w:t>
      </w:r>
    </w:p>
    <w:p>
      <w:pPr>
        <w:spacing w:after="0" w:line="95" w:lineRule="exact"/>
        <w:rPr>
          <w:sz w:val="20"/>
          <w:szCs w:val="20"/>
          <w:color w:val="auto"/>
        </w:rPr>
      </w:pPr>
    </w:p>
    <w:p>
      <w:pPr>
        <w:ind w:left="920" w:hanging="458"/>
        <w:spacing w:after="0"/>
        <w:tabs>
          <w:tab w:leader="none" w:pos="920" w:val="left"/>
        </w:tabs>
        <w:numPr>
          <w:ilvl w:val="0"/>
          <w:numId w:val="38"/>
        </w:numPr>
        <w:rPr>
          <w:rFonts w:ascii="Arial" w:cs="Arial" w:eastAsia="Arial" w:hAnsi="Arial"/>
          <w:sz w:val="19"/>
          <w:szCs w:val="19"/>
          <w:color w:val="auto"/>
        </w:rPr>
      </w:pPr>
      <w:r>
        <w:rPr>
          <w:rFonts w:ascii="Times New Roman" w:cs="Times New Roman" w:eastAsia="Times New Roman" w:hAnsi="Times New Roman"/>
          <w:sz w:val="19"/>
          <w:szCs w:val="19"/>
          <w:color w:val="auto"/>
        </w:rPr>
        <w:t>delay or termination of clinical trials;</w:t>
      </w:r>
    </w:p>
    <w:p>
      <w:pPr>
        <w:spacing w:after="0" w:line="124" w:lineRule="exact"/>
        <w:rPr>
          <w:rFonts w:ascii="Arial" w:cs="Arial" w:eastAsia="Arial" w:hAnsi="Arial"/>
          <w:sz w:val="19"/>
          <w:szCs w:val="19"/>
          <w:color w:val="auto"/>
        </w:rPr>
      </w:pPr>
    </w:p>
    <w:p>
      <w:pPr>
        <w:ind w:left="920" w:hanging="458"/>
        <w:spacing w:after="0"/>
        <w:tabs>
          <w:tab w:leader="none" w:pos="920" w:val="left"/>
        </w:tabs>
        <w:numPr>
          <w:ilvl w:val="0"/>
          <w:numId w:val="38"/>
        </w:numPr>
        <w:rPr>
          <w:rFonts w:ascii="Arial" w:cs="Arial" w:eastAsia="Arial" w:hAnsi="Arial"/>
          <w:sz w:val="19"/>
          <w:szCs w:val="19"/>
          <w:color w:val="auto"/>
        </w:rPr>
      </w:pPr>
      <w:r>
        <w:rPr>
          <w:rFonts w:ascii="Times New Roman" w:cs="Times New Roman" w:eastAsia="Times New Roman" w:hAnsi="Times New Roman"/>
          <w:sz w:val="19"/>
          <w:szCs w:val="19"/>
          <w:color w:val="auto"/>
        </w:rPr>
        <w:t>decreased demand for any product candidates or products that we may develop;</w:t>
      </w:r>
    </w:p>
    <w:p>
      <w:pPr>
        <w:spacing w:after="0" w:line="124" w:lineRule="exact"/>
        <w:rPr>
          <w:rFonts w:ascii="Arial" w:cs="Arial" w:eastAsia="Arial" w:hAnsi="Arial"/>
          <w:sz w:val="19"/>
          <w:szCs w:val="19"/>
          <w:color w:val="auto"/>
        </w:rPr>
      </w:pPr>
    </w:p>
    <w:p>
      <w:pPr>
        <w:ind w:left="920" w:hanging="458"/>
        <w:spacing w:after="0"/>
        <w:tabs>
          <w:tab w:leader="none" w:pos="920" w:val="left"/>
        </w:tabs>
        <w:numPr>
          <w:ilvl w:val="0"/>
          <w:numId w:val="38"/>
        </w:numPr>
        <w:rPr>
          <w:rFonts w:ascii="Arial" w:cs="Arial" w:eastAsia="Arial" w:hAnsi="Arial"/>
          <w:sz w:val="19"/>
          <w:szCs w:val="19"/>
          <w:color w:val="auto"/>
        </w:rPr>
      </w:pPr>
      <w:r>
        <w:rPr>
          <w:rFonts w:ascii="Times New Roman" w:cs="Times New Roman" w:eastAsia="Times New Roman" w:hAnsi="Times New Roman"/>
          <w:sz w:val="19"/>
          <w:szCs w:val="19"/>
          <w:color w:val="auto"/>
        </w:rPr>
        <w:t>injury to our reputation and significant negative media and social media attention;</w:t>
      </w:r>
    </w:p>
    <w:p>
      <w:pPr>
        <w:spacing w:after="0" w:line="124" w:lineRule="exact"/>
        <w:rPr>
          <w:rFonts w:ascii="Arial" w:cs="Arial" w:eastAsia="Arial" w:hAnsi="Arial"/>
          <w:sz w:val="19"/>
          <w:szCs w:val="19"/>
          <w:color w:val="auto"/>
        </w:rPr>
      </w:pPr>
    </w:p>
    <w:p>
      <w:pPr>
        <w:ind w:left="920" w:hanging="458"/>
        <w:spacing w:after="0"/>
        <w:tabs>
          <w:tab w:leader="none" w:pos="920" w:val="left"/>
        </w:tabs>
        <w:numPr>
          <w:ilvl w:val="0"/>
          <w:numId w:val="38"/>
        </w:numPr>
        <w:rPr>
          <w:rFonts w:ascii="Arial" w:cs="Arial" w:eastAsia="Arial" w:hAnsi="Arial"/>
          <w:sz w:val="19"/>
          <w:szCs w:val="19"/>
          <w:color w:val="auto"/>
        </w:rPr>
      </w:pPr>
      <w:r>
        <w:rPr>
          <w:rFonts w:ascii="Times New Roman" w:cs="Times New Roman" w:eastAsia="Times New Roman" w:hAnsi="Times New Roman"/>
          <w:sz w:val="19"/>
          <w:szCs w:val="19"/>
          <w:color w:val="auto"/>
        </w:rPr>
        <w:t>withdrawal of clinical trial participants or difficulties in recruiting new trial participants;</w:t>
      </w:r>
    </w:p>
    <w:p>
      <w:pPr>
        <w:spacing w:after="0" w:line="124" w:lineRule="exact"/>
        <w:rPr>
          <w:rFonts w:ascii="Arial" w:cs="Arial" w:eastAsia="Arial" w:hAnsi="Arial"/>
          <w:sz w:val="19"/>
          <w:szCs w:val="19"/>
          <w:color w:val="auto"/>
        </w:rPr>
      </w:pPr>
    </w:p>
    <w:p>
      <w:pPr>
        <w:ind w:left="920" w:hanging="458"/>
        <w:spacing w:after="0"/>
        <w:tabs>
          <w:tab w:leader="none" w:pos="920" w:val="left"/>
        </w:tabs>
        <w:numPr>
          <w:ilvl w:val="0"/>
          <w:numId w:val="38"/>
        </w:numPr>
        <w:rPr>
          <w:rFonts w:ascii="Arial" w:cs="Arial" w:eastAsia="Arial" w:hAnsi="Arial"/>
          <w:sz w:val="19"/>
          <w:szCs w:val="19"/>
          <w:color w:val="auto"/>
        </w:rPr>
      </w:pPr>
      <w:r>
        <w:rPr>
          <w:rFonts w:ascii="Times New Roman" w:cs="Times New Roman" w:eastAsia="Times New Roman" w:hAnsi="Times New Roman"/>
          <w:sz w:val="19"/>
          <w:szCs w:val="19"/>
          <w:color w:val="auto"/>
        </w:rPr>
        <w:t>initiation of investigations by regulators;</w:t>
      </w:r>
    </w:p>
    <w:p>
      <w:pPr>
        <w:spacing w:after="0" w:line="124" w:lineRule="exact"/>
        <w:rPr>
          <w:rFonts w:ascii="Arial" w:cs="Arial" w:eastAsia="Arial" w:hAnsi="Arial"/>
          <w:sz w:val="19"/>
          <w:szCs w:val="19"/>
          <w:color w:val="auto"/>
        </w:rPr>
      </w:pPr>
    </w:p>
    <w:p>
      <w:pPr>
        <w:ind w:left="920" w:hanging="458"/>
        <w:spacing w:after="0"/>
        <w:tabs>
          <w:tab w:leader="none" w:pos="920" w:val="left"/>
        </w:tabs>
        <w:numPr>
          <w:ilvl w:val="0"/>
          <w:numId w:val="38"/>
        </w:numPr>
        <w:rPr>
          <w:rFonts w:ascii="Arial" w:cs="Arial" w:eastAsia="Arial" w:hAnsi="Arial"/>
          <w:sz w:val="19"/>
          <w:szCs w:val="19"/>
          <w:color w:val="auto"/>
        </w:rPr>
      </w:pPr>
      <w:r>
        <w:rPr>
          <w:rFonts w:ascii="Times New Roman" w:cs="Times New Roman" w:eastAsia="Times New Roman" w:hAnsi="Times New Roman"/>
          <w:sz w:val="19"/>
          <w:szCs w:val="19"/>
          <w:color w:val="auto"/>
        </w:rPr>
        <w:t>costs to defend or settle the related litigation;</w:t>
      </w:r>
    </w:p>
    <w:p>
      <w:pPr>
        <w:spacing w:after="0" w:line="124" w:lineRule="exact"/>
        <w:rPr>
          <w:rFonts w:ascii="Arial" w:cs="Arial" w:eastAsia="Arial" w:hAnsi="Arial"/>
          <w:sz w:val="19"/>
          <w:szCs w:val="19"/>
          <w:color w:val="auto"/>
        </w:rPr>
      </w:pPr>
    </w:p>
    <w:p>
      <w:pPr>
        <w:ind w:left="920" w:hanging="458"/>
        <w:spacing w:after="0"/>
        <w:tabs>
          <w:tab w:leader="none" w:pos="920" w:val="left"/>
        </w:tabs>
        <w:numPr>
          <w:ilvl w:val="0"/>
          <w:numId w:val="38"/>
        </w:numPr>
        <w:rPr>
          <w:rFonts w:ascii="Arial" w:cs="Arial" w:eastAsia="Arial" w:hAnsi="Arial"/>
          <w:sz w:val="19"/>
          <w:szCs w:val="19"/>
          <w:color w:val="auto"/>
        </w:rPr>
      </w:pPr>
      <w:r>
        <w:rPr>
          <w:rFonts w:ascii="Times New Roman" w:cs="Times New Roman" w:eastAsia="Times New Roman" w:hAnsi="Times New Roman"/>
          <w:sz w:val="19"/>
          <w:szCs w:val="19"/>
          <w:color w:val="auto"/>
        </w:rPr>
        <w:t>a diversion of management’s time and our resources;</w:t>
      </w:r>
    </w:p>
    <w:p>
      <w:pPr>
        <w:spacing w:after="0" w:line="124" w:lineRule="exact"/>
        <w:rPr>
          <w:rFonts w:ascii="Arial" w:cs="Arial" w:eastAsia="Arial" w:hAnsi="Arial"/>
          <w:sz w:val="19"/>
          <w:szCs w:val="19"/>
          <w:color w:val="auto"/>
        </w:rPr>
      </w:pPr>
    </w:p>
    <w:p>
      <w:pPr>
        <w:ind w:left="920" w:hanging="458"/>
        <w:spacing w:after="0"/>
        <w:tabs>
          <w:tab w:leader="none" w:pos="920" w:val="left"/>
        </w:tabs>
        <w:numPr>
          <w:ilvl w:val="0"/>
          <w:numId w:val="38"/>
        </w:numPr>
        <w:rPr>
          <w:rFonts w:ascii="Arial" w:cs="Arial" w:eastAsia="Arial" w:hAnsi="Arial"/>
          <w:sz w:val="19"/>
          <w:szCs w:val="19"/>
          <w:color w:val="auto"/>
        </w:rPr>
      </w:pPr>
      <w:r>
        <w:rPr>
          <w:rFonts w:ascii="Times New Roman" w:cs="Times New Roman" w:eastAsia="Times New Roman" w:hAnsi="Times New Roman"/>
          <w:sz w:val="19"/>
          <w:szCs w:val="19"/>
          <w:color w:val="auto"/>
        </w:rPr>
        <w:t>substantial monetary awards to trial participants or patients;</w:t>
      </w:r>
    </w:p>
    <w:p>
      <w:pPr>
        <w:spacing w:after="0" w:line="124" w:lineRule="exact"/>
        <w:rPr>
          <w:rFonts w:ascii="Arial" w:cs="Arial" w:eastAsia="Arial" w:hAnsi="Arial"/>
          <w:sz w:val="19"/>
          <w:szCs w:val="19"/>
          <w:color w:val="auto"/>
        </w:rPr>
      </w:pPr>
    </w:p>
    <w:p>
      <w:pPr>
        <w:ind w:left="920" w:hanging="458"/>
        <w:spacing w:after="0"/>
        <w:tabs>
          <w:tab w:leader="none" w:pos="920" w:val="left"/>
        </w:tabs>
        <w:numPr>
          <w:ilvl w:val="0"/>
          <w:numId w:val="38"/>
        </w:numPr>
        <w:rPr>
          <w:rFonts w:ascii="Arial" w:cs="Arial" w:eastAsia="Arial" w:hAnsi="Arial"/>
          <w:sz w:val="19"/>
          <w:szCs w:val="19"/>
          <w:color w:val="auto"/>
        </w:rPr>
      </w:pPr>
      <w:r>
        <w:rPr>
          <w:rFonts w:ascii="Times New Roman" w:cs="Times New Roman" w:eastAsia="Times New Roman" w:hAnsi="Times New Roman"/>
          <w:sz w:val="19"/>
          <w:szCs w:val="19"/>
          <w:color w:val="auto"/>
        </w:rPr>
        <w:t>product recalls, withdrawals or labeling, marketing or promotional restrictions;</w:t>
      </w:r>
    </w:p>
    <w:p>
      <w:pPr>
        <w:spacing w:after="0" w:line="124" w:lineRule="exact"/>
        <w:rPr>
          <w:rFonts w:ascii="Arial" w:cs="Arial" w:eastAsia="Arial" w:hAnsi="Arial"/>
          <w:sz w:val="19"/>
          <w:szCs w:val="19"/>
          <w:color w:val="auto"/>
        </w:rPr>
      </w:pPr>
    </w:p>
    <w:p>
      <w:pPr>
        <w:ind w:left="920" w:hanging="458"/>
        <w:spacing w:after="0"/>
        <w:tabs>
          <w:tab w:leader="none" w:pos="920" w:val="left"/>
        </w:tabs>
        <w:numPr>
          <w:ilvl w:val="0"/>
          <w:numId w:val="38"/>
        </w:numPr>
        <w:rPr>
          <w:rFonts w:ascii="Arial" w:cs="Arial" w:eastAsia="Arial" w:hAnsi="Arial"/>
          <w:sz w:val="19"/>
          <w:szCs w:val="19"/>
          <w:color w:val="auto"/>
        </w:rPr>
      </w:pPr>
      <w:r>
        <w:rPr>
          <w:rFonts w:ascii="Times New Roman" w:cs="Times New Roman" w:eastAsia="Times New Roman" w:hAnsi="Times New Roman"/>
          <w:sz w:val="19"/>
          <w:szCs w:val="19"/>
          <w:color w:val="auto"/>
        </w:rPr>
        <w:t>significant negative financial impact; and</w:t>
      </w:r>
    </w:p>
    <w:p>
      <w:pPr>
        <w:spacing w:after="0" w:line="124" w:lineRule="exact"/>
        <w:rPr>
          <w:rFonts w:ascii="Arial" w:cs="Arial" w:eastAsia="Arial" w:hAnsi="Arial"/>
          <w:sz w:val="19"/>
          <w:szCs w:val="19"/>
          <w:color w:val="auto"/>
        </w:rPr>
      </w:pPr>
    </w:p>
    <w:p>
      <w:pPr>
        <w:ind w:left="920" w:hanging="458"/>
        <w:spacing w:after="0"/>
        <w:tabs>
          <w:tab w:leader="none" w:pos="920" w:val="left"/>
        </w:tabs>
        <w:numPr>
          <w:ilvl w:val="0"/>
          <w:numId w:val="38"/>
        </w:numPr>
        <w:rPr>
          <w:rFonts w:ascii="Arial" w:cs="Arial" w:eastAsia="Arial" w:hAnsi="Arial"/>
          <w:sz w:val="19"/>
          <w:szCs w:val="19"/>
          <w:color w:val="auto"/>
        </w:rPr>
      </w:pPr>
      <w:r>
        <w:rPr>
          <w:rFonts w:ascii="Times New Roman" w:cs="Times New Roman" w:eastAsia="Times New Roman" w:hAnsi="Times New Roman"/>
          <w:sz w:val="19"/>
          <w:szCs w:val="19"/>
          <w:color w:val="auto"/>
        </w:rPr>
        <w:t>the inability to commercialize any of our product candidates, if approved.</w:t>
      </w:r>
    </w:p>
    <w:p>
      <w:pPr>
        <w:spacing w:after="0" w:line="22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9"/>
          <w:szCs w:val="19"/>
          <w:color w:val="auto"/>
        </w:rPr>
        <w:t>Although we will seek to procure and maintain sufficient product liability insurance coverage, our current insurance coverage and any insurance coverage we obtain in the future may not be adequate to cover all liabilities that we may incur. We may need to increase our insurance coverage each time we commence a clinical trial and if we successfully commercialize any product candidate. As the expense of insurance coverage is increasing, we may not be able to maintain insurance coverage at a reasonable cost or in an amount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materially harmed.</w:t>
      </w:r>
    </w:p>
    <w:p>
      <w:pPr>
        <w:sectPr>
          <w:pgSz w:w="12240" w:h="15840" w:orient="portrait"/>
          <w:cols w:equalWidth="0" w:num="1">
            <w:col w:w="10200"/>
          </w:cols>
          <w:pgMar w:left="1020" w:top="1440" w:right="1020" w:bottom="574"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48</w:t>
      </w:r>
    </w:p>
    <w:p>
      <w:pPr>
        <w:sectPr>
          <w:pgSz w:w="12240" w:h="15840" w:orient="portrait"/>
          <w:cols w:equalWidth="0" w:num="1">
            <w:col w:w="10200"/>
          </w:cols>
          <w:pgMar w:left="1020" w:top="1440" w:right="1020" w:bottom="574" w:gutter="0" w:footer="0" w:header="0"/>
          <w:type w:val="continuous"/>
        </w:sectPr>
      </w:pPr>
    </w:p>
    <w:bookmarkStart w:id="51" w:name="page52"/>
    <w:bookmarkEnd w:id="51"/>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Risks Relating to Manufacturing and Supply</w:t>
      </w:r>
    </w:p>
    <w:p>
      <w:pPr>
        <w:spacing w:after="0" w:line="22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b w:val="1"/>
          <w:bCs w:val="1"/>
          <w:i w:val="1"/>
          <w:iCs w:val="1"/>
          <w:color w:val="auto"/>
        </w:rPr>
        <w:t>Manufacturing biologics is complex, and we may experience manufacturing problems that result in delays in our development or commercialization programs.</w:t>
      </w:r>
    </w:p>
    <w:p>
      <w:pPr>
        <w:spacing w:after="0" w:line="15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9"/>
          <w:szCs w:val="19"/>
          <w:color w:val="auto"/>
        </w:rPr>
        <w:t>The manufacturing of biologics is complex and difficult and we may experience production issues or interruptions in supply for our product candidates, including variability of raw material, consumable or starting material quality, cell line viability, productivity or stability issues, shortages of any kind, shipping, distribution, storage and supply chain failures, media contamination, equipment malfunctions or failures, operator errors, facility contamination, labor problems, quality system and regulatory inspection failures, adverse impacts from current or future trade sanctions, tariffs or similar actions, natural disasters, disruption in utility services, terrorist activities, or acts of god that are beyond our control or the control of our third-party contract development and manufacturing organizations, or CDMOs.</w:t>
      </w:r>
    </w:p>
    <w:p>
      <w:pPr>
        <w:spacing w:after="0" w:line="19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Given the nature of biologics manufacturing, there is a risk of contamination during manufacturing. Any contamination could materially harm our ability to produce product candidates on schedule and could harm our results of operations and cause reputational damage. In the event that raw materials required in our manufacturing process need to be derived from biologic sources, they may be difficult to procure and may be subject to contamination or recall.</w:t>
      </w:r>
    </w:p>
    <w:p>
      <w:pPr>
        <w:spacing w:after="0" w:line="18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color w:val="auto"/>
        </w:rPr>
        <w:t>Problems with the manufacturing process, even minor deviations from the normal process, could result in product defects, out-of-specification analytical results or manufacturing failures that result in lot failures, product recalls, product liability claims, insufficient inventory or potentially delay progression of our preclinical or clinical development of any product candidates we may develop. If we successfully develop product candidates, we may encounter problems achieving adequate quantities and quality that meet FDA, European Medicines Agency, or EMA, or other comparable applicable foreign standards or specifications with consistent and acceptable production yields and costs. The ability to scale our manufacturing and maintain the manufacturing process at the same levels of quality and efficiency that we are currently manufacturing is yet to be tested. If we or our third-party CDMO is unable to scale our manufacturing and meet the same levels of quality and efficiency, or provide sufficient manufacturing campaign slots to generate materials, we may not be able to supply the required number of doses for clinical trials or commercial supply. A material shortage, contamination event or manufacturing failure in the manufacture of any product candidate we may develop or other adverse impact or disruption in the commercial manufacturing or the production of clinical material could materially harm our development timelines and our business, financial condition, results of operations and prospects.</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face risks related to our reliance on our current and any future CDMOs. For example, we and our CDMO are subject to significant regulation with respect to manufacturing our products. The manufacturing facilities of the CDMO on which we rely may not continue to meet regulatory requirements, may have limited capacity or may experience interruptions in supply, any of which could adversely affect our development and commercialization plans for our product candidates. All entities involved in the preparation and storage of therapeutics for clinical trials or commercial sale, including any CDMOs of any product candidates we may develop, are subject to extensive regulation. Components of a finished therapeutic product approved for commercial sale or used in clinical trials must be manufactured in accordance with current Good Manufacturing Practices, or cGMP.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adventitious agents or other contaminants or to inadvertent changes in the properties or stability of our product candidates that may not be detectable in final product testing. We, in partnership with our CDMO, must supply all necessary documentation in support of an IND for clinical product, and later in support of a BLA for any potential commercial product, on a timely basis and must adhere to the FDA’s and EMA’s current Good Laboratory Practices and cGMP regulations enforced through the applicable regulatory authority’s facilities inspection program. Our facilities and quality systems and the facilities and quality systems of our CDMO must pass a pre-approval inspection, or PAI, to confirm validity of the information presented in the BLA and to confirm the capability of the facility to manufacture our product in compliance with the applicable regulations. The PAI is a condition of regulatory approval of any product candidates we may develop or any of our other potential products. If our or our CDMO’s quality systems or facilities involved with the preparation of our product candidates do not pass the PAI, FDA approval of such product candidates will not be granted.</w:t>
      </w:r>
    </w:p>
    <w:p>
      <w:pPr>
        <w:spacing w:after="0" w:line="19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In addition, the regulatory authorities may, at any time, conduct a routine or for-cause inspection of a manufacturing facility involved with the preparation of our product candidates, which inspection is related to other products manufactured at the site or the associated quality systems, for compliance with the regulations applicable to the activities being conducted. The regulatory authorities also may, at any time following approval of a product for sale, inspect our facilities or the manufacturing facilities of our CDMOs. If any such inspection identifies a failure to comply with applicable regulations, or if a violation of our product specifications or applicable regulations occurs independent of such an inspection, we or the relevant regulatory authority may require remedial measures that may be costly and/or time-consuming for us or a third party to implement and that may include the temporary or permanent suspension of a clinical trial or commercial sales, the temporary or permanent closure of a facility, or other remedial measures that may delay or</w:t>
      </w:r>
    </w:p>
    <w:p>
      <w:pPr>
        <w:sectPr>
          <w:pgSz w:w="12240" w:h="15840" w:orient="portrait"/>
          <w:cols w:equalWidth="0" w:num="1">
            <w:col w:w="10200"/>
          </w:cols>
          <w:pgMar w:left="1020" w:top="1440" w:right="1020" w:bottom="574" w:gutter="0" w:footer="0" w:header="0"/>
        </w:sect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49</w:t>
      </w:r>
    </w:p>
    <w:p>
      <w:pPr>
        <w:sectPr>
          <w:pgSz w:w="12240" w:h="15840" w:orient="portrait"/>
          <w:cols w:equalWidth="0" w:num="1">
            <w:col w:w="10200"/>
          </w:cols>
          <w:pgMar w:left="1020" w:top="1440" w:right="1020" w:bottom="574" w:gutter="0" w:footer="0" w:header="0"/>
          <w:type w:val="continuous"/>
        </w:sectPr>
      </w:pPr>
    </w:p>
    <w:bookmarkStart w:id="52" w:name="page53"/>
    <w:bookmarkEnd w:id="52"/>
    <w:p>
      <w:pPr>
        <w:jc w:val="both"/>
        <w:spacing w:after="0" w:line="275" w:lineRule="auto"/>
        <w:rPr>
          <w:sz w:val="20"/>
          <w:szCs w:val="20"/>
          <w:color w:val="auto"/>
        </w:rPr>
      </w:pPr>
      <w:r>
        <w:rPr>
          <w:rFonts w:ascii="Times New Roman" w:cs="Times New Roman" w:eastAsia="Times New Roman" w:hAnsi="Times New Roman"/>
          <w:sz w:val="19"/>
          <w:szCs w:val="19"/>
          <w:color w:val="auto"/>
        </w:rPr>
        <w:t>disrupt the manufacture or release of our product candidates or other potential products. Any such remedial measures imposed upon us or third parties with whom we contract could materially harm our business.</w:t>
      </w:r>
    </w:p>
    <w:p>
      <w:pPr>
        <w:spacing w:after="0" w:line="145"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b w:val="1"/>
          <w:bCs w:val="1"/>
          <w:i w:val="1"/>
          <w:iCs w:val="1"/>
          <w:color w:val="auto"/>
        </w:rPr>
        <w:t>If we or any CDMO with which we contract for manufacturing and supply fails to maintain regulatory compliance, the FDA can impose regulatory sanctions including, among other things, a clinical hold, refusal to approve a pending application for a new drug product or biologic product, revocation of a pre-existing approval, or an import alert. As a result, our business, financial condition and results of operations may be materially harmed.</w:t>
      </w:r>
    </w:p>
    <w:p>
      <w:pPr>
        <w:jc w:val="both"/>
        <w:spacing w:after="0" w:line="244" w:lineRule="auto"/>
        <w:rPr>
          <w:sz w:val="20"/>
          <w:szCs w:val="20"/>
          <w:color w:val="auto"/>
        </w:rPr>
      </w:pPr>
      <w:r>
        <w:rPr>
          <w:rFonts w:ascii="Times New Roman" w:cs="Times New Roman" w:eastAsia="Times New Roman" w:hAnsi="Times New Roman"/>
          <w:sz w:val="19"/>
          <w:szCs w:val="19"/>
          <w:color w:val="auto"/>
        </w:rPr>
        <w:t>Currently, we depend on WuXi Biologics (Hong Kong) Limited, or WuXi Biologics, for developing the manufacturing processes required to supply our product candidates. We cannot ensure that this manufacturer will remain in business or have sufficient capacity or supply to meet our needs. Our use of a single manufacturer exposes us to several risks, including price increases or manufacturing delays beyond our control. WuXi Biologics is based in and has significant operations in China, where our product candidates are manufactured, which subjects us to additional risks including those related to U.S. export control laws, potential sanctions or other trade restrictions imposed by the U.S. government. Moreover, reliance on third-party manufacturers generally entails risks to which we would not be subject if we manufactured the product candidates ourselves, including:</w:t>
      </w:r>
    </w:p>
    <w:p>
      <w:pPr>
        <w:spacing w:after="0" w:line="93" w:lineRule="exact"/>
        <w:rPr>
          <w:sz w:val="20"/>
          <w:szCs w:val="20"/>
          <w:color w:val="auto"/>
        </w:rPr>
      </w:pPr>
    </w:p>
    <w:p>
      <w:pPr>
        <w:ind w:left="920" w:hanging="458"/>
        <w:spacing w:after="0" w:line="274" w:lineRule="auto"/>
        <w:tabs>
          <w:tab w:leader="none" w:pos="920" w:val="left"/>
        </w:tabs>
        <w:numPr>
          <w:ilvl w:val="0"/>
          <w:numId w:val="39"/>
        </w:numPr>
        <w:rPr>
          <w:rFonts w:ascii="Arial" w:cs="Arial" w:eastAsia="Arial" w:hAnsi="Arial"/>
          <w:sz w:val="19"/>
          <w:szCs w:val="19"/>
          <w:color w:val="auto"/>
        </w:rPr>
      </w:pPr>
      <w:r>
        <w:rPr>
          <w:rFonts w:ascii="Times New Roman" w:cs="Times New Roman" w:eastAsia="Times New Roman" w:hAnsi="Times New Roman"/>
          <w:sz w:val="19"/>
          <w:szCs w:val="19"/>
          <w:color w:val="auto"/>
        </w:rPr>
        <w:t>the inability to negotiate manufacturing agreements with third parties under commercially reasonable terms or at all, particularly if they are affiliated with our competitors;</w:t>
      </w:r>
    </w:p>
    <w:p>
      <w:pPr>
        <w:spacing w:after="0" w:line="61"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39"/>
        </w:numPr>
        <w:rPr>
          <w:rFonts w:ascii="Arial" w:cs="Arial" w:eastAsia="Arial" w:hAnsi="Arial"/>
          <w:sz w:val="19"/>
          <w:szCs w:val="19"/>
          <w:color w:val="auto"/>
        </w:rPr>
      </w:pPr>
      <w:r>
        <w:rPr>
          <w:rFonts w:ascii="Times New Roman" w:cs="Times New Roman" w:eastAsia="Times New Roman" w:hAnsi="Times New Roman"/>
          <w:sz w:val="19"/>
          <w:szCs w:val="19"/>
          <w:color w:val="auto"/>
        </w:rPr>
        <w:t>reduced control as a result of using third-party manufacturers for all aspects of manufacturing activities, particularly if they are under contract with our competitors;</w:t>
      </w:r>
    </w:p>
    <w:p>
      <w:pPr>
        <w:spacing w:after="0" w:line="61"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39"/>
        </w:numPr>
        <w:rPr>
          <w:rFonts w:ascii="Arial" w:cs="Arial" w:eastAsia="Arial" w:hAnsi="Arial"/>
          <w:sz w:val="19"/>
          <w:szCs w:val="19"/>
          <w:color w:val="auto"/>
        </w:rPr>
      </w:pPr>
      <w:r>
        <w:rPr>
          <w:rFonts w:ascii="Times New Roman" w:cs="Times New Roman" w:eastAsia="Times New Roman" w:hAnsi="Times New Roman"/>
          <w:sz w:val="19"/>
          <w:szCs w:val="19"/>
          <w:color w:val="auto"/>
        </w:rPr>
        <w:t>termination or nonrenewal of manufacturing agreements with third parties in a manner or at a time that is costly or damaging to us;</w:t>
      </w:r>
    </w:p>
    <w:p>
      <w:pPr>
        <w:spacing w:after="0" w:line="61" w:lineRule="exact"/>
        <w:rPr>
          <w:rFonts w:ascii="Arial" w:cs="Arial" w:eastAsia="Arial" w:hAnsi="Arial"/>
          <w:sz w:val="19"/>
          <w:szCs w:val="19"/>
          <w:color w:val="auto"/>
        </w:rPr>
      </w:pPr>
    </w:p>
    <w:p>
      <w:pPr>
        <w:jc w:val="both"/>
        <w:ind w:left="920" w:hanging="458"/>
        <w:spacing w:after="0" w:line="256" w:lineRule="auto"/>
        <w:tabs>
          <w:tab w:leader="none" w:pos="920" w:val="left"/>
        </w:tabs>
        <w:numPr>
          <w:ilvl w:val="0"/>
          <w:numId w:val="39"/>
        </w:numPr>
        <w:rPr>
          <w:rFonts w:ascii="Arial" w:cs="Arial" w:eastAsia="Arial" w:hAnsi="Arial"/>
          <w:sz w:val="19"/>
          <w:szCs w:val="19"/>
          <w:color w:val="auto"/>
        </w:rPr>
      </w:pPr>
      <w:r>
        <w:rPr>
          <w:rFonts w:ascii="Times New Roman" w:cs="Times New Roman" w:eastAsia="Times New Roman" w:hAnsi="Times New Roman"/>
          <w:sz w:val="19"/>
          <w:szCs w:val="19"/>
          <w:color w:val="auto"/>
        </w:rPr>
        <w:t>disruptions to the operations of our third-party manufacturers or suppliers caused by conditions unrelated to our business or operations, including geopolitical tensions or restrictions, such as export controls or sanctions, or the bankruptcy of the manufacturer or supplier;</w:t>
      </w:r>
    </w:p>
    <w:p>
      <w:pPr>
        <w:spacing w:after="0" w:line="78"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39"/>
        </w:numPr>
        <w:rPr>
          <w:rFonts w:ascii="Arial" w:cs="Arial" w:eastAsia="Arial" w:hAnsi="Arial"/>
          <w:sz w:val="19"/>
          <w:szCs w:val="19"/>
          <w:color w:val="auto"/>
        </w:rPr>
      </w:pPr>
      <w:r>
        <w:rPr>
          <w:rFonts w:ascii="Times New Roman" w:cs="Times New Roman" w:eastAsia="Times New Roman" w:hAnsi="Times New Roman"/>
          <w:sz w:val="19"/>
          <w:szCs w:val="19"/>
          <w:color w:val="auto"/>
        </w:rPr>
        <w:t>the inability to import or obtain components or materials from alternate sources at acceptable prices or with acceptable quality in a timely manner; and</w:t>
      </w:r>
    </w:p>
    <w:p>
      <w:pPr>
        <w:spacing w:after="0" w:line="61"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39"/>
        </w:numPr>
        <w:rPr>
          <w:rFonts w:ascii="Arial" w:cs="Arial" w:eastAsia="Arial" w:hAnsi="Arial"/>
          <w:sz w:val="19"/>
          <w:szCs w:val="19"/>
          <w:color w:val="auto"/>
        </w:rPr>
      </w:pPr>
      <w:r>
        <w:rPr>
          <w:rFonts w:ascii="Times New Roman" w:cs="Times New Roman" w:eastAsia="Times New Roman" w:hAnsi="Times New Roman"/>
          <w:sz w:val="19"/>
          <w:szCs w:val="19"/>
          <w:color w:val="auto"/>
        </w:rPr>
        <w:t>substantial delays or difficulties related to the establishment of replacement manufacturers who meet regulatory requirements.</w:t>
      </w:r>
    </w:p>
    <w:p>
      <w:pPr>
        <w:spacing w:after="0" w:line="16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Any of these events could lead to clinical trial delays or failure to obtain regulatory approval or impact our ability to successfully commercialize future products. Some of these events could be the basis for FDA action, including injunction, recall, seizure, import alert, or total or partial suspension of production.</w:t>
      </w:r>
    </w:p>
    <w:p>
      <w:pPr>
        <w:spacing w:after="0" w:line="17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color w:val="auto"/>
        </w:rPr>
        <w:t>Additionally, if supply from one approved manufacturer is interrupted, such as could be the case with our current CDMO, WuXi Biologics, there could be a significant disruption in supply. While we believe there are alternate manufacturers who can provide the manufacturing processes required to develop and manufacture our product candidates, if we have to switch to a replacement manufacturer, the manufacture and delivery of our product candidates could be interrupted for an extended period, which could adversely affect our business. Furthermore, an alternative manufacturer must be able to demonstrate successful technology transfer of the manufacturing process and associated assays, and, to do so, may need to modify the manufacturing process required to develop our product candidates, and the alternative manufacturer would need to be qualified through additional regulatory filings, all of which could result in further delay and significant costs. The regulatory agencies may also require additional studies or trials if a new manufacturer is relied upon for clinical or commercial production. Switching manufacturers may involve substantial costs and is likely to result in a delay in our desired clinical and commercial timelines.</w:t>
      </w:r>
    </w:p>
    <w:p>
      <w:pPr>
        <w:spacing w:after="0" w:line="1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These factors could cause the delay of clinical trials, regulatory submissions, required approvals or commercialization of our product candidates, cause us to incur higher costs and prevent us from commercializing our products successfully. Furthermore, if our suppliers fail to meet contractual requirements, and we are unable to secure one or more replacement suppliers capable of production</w:t>
      </w:r>
    </w:p>
    <w:p>
      <w:pPr>
        <w:sectPr>
          <w:pgSz w:w="12240" w:h="15840" w:orient="portrait"/>
          <w:cols w:equalWidth="0" w:num="1">
            <w:col w:w="10200"/>
          </w:cols>
          <w:pgMar w:left="1020" w:top="1317" w:right="102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50</w:t>
      </w:r>
    </w:p>
    <w:p>
      <w:pPr>
        <w:sectPr>
          <w:pgSz w:w="12240" w:h="15840" w:orient="portrait"/>
          <w:cols w:equalWidth="0" w:num="1">
            <w:col w:w="10200"/>
          </w:cols>
          <w:pgMar w:left="1020" w:top="1317" w:right="1020" w:bottom="574" w:gutter="0" w:footer="0" w:header="0"/>
          <w:type w:val="continuous"/>
        </w:sectPr>
      </w:pPr>
    </w:p>
    <w:bookmarkStart w:id="53" w:name="page54"/>
    <w:bookmarkEnd w:id="53"/>
    <w:p>
      <w:pPr>
        <w:jc w:val="both"/>
        <w:spacing w:after="0" w:line="275" w:lineRule="auto"/>
        <w:rPr>
          <w:sz w:val="20"/>
          <w:szCs w:val="20"/>
          <w:color w:val="auto"/>
        </w:rPr>
      </w:pPr>
      <w:r>
        <w:rPr>
          <w:rFonts w:ascii="Times New Roman" w:cs="Times New Roman" w:eastAsia="Times New Roman" w:hAnsi="Times New Roman"/>
          <w:sz w:val="19"/>
          <w:szCs w:val="19"/>
          <w:color w:val="auto"/>
        </w:rPr>
        <w:t>at a substantially equivalent cost, our clinical trials may be delayed, or we could lose potential revenue or market share with respect to any product that has received marketing approval.</w:t>
      </w:r>
    </w:p>
    <w:p>
      <w:pPr>
        <w:spacing w:after="0" w:line="145"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9"/>
          <w:szCs w:val="19"/>
          <w:b w:val="1"/>
          <w:bCs w:val="1"/>
          <w:i w:val="1"/>
          <w:iCs w:val="1"/>
          <w:color w:val="auto"/>
        </w:rPr>
        <w:t>Certain of our research and development and manufacturing activities take place in China through WuXi Biologics. A significant disruption in our ability to rely on WuXi Biologics could materially adversely affect our business, financial condition and results of operations.</w:t>
      </w:r>
    </w:p>
    <w:p>
      <w:pPr>
        <w:spacing w:after="0" w:line="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We have relied on WuXi Biologics in China to manufacture and supply certain raw materials used in our product candidates, and we expect to continue to use WuXi Biologics as our CDMO for such purposes. A natural disaster, epidemic or pandemic, such as the COVID</w:t>
      </w:r>
      <w:r>
        <w:rPr>
          <w:rFonts w:ascii="Arial" w:cs="Arial" w:eastAsia="Arial" w:hAnsi="Arial"/>
          <w:sz w:val="19"/>
          <w:szCs w:val="19"/>
          <w:color w:val="auto"/>
        </w:rPr>
        <w:t>̻</w:t>
      </w:r>
      <w:r>
        <w:rPr>
          <w:rFonts w:ascii="Times New Roman" w:cs="Times New Roman" w:eastAsia="Times New Roman" w:hAnsi="Times New Roman"/>
          <w:sz w:val="19"/>
          <w:szCs w:val="19"/>
          <w:color w:val="auto"/>
        </w:rPr>
        <w:t>19 pandemic, trade war, political unrest, economic conditions, changes in legislation, including the passage of the People’s Republic of China Biosecurity law, which became effective on April 15, 2021, and subsequent legislation that China or the U.S. may adopt in the future, or other events in China could disrupt our ability to continue to rely upon CROs, CDMOs, collaborators, manufacturers or other third parties with whom we conduct business now or in the future. For example, in December 2025, the BIOSECURE Act was signed into law as part of the Fiscal Year 2026 National Defense Authorization Act. Under the BIOSECURE Act, U.S. government agencies cannot (i) buy or obtain biotechnology equipment or services provided by biotechnology companies of concern, or BCCs; (ii) enter into, extend, or renew a contract with any entity using biotechnology equipment or services provided by a BCC to perform a government contract; or (iii) expend loan or grant funds for biotechnology equipment or services provided by a BCC, whether directly or through a loan or grant recipient. The BIOSECURE Act does not name specific companies as BCCs but treats any company on the Department of Defense 1260H list of “Chinese military companies” as a BCC. On December 18, 2025, the chairs of multiple Senate and House committees, including the House Select Committee on China, sent a letter to the Department of Defense recommending that WuXi AppTec, WuXi Biologics, and WuXi XDC be added to the 1260H list, which would make all of those entities BCCs. The 1260H list was updated by the Department of Defense in January 2024 and January 2025, and we expect it will be updated again in early 2026.</w:t>
      </w:r>
    </w:p>
    <w:p>
      <w:pPr>
        <w:spacing w:after="0" w:line="184"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9"/>
          <w:szCs w:val="19"/>
          <w:color w:val="auto"/>
        </w:rPr>
        <w:t>Any disruption in China or the U.S</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 xml:space="preserve"> that significantly impacts WuXi Biologics or other third parties with whom we conduct business now or in the future, including CROs that provide services for our research and development programs, or manufacturers that produce and export raw or manufactured materials in adequate quantities to meet our needs, could impair our ability to operate our business on a day-to-day basis and impede, delay, limit or prevent the research, development or commercialization of our current and future products or product candidates. In addition, for any activities conducted in China, we are exposed to the possibility of product supply disruption and increased costs in the event of changes in the policies of the U.S. or Chinese governments, political unrest or unstable economic or geopolitical conditions, including sanctions in China or against certain Chinese companies; changes in U.S. export laws or the imposition by the U.S</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 xml:space="preserve"> of trade barriers; sanctions; limitations on uses of U.S. government executive agency contract, grant or loan funds; or other restrictions on doing business with certain Chinese companies, including WuXi Biologics, which could have a material adverse effect on our business. Additionally, we may be exposed to fluctuations in the value of the local currency in China for goods and services. Our costs for any of these services or activities could also increase as a result of future appreciation of the local currency in China or increased labor costs if the demand for skilled laborers increases and/or the availability of skilled labor declines in China.</w:t>
      </w:r>
    </w:p>
    <w:p>
      <w:pPr>
        <w:spacing w:after="0" w:line="187" w:lineRule="exact"/>
        <w:rPr>
          <w:sz w:val="20"/>
          <w:szCs w:val="20"/>
          <w:color w:val="auto"/>
        </w:rPr>
      </w:pPr>
    </w:p>
    <w:p>
      <w:pPr>
        <w:jc w:val="both"/>
        <w:spacing w:after="0" w:line="361" w:lineRule="auto"/>
        <w:rPr>
          <w:sz w:val="20"/>
          <w:szCs w:val="20"/>
          <w:color w:val="auto"/>
        </w:rPr>
      </w:pPr>
      <w:r>
        <w:rPr>
          <w:rFonts w:ascii="Times New Roman" w:cs="Times New Roman" w:eastAsia="Times New Roman" w:hAnsi="Times New Roman"/>
          <w:sz w:val="19"/>
          <w:szCs w:val="19"/>
          <w:b w:val="1"/>
          <w:bCs w:val="1"/>
          <w:i w:val="1"/>
          <w:iCs w:val="1"/>
          <w:color w:val="auto"/>
        </w:rPr>
        <w:t>If we or any CDMOs and suppliers we engage fail to comply with environmental, health, and safety laws and regulations, we could become subject to fines or penalties or incur costs that could have a material adverse effect on the success of our business.</w:t>
      </w:r>
    </w:p>
    <w:p>
      <w:pPr>
        <w:spacing w:after="0" w:line="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color w:val="auto"/>
        </w:rPr>
        <w:t>We and any CDMOs and suppliers we engage are subject to numerous federal, state and local environmental, health, and safety laws, regulations and permitting requirements, including those governing laboratory procedures; the generation, handling, use, storage, treatment and disposal of biological or hazardous and regulated materials and wastes; the emission and discharge of hazardous materials into the ground, air and water; and employee health and safety. Our operations involve the use of hazardous and flammable materials, including chemicals and biological and radioactive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third-party facilities. We also could incur significant costs associated with civil or criminal fines and penalties.</w:t>
      </w:r>
    </w:p>
    <w:p>
      <w:pPr>
        <w:spacing w:after="0" w:line="19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9"/>
          <w:szCs w:val="19"/>
          <w:color w:val="auto"/>
        </w:rPr>
        <w:t>Compliance with applicable environmental laws and regulations may be expensive, and current or future environmental laws and regulations may impair our research and product development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w:t>
      </w:r>
    </w:p>
    <w:p>
      <w:pPr>
        <w:sectPr>
          <w:pgSz w:w="12240" w:h="15840" w:orient="portrait"/>
          <w:cols w:equalWidth="0" w:num="1">
            <w:col w:w="10200"/>
          </w:cols>
          <w:pgMar w:left="1020" w:top="1317" w:right="1020" w:bottom="574" w:gutter="0" w:footer="0" w:header="0"/>
        </w:sect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51</w:t>
      </w:r>
    </w:p>
    <w:p>
      <w:pPr>
        <w:sectPr>
          <w:pgSz w:w="12240" w:h="15840" w:orient="portrait"/>
          <w:cols w:equalWidth="0" w:num="1">
            <w:col w:w="10200"/>
          </w:cols>
          <w:pgMar w:left="1020" w:top="1317" w:right="1020" w:bottom="574" w:gutter="0" w:footer="0" w:header="0"/>
          <w:type w:val="continuous"/>
        </w:sectPr>
      </w:pPr>
    </w:p>
    <w:bookmarkStart w:id="54" w:name="page55"/>
    <w:bookmarkEnd w:id="54"/>
    <w:p>
      <w:pPr>
        <w:jc w:val="both"/>
        <w:spacing w:after="0" w:line="257" w:lineRule="auto"/>
        <w:rPr>
          <w:sz w:val="20"/>
          <w:szCs w:val="20"/>
          <w:color w:val="auto"/>
        </w:rPr>
      </w:pPr>
      <w:r>
        <w:rPr>
          <w:rFonts w:ascii="Times New Roman" w:cs="Times New Roman" w:eastAsia="Times New Roman" w:hAnsi="Times New Roman"/>
          <w:sz w:val="19"/>
          <w:szCs w:val="19"/>
          <w:color w:val="auto"/>
        </w:rPr>
        <w:t>liable for damages or be penalized with fines in an amount exceeding our resources, and our clinical trials or regulatory approvals could be suspended, which could have a material adverse effect on our business, financial condition, results of operations and prospects.</w:t>
      </w:r>
    </w:p>
    <w:p>
      <w:pPr>
        <w:spacing w:after="0" w:line="17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9"/>
          <w:szCs w:val="19"/>
          <w:color w:val="auto"/>
        </w:rPr>
        <w:t>In addition, we may incur substantial costs in order to comply with current or future environmental, health and safety laws, regulations and permitting requirements. These current or future laws, regulations and permitting requirements may impair our research, development or production efforts. Failure to comply with these laws, regulations and permitting requirements also may result in substantial fines, penalties or other sanctions or business disruption, which could have a material adverse effect on our business, financial condition, results of operations and prospects.</w:t>
      </w:r>
    </w:p>
    <w:p>
      <w:pPr>
        <w:spacing w:after="0" w:line="18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Any third-party CDMOs and suppliers we engage will also be subject to these and other environmental, health and safety laws and regulations. Liabilities they incur pursuant to these laws and regulations could result in significant costs or an interruption in operations, which could have a material adverse effect on our business, financial condition, results of operations and prospects.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Risks Related to our Dependence on Third Parties</w:t>
      </w:r>
    </w:p>
    <w:p>
      <w:pPr>
        <w:spacing w:after="0" w:line="192"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9"/>
          <w:szCs w:val="19"/>
          <w:b w:val="1"/>
          <w:bCs w:val="1"/>
          <w:i w:val="1"/>
          <w:iCs w:val="1"/>
          <w:color w:val="auto"/>
        </w:rPr>
        <w:t>We expect to rely on third parties to conduct, supervise and monitor IND-enabling studies and clinical trials, and to perform other functions for us, and if these third parties perform in an unsatisfactory manner, it may harm our business, reputation and results of operations.</w:t>
      </w:r>
    </w:p>
    <w:p>
      <w:pPr>
        <w:spacing w:after="0" w:line="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color w:val="auto"/>
        </w:rPr>
        <w:t>We expect to rely on third parties, including but not limited to, CROs and research and clinical trial sites to ensure our IND-enabling studies and clinical trials are conducted properly and on time, and we expect to rely in the future on third-party vendors for additional research programs as well as other functions. While we will have agreements governing their activities, we will have limited influence over their actual performance. We will control only certain aspects of our third-party vendors’ activities. Nevertheless, we will be responsible for ensuring that each of these studies is conducted in accordance with the applicable protocol, legal, regulatory and scientific standards, and our reliance on the third-party vendors does not relieve us of our regulatory responsibilities.</w:t>
      </w:r>
    </w:p>
    <w:p>
      <w:pPr>
        <w:spacing w:after="0" w:line="18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9"/>
          <w:szCs w:val="19"/>
          <w:color w:val="auto"/>
        </w:rPr>
        <w:t>We and our CROs will be required to comply with the FDA’s Good Clinical Practices, or GCPs, for conducting, recording and reporting the results of IND-enabling studies and clinical trials to assure that the data and reported results are credible and accurate and that the rights, integrity and confidentiality of clinical trial participants are protected. The FDA enforces these GCPs through periodic inspections of study sponsors, principal investigators and clinical trial sites. If we or our CROs fail to comply with applicable GCPs, the preclinical and clinical data generated in our studies may be deemed unreliable and the FDA may require us to perform additional studies before approving any marketing applications. Upon inspection, the FDA may determine that our studies did not comply with GCPs.</w:t>
      </w:r>
    </w:p>
    <w:p>
      <w:pPr>
        <w:spacing w:after="0" w:line="19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Our CROs and other third-party vendors are not our employees, and we are therefore unable to directly monitor whether or not they devote sufficient time and resources to our clinical and nonclinical programs or other functions. These third-party vendors may also have relationships with other commercial entities, including our competitors, for whom they may also be conducting clinical trials or other drug development activities that could harm our competitive position. If our third-party vendors do not successfully carry out their contractual duties or obligations, fail to meet expected deadlines, or if the quality or accuracy of the data they obtain is compromised due to the failure to adhere to our protocols or regulatory requirements, or for any other reasons, our studies may be extended, delayed or terminated, and we may not be able to obtain regulatory approval for, or successfully commercialize any product candidates we may develop. As a result, our financial results and commercial prospects would be harmed, our costs could increase, and our ability to generate revenues could be delayed.</w:t>
      </w:r>
    </w:p>
    <w:p>
      <w:pPr>
        <w:spacing w:after="0" w:line="175"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9"/>
          <w:szCs w:val="19"/>
          <w:b w:val="1"/>
          <w:bCs w:val="1"/>
          <w:i w:val="1"/>
          <w:iCs w:val="1"/>
          <w:color w:val="auto"/>
        </w:rPr>
        <w:t>We have entered into, and may in the future seek to enter into, licenses, collaborations or similar arrangements with third parties for the research, development and commercialization of certain of our current or future product candidates. If any such arrangements are not successful, we may not be able to capitalize on the market potential of those product candidates.</w:t>
      </w:r>
    </w:p>
    <w:p>
      <w:pPr>
        <w:spacing w:after="0" w:line="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color w:val="auto"/>
        </w:rPr>
        <w:t>In March 2024, our wholly-owned subsidiary, Xilio Development, Inc., or Xilio Development, entered into a license agreement with Gilead, pursuant to which Gilead was granted an exclusive global license to develop and commercialize efarindodekin alfa, our masked IL-12, and other specified molecules directed toward IL-12. In February 2025, Xilio Development entered into a collaboration, license and option agreement with AbbVie, pursuant to which AbbVie was granted (i) an exclusive option for (a) an initial program to discover, develop and commercialize masked T cell engager molecules for an agreed upon initial target and backup target and (b) subject to the terms of the agreement, up to two additional programs to discover, develop, and commercialize masked T cell engager molecules for an initial target and backup target determined at the time of program initiation and (ii) an exclusive license to develop and commercialize a masked antibody-based immunotherapy. We may in the future seek third-party collaborators or licensors for the research, development and commercialization of other current or future product candidates. With respect to our agreements with Gilead and AbbVie, and what we expect will be the case with any future collaboration agreements we enter into, we</w:t>
      </w:r>
    </w:p>
    <w:p>
      <w:pPr>
        <w:sectPr>
          <w:pgSz w:w="12240" w:h="15840" w:orient="portrait"/>
          <w:cols w:equalWidth="0" w:num="1">
            <w:col w:w="10200"/>
          </w:cols>
          <w:pgMar w:left="1020" w:top="1317" w:right="1020" w:bottom="574" w:gutter="0" w:footer="0" w:header="0"/>
        </w:sect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52</w:t>
      </w:r>
    </w:p>
    <w:p>
      <w:pPr>
        <w:sectPr>
          <w:pgSz w:w="12240" w:h="15840" w:orient="portrait"/>
          <w:cols w:equalWidth="0" w:num="1">
            <w:col w:w="10200"/>
          </w:cols>
          <w:pgMar w:left="1020" w:top="1317" w:right="1020" w:bottom="574" w:gutter="0" w:footer="0" w:header="0"/>
          <w:type w:val="continuous"/>
        </w:sectPr>
      </w:pPr>
    </w:p>
    <w:bookmarkStart w:id="55" w:name="page56"/>
    <w:bookmarkEnd w:id="55"/>
    <w:p>
      <w:pPr>
        <w:jc w:val="both"/>
        <w:spacing w:after="0" w:line="241" w:lineRule="auto"/>
        <w:rPr>
          <w:sz w:val="20"/>
          <w:szCs w:val="20"/>
          <w:color w:val="auto"/>
        </w:rPr>
      </w:pPr>
      <w:r>
        <w:rPr>
          <w:rFonts w:ascii="Times New Roman" w:cs="Times New Roman" w:eastAsia="Times New Roman" w:hAnsi="Times New Roman"/>
          <w:sz w:val="19"/>
          <w:szCs w:val="19"/>
          <w:color w:val="auto"/>
        </w:rPr>
        <w:t>have and would likely have limited control over whether such collaborators pursue the development of our product candidates or the amount and timing of resources that our collaborators dedicate to the development or commercialization of our product candidates that we seek to develop with them. For example, under the license agreement with Gilead, if Gilead exercises its right to transition responsibilities for the development and commercialization of efarindodekin alfa and the rest of our IL-12 program, it will have sole decision-making authority with respect to the continued development and future commercialization of our IL-12 program and may elect to prioritize other assets that it believes are more competitive, or it may exercise its right to terminate the license and return the licensed IL-12 program assets to us. Similarly, subject to limited exceptions, AbbVie has sole decision-making authority with respect to the development and commercialization of the masked antibody-based immunotherapy program. With respect to any T cell engager program for which AbbVie exercises its option, AbbVie will have sole decision-making authority with respect to the continued development and future commercialization of such option program and may elect to prioritize other assets that it believes are more competitive, or it may exercise its right to terminate the license and return the licensed T cell engager program assets to us. As a result, there can be no assurances that any of the programs covered by our existing or future collaborations or licenses will be developed further or reach commercialization. Further, our ability to generate revenues from these existing and future arrangements will depend on our collaborators’ abilities to successfully perform the functions assigned to them in these arrangements. We cannot predict the success of any collaboration that we enter into.</w:t>
      </w:r>
    </w:p>
    <w:p>
      <w:pPr>
        <w:spacing w:after="0" w:line="19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9"/>
          <w:szCs w:val="19"/>
          <w:color w:val="auto"/>
        </w:rPr>
        <w:t>Collaborations, licenses or similar arrangements involving our research programs or any product candidates currently pose, and will continue to pose, numerous risks to us, including the following:</w:t>
      </w:r>
    </w:p>
    <w:p>
      <w:pPr>
        <w:spacing w:after="0" w:line="61" w:lineRule="exact"/>
        <w:rPr>
          <w:sz w:val="20"/>
          <w:szCs w:val="20"/>
          <w:color w:val="auto"/>
        </w:rPr>
      </w:pPr>
    </w:p>
    <w:p>
      <w:pPr>
        <w:ind w:left="920" w:hanging="458"/>
        <w:spacing w:after="0" w:line="274" w:lineRule="auto"/>
        <w:tabs>
          <w:tab w:leader="none" w:pos="920" w:val="left"/>
        </w:tabs>
        <w:numPr>
          <w:ilvl w:val="0"/>
          <w:numId w:val="40"/>
        </w:numPr>
        <w:rPr>
          <w:rFonts w:ascii="Arial" w:cs="Arial" w:eastAsia="Arial" w:hAnsi="Arial"/>
          <w:sz w:val="19"/>
          <w:szCs w:val="19"/>
          <w:color w:val="auto"/>
        </w:rPr>
      </w:pPr>
      <w:r>
        <w:rPr>
          <w:rFonts w:ascii="Times New Roman" w:cs="Times New Roman" w:eastAsia="Times New Roman" w:hAnsi="Times New Roman"/>
          <w:sz w:val="19"/>
          <w:szCs w:val="19"/>
          <w:color w:val="auto"/>
        </w:rPr>
        <w:t>collaborators or licensors have significant discretion in determining the efforts and resources that they will apply to these arrangements;</w:t>
      </w:r>
    </w:p>
    <w:p>
      <w:pPr>
        <w:spacing w:after="0" w:line="61" w:lineRule="exact"/>
        <w:rPr>
          <w:rFonts w:ascii="Arial" w:cs="Arial" w:eastAsia="Arial" w:hAnsi="Arial"/>
          <w:sz w:val="19"/>
          <w:szCs w:val="19"/>
          <w:color w:val="auto"/>
        </w:rPr>
      </w:pPr>
    </w:p>
    <w:p>
      <w:pPr>
        <w:jc w:val="both"/>
        <w:ind w:left="920" w:hanging="458"/>
        <w:spacing w:after="0" w:line="250" w:lineRule="auto"/>
        <w:tabs>
          <w:tab w:leader="none" w:pos="920" w:val="left"/>
        </w:tabs>
        <w:numPr>
          <w:ilvl w:val="0"/>
          <w:numId w:val="40"/>
        </w:numPr>
        <w:rPr>
          <w:rFonts w:ascii="Arial" w:cs="Arial" w:eastAsia="Arial" w:hAnsi="Arial"/>
          <w:sz w:val="19"/>
          <w:szCs w:val="19"/>
          <w:color w:val="auto"/>
        </w:rPr>
      </w:pPr>
      <w:r>
        <w:rPr>
          <w:rFonts w:ascii="Times New Roman" w:cs="Times New Roman" w:eastAsia="Times New Roman" w:hAnsi="Times New Roman"/>
          <w:sz w:val="19"/>
          <w:szCs w:val="19"/>
          <w:color w:val="auto"/>
        </w:rPr>
        <w:t>collaborators or licensors may not pursue development and commercialization of our product candidates or may elect not to continue or renew development or commercialization programs based on clinical trial results, changes in such third party’s strategic focus or available funding or external factors such as an acquisition that diverts resources or creates competing priorities;</w:t>
      </w:r>
    </w:p>
    <w:p>
      <w:pPr>
        <w:spacing w:after="0" w:line="84" w:lineRule="exact"/>
        <w:rPr>
          <w:rFonts w:ascii="Arial" w:cs="Arial" w:eastAsia="Arial" w:hAnsi="Arial"/>
          <w:sz w:val="19"/>
          <w:szCs w:val="19"/>
          <w:color w:val="auto"/>
        </w:rPr>
      </w:pPr>
    </w:p>
    <w:p>
      <w:pPr>
        <w:jc w:val="both"/>
        <w:ind w:left="920" w:hanging="458"/>
        <w:spacing w:after="0" w:line="256" w:lineRule="auto"/>
        <w:tabs>
          <w:tab w:leader="none" w:pos="920" w:val="left"/>
        </w:tabs>
        <w:numPr>
          <w:ilvl w:val="0"/>
          <w:numId w:val="40"/>
        </w:numPr>
        <w:rPr>
          <w:rFonts w:ascii="Arial" w:cs="Arial" w:eastAsia="Arial" w:hAnsi="Arial"/>
          <w:sz w:val="19"/>
          <w:szCs w:val="19"/>
          <w:color w:val="auto"/>
        </w:rPr>
      </w:pPr>
      <w:r>
        <w:rPr>
          <w:rFonts w:ascii="Times New Roman" w:cs="Times New Roman" w:eastAsia="Times New Roman" w:hAnsi="Times New Roman"/>
          <w:sz w:val="19"/>
          <w:szCs w:val="19"/>
          <w:color w:val="auto"/>
        </w:rPr>
        <w:t>collaborators or licensors may delay programs, preclinical studies or clinical trials, provide insufficient funding for programs, preclinical studies or clinical trials, stop a preclinical study or clinical trial or abandon a product candidate, repeat or conduct new clinical trials or require a new formulation of a product candidate for clinical testing;</w:t>
      </w:r>
    </w:p>
    <w:p>
      <w:pPr>
        <w:spacing w:after="0" w:line="78" w:lineRule="exact"/>
        <w:rPr>
          <w:rFonts w:ascii="Arial" w:cs="Arial" w:eastAsia="Arial" w:hAnsi="Arial"/>
          <w:sz w:val="19"/>
          <w:szCs w:val="19"/>
          <w:color w:val="auto"/>
        </w:rPr>
      </w:pPr>
    </w:p>
    <w:p>
      <w:pPr>
        <w:jc w:val="both"/>
        <w:ind w:left="920" w:hanging="458"/>
        <w:spacing w:after="0" w:line="256" w:lineRule="auto"/>
        <w:tabs>
          <w:tab w:leader="none" w:pos="920" w:val="left"/>
        </w:tabs>
        <w:numPr>
          <w:ilvl w:val="0"/>
          <w:numId w:val="40"/>
        </w:numPr>
        <w:rPr>
          <w:rFonts w:ascii="Arial" w:cs="Arial" w:eastAsia="Arial" w:hAnsi="Arial"/>
          <w:sz w:val="19"/>
          <w:szCs w:val="19"/>
          <w:color w:val="auto"/>
        </w:rPr>
      </w:pPr>
      <w:r>
        <w:rPr>
          <w:rFonts w:ascii="Times New Roman" w:cs="Times New Roman" w:eastAsia="Times New Roman" w:hAnsi="Times New Roman"/>
          <w:sz w:val="19"/>
          <w:szCs w:val="19"/>
          <w:color w:val="auto"/>
        </w:rPr>
        <w:t>collaborators or licensors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78" w:lineRule="exact"/>
        <w:rPr>
          <w:rFonts w:ascii="Arial" w:cs="Arial" w:eastAsia="Arial" w:hAnsi="Arial"/>
          <w:sz w:val="19"/>
          <w:szCs w:val="19"/>
          <w:color w:val="auto"/>
        </w:rPr>
      </w:pPr>
    </w:p>
    <w:p>
      <w:pPr>
        <w:ind w:left="920" w:hanging="458"/>
        <w:spacing w:after="0"/>
        <w:tabs>
          <w:tab w:leader="none" w:pos="920" w:val="left"/>
        </w:tabs>
        <w:numPr>
          <w:ilvl w:val="0"/>
          <w:numId w:val="40"/>
        </w:numPr>
        <w:rPr>
          <w:rFonts w:ascii="Arial" w:cs="Arial" w:eastAsia="Arial" w:hAnsi="Arial"/>
          <w:sz w:val="19"/>
          <w:szCs w:val="19"/>
          <w:color w:val="auto"/>
        </w:rPr>
      </w:pPr>
      <w:r>
        <w:rPr>
          <w:rFonts w:ascii="Times New Roman" w:cs="Times New Roman" w:eastAsia="Times New Roman" w:hAnsi="Times New Roman"/>
          <w:sz w:val="19"/>
          <w:szCs w:val="19"/>
          <w:color w:val="auto"/>
        </w:rPr>
        <w:t>collaborators or licenses may be acquired by a third party having competitive products or different priorities;</w:t>
      </w:r>
    </w:p>
    <w:p>
      <w:pPr>
        <w:spacing w:after="0" w:line="124"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40"/>
        </w:numPr>
        <w:rPr>
          <w:rFonts w:ascii="Arial" w:cs="Arial" w:eastAsia="Arial" w:hAnsi="Arial"/>
          <w:sz w:val="19"/>
          <w:szCs w:val="19"/>
          <w:color w:val="auto"/>
        </w:rPr>
      </w:pPr>
      <w:r>
        <w:rPr>
          <w:rFonts w:ascii="Times New Roman" w:cs="Times New Roman" w:eastAsia="Times New Roman" w:hAnsi="Times New Roman"/>
          <w:sz w:val="19"/>
          <w:szCs w:val="19"/>
          <w:color w:val="auto"/>
        </w:rPr>
        <w:t>collaborators or licensors with marketing and distribution rights to one or more product candidates may not commit sufficient resources to the marketing and distribution of such product candidate(s);</w:t>
      </w:r>
    </w:p>
    <w:p>
      <w:pPr>
        <w:spacing w:after="0" w:line="61" w:lineRule="exact"/>
        <w:rPr>
          <w:rFonts w:ascii="Arial" w:cs="Arial" w:eastAsia="Arial" w:hAnsi="Arial"/>
          <w:sz w:val="19"/>
          <w:szCs w:val="19"/>
          <w:color w:val="auto"/>
        </w:rPr>
      </w:pPr>
    </w:p>
    <w:p>
      <w:pPr>
        <w:jc w:val="both"/>
        <w:ind w:left="920" w:hanging="458"/>
        <w:spacing w:after="0" w:line="256" w:lineRule="auto"/>
        <w:tabs>
          <w:tab w:leader="none" w:pos="920" w:val="left"/>
        </w:tabs>
        <w:numPr>
          <w:ilvl w:val="0"/>
          <w:numId w:val="40"/>
        </w:numPr>
        <w:rPr>
          <w:rFonts w:ascii="Arial" w:cs="Arial" w:eastAsia="Arial" w:hAnsi="Arial"/>
          <w:sz w:val="19"/>
          <w:szCs w:val="19"/>
          <w:color w:val="auto"/>
        </w:rPr>
      </w:pPr>
      <w:r>
        <w:rPr>
          <w:rFonts w:ascii="Times New Roman" w:cs="Times New Roman" w:eastAsia="Times New Roman" w:hAnsi="Times New Roman"/>
          <w:sz w:val="19"/>
          <w:szCs w:val="19"/>
          <w:color w:val="auto"/>
        </w:rPr>
        <w:t>collaborators or licensors may not properly obtain, maintain, enforce or defend our intellectual property or proprietary rights or may use our proprietary information in such a way as to invite litigation that could jeopardize or invalidate our proprietary information or expose us to potential litigation;</w:t>
      </w:r>
    </w:p>
    <w:p>
      <w:pPr>
        <w:spacing w:after="0" w:line="78" w:lineRule="exact"/>
        <w:rPr>
          <w:rFonts w:ascii="Arial" w:cs="Arial" w:eastAsia="Arial" w:hAnsi="Arial"/>
          <w:sz w:val="19"/>
          <w:szCs w:val="19"/>
          <w:color w:val="auto"/>
        </w:rPr>
      </w:pPr>
    </w:p>
    <w:p>
      <w:pPr>
        <w:jc w:val="both"/>
        <w:ind w:left="920" w:hanging="458"/>
        <w:spacing w:after="0" w:line="250" w:lineRule="auto"/>
        <w:tabs>
          <w:tab w:leader="none" w:pos="920" w:val="left"/>
        </w:tabs>
        <w:numPr>
          <w:ilvl w:val="0"/>
          <w:numId w:val="40"/>
        </w:numPr>
        <w:rPr>
          <w:rFonts w:ascii="Arial" w:cs="Arial" w:eastAsia="Arial" w:hAnsi="Arial"/>
          <w:sz w:val="19"/>
          <w:szCs w:val="19"/>
          <w:color w:val="auto"/>
        </w:rPr>
      </w:pPr>
      <w:r>
        <w:rPr>
          <w:rFonts w:ascii="Times New Roman" w:cs="Times New Roman" w:eastAsia="Times New Roman" w:hAnsi="Times New Roman"/>
          <w:sz w:val="19"/>
          <w:szCs w:val="19"/>
          <w:color w:val="auto"/>
        </w:rPr>
        <w:t>disputes may arise between the collaborators or licensors and us that result in the delay or termination of the research, development, or commercialization of our product candidates or any of our product candidates or that result in costly litigation or arbitration that diverts management attention and resources or that jeopardize or invalidate our intellectual property or proprietary information;</w:t>
      </w:r>
    </w:p>
    <w:p>
      <w:pPr>
        <w:spacing w:after="0" w:line="84" w:lineRule="exact"/>
        <w:rPr>
          <w:rFonts w:ascii="Arial" w:cs="Arial" w:eastAsia="Arial" w:hAnsi="Arial"/>
          <w:sz w:val="19"/>
          <w:szCs w:val="19"/>
          <w:color w:val="auto"/>
        </w:rPr>
      </w:pPr>
    </w:p>
    <w:p>
      <w:pPr>
        <w:ind w:left="920" w:hanging="458"/>
        <w:spacing w:after="0"/>
        <w:tabs>
          <w:tab w:leader="none" w:pos="920" w:val="left"/>
        </w:tabs>
        <w:numPr>
          <w:ilvl w:val="0"/>
          <w:numId w:val="40"/>
        </w:numPr>
        <w:rPr>
          <w:rFonts w:ascii="Arial" w:cs="Arial" w:eastAsia="Arial" w:hAnsi="Arial"/>
          <w:sz w:val="19"/>
          <w:szCs w:val="19"/>
          <w:color w:val="auto"/>
        </w:rPr>
      </w:pPr>
      <w:r>
        <w:rPr>
          <w:rFonts w:ascii="Times New Roman" w:cs="Times New Roman" w:eastAsia="Times New Roman" w:hAnsi="Times New Roman"/>
          <w:sz w:val="19"/>
          <w:szCs w:val="19"/>
          <w:color w:val="auto"/>
        </w:rPr>
        <w:t>we may lose certain valuable rights under certain circumstances, including if we undergo a change of control;</w:t>
      </w:r>
    </w:p>
    <w:p>
      <w:pPr>
        <w:spacing w:after="0" w:line="124"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40"/>
        </w:numPr>
        <w:rPr>
          <w:rFonts w:ascii="Arial" w:cs="Arial" w:eastAsia="Arial" w:hAnsi="Arial"/>
          <w:sz w:val="19"/>
          <w:szCs w:val="19"/>
          <w:color w:val="auto"/>
        </w:rPr>
      </w:pPr>
      <w:r>
        <w:rPr>
          <w:rFonts w:ascii="Times New Roman" w:cs="Times New Roman" w:eastAsia="Times New Roman" w:hAnsi="Times New Roman"/>
          <w:sz w:val="19"/>
          <w:szCs w:val="19"/>
          <w:color w:val="auto"/>
        </w:rPr>
        <w:t>collaborations or licenses may be terminated and, if terminated, may result in a need for additional capital to pursue further development or commercialization of the applicable product candidates; and</w:t>
      </w:r>
    </w:p>
    <w:p>
      <w:pPr>
        <w:spacing w:after="0" w:line="61" w:lineRule="exact"/>
        <w:rPr>
          <w:rFonts w:ascii="Arial" w:cs="Arial" w:eastAsia="Arial" w:hAnsi="Arial"/>
          <w:sz w:val="19"/>
          <w:szCs w:val="19"/>
          <w:color w:val="auto"/>
        </w:rPr>
      </w:pPr>
    </w:p>
    <w:p>
      <w:pPr>
        <w:jc w:val="both"/>
        <w:ind w:left="920" w:hanging="458"/>
        <w:spacing w:after="0" w:line="250" w:lineRule="auto"/>
        <w:tabs>
          <w:tab w:leader="none" w:pos="920" w:val="left"/>
        </w:tabs>
        <w:numPr>
          <w:ilvl w:val="0"/>
          <w:numId w:val="40"/>
        </w:numPr>
        <w:rPr>
          <w:rFonts w:ascii="Arial" w:cs="Arial" w:eastAsia="Arial" w:hAnsi="Arial"/>
          <w:sz w:val="19"/>
          <w:szCs w:val="19"/>
          <w:color w:val="auto"/>
        </w:rPr>
      </w:pPr>
      <w:r>
        <w:rPr>
          <w:rFonts w:ascii="Times New Roman" w:cs="Times New Roman" w:eastAsia="Times New Roman" w:hAnsi="Times New Roman"/>
          <w:sz w:val="19"/>
          <w:szCs w:val="19"/>
          <w:color w:val="auto"/>
        </w:rPr>
        <w:t>collaborations or license agreements may not lead to development or commercialization of product candidates in the most efficient manner or at all. If a present or future collaborator or licensor of ours were to be involved in a business combination, the continued pursuit and emphasis on our product development or commercialization program under such collaboration could be delayed, diminished or terminated.</w:t>
      </w:r>
    </w:p>
    <w:p>
      <w:pPr>
        <w:spacing w:after="0" w:line="18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9"/>
          <w:szCs w:val="19"/>
          <w:color w:val="auto"/>
        </w:rPr>
        <w:t>If our current or future collaborations, licenses or similar transactions do not result in the successful development and commercialization of product candidates, including if one of our current or future collaborators or licensors terminates its agreement with us, we may not receive any future payments for which we might otherwise be eligible under such agreement or we may incur significant costs in re-establishing the development and manufacturing of such product candidates. If we do not receive the funding we expect under these agreements, our development of product candidates could be delayed, and we may need additional resources to</w:t>
      </w:r>
    </w:p>
    <w:p>
      <w:pPr>
        <w:sectPr>
          <w:pgSz w:w="12240" w:h="15840" w:orient="portrait"/>
          <w:cols w:equalWidth="0" w:num="1">
            <w:col w:w="10200"/>
          </w:cols>
          <w:pgMar w:left="1020" w:top="1317" w:right="1020" w:bottom="574" w:gutter="0" w:footer="0" w:header="0"/>
        </w:sectPr>
      </w:pP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53</w:t>
      </w:r>
    </w:p>
    <w:p>
      <w:pPr>
        <w:sectPr>
          <w:pgSz w:w="12240" w:h="15840" w:orient="portrait"/>
          <w:cols w:equalWidth="0" w:num="1">
            <w:col w:w="10200"/>
          </w:cols>
          <w:pgMar w:left="1020" w:top="1317" w:right="1020" w:bottom="574" w:gutter="0" w:footer="0" w:header="0"/>
          <w:type w:val="continuous"/>
        </w:sectPr>
      </w:pPr>
    </w:p>
    <w:bookmarkStart w:id="56" w:name="page57"/>
    <w:bookmarkEnd w:id="56"/>
    <w:p>
      <w:pPr>
        <w:jc w:val="both"/>
        <w:spacing w:after="0" w:line="247" w:lineRule="auto"/>
        <w:rPr>
          <w:sz w:val="20"/>
          <w:szCs w:val="20"/>
          <w:color w:val="auto"/>
        </w:rPr>
      </w:pPr>
      <w:r>
        <w:rPr>
          <w:rFonts w:ascii="Times New Roman" w:cs="Times New Roman" w:eastAsia="Times New Roman" w:hAnsi="Times New Roman"/>
          <w:sz w:val="19"/>
          <w:szCs w:val="19"/>
          <w:color w:val="auto"/>
        </w:rPr>
        <w:t>develop such product candidates. In addition, if one of our collaborators terminates its agreement with us, we may find it more difficult to find a suitable replacement collaborator or licensor or for us to attract new collaborators or licensors, and our development programs may be delayed or the perception of us in the business and financial communities could be adversely affected. All of the risks relating to product development, regulatory approval and commercialization described in this Annual Report on Form 10-K apply to the activities of our collaborators or licensors.</w:t>
      </w:r>
    </w:p>
    <w:p>
      <w:pPr>
        <w:spacing w:after="0" w:line="18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These relationships, or those like them, may require us to incur non-recurring and other charges, increase our near- and long-term expenditures, issue securities that dilute our existing stockholders, or disrupt our management and business. In addition, we could face significant competition in seeking appropriate collaborators, and the negotiation process is time-consuming and complex. Our ability to reach a definitive collaboration or license agreement with future partners will depend, among other things, upon our assessment of the resources and expertise of such third-party collaborator or licensor and the terms and conditions of the proposed collaboration or license. Further, if we license rights for use in any product candidates we or our collaborators may develop, we may not be able to realize the benefit of such transactions if we are unable to successfully integrate them with our existing operations and company culture.</w:t>
      </w:r>
    </w:p>
    <w:p>
      <w:pPr>
        <w:spacing w:after="0" w:line="179" w:lineRule="exact"/>
        <w:rPr>
          <w:sz w:val="20"/>
          <w:szCs w:val="20"/>
          <w:color w:val="auto"/>
        </w:rPr>
      </w:pPr>
    </w:p>
    <w:p>
      <w:pPr>
        <w:jc w:val="both"/>
        <w:spacing w:after="0" w:line="361" w:lineRule="auto"/>
        <w:rPr>
          <w:sz w:val="20"/>
          <w:szCs w:val="20"/>
          <w:color w:val="auto"/>
        </w:rPr>
      </w:pPr>
      <w:r>
        <w:rPr>
          <w:rFonts w:ascii="Times New Roman" w:cs="Times New Roman" w:eastAsia="Times New Roman" w:hAnsi="Times New Roman"/>
          <w:sz w:val="19"/>
          <w:szCs w:val="19"/>
          <w:b w:val="1"/>
          <w:bCs w:val="1"/>
          <w:i w:val="1"/>
          <w:iCs w:val="1"/>
          <w:color w:val="auto"/>
        </w:rPr>
        <w:t>If we are not able to establish collaborations on commercially reasonable terms, we may have to alter our development and commercialization plans.</w:t>
      </w:r>
    </w:p>
    <w:p>
      <w:pPr>
        <w:spacing w:after="0" w:line="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Our product development and research programs and the potential commercialization of any product candidates we may develop will require substantial additional cash to fund expenses. For some of the product candidates we may develop, we have decided and may in the future decide to collaborate with other pharmaceutical and biotechnology companies for the development and potential commercialization of those product candidates.</w:t>
      </w:r>
    </w:p>
    <w:p>
      <w:pPr>
        <w:spacing w:after="0" w:line="18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the EMA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w:t>
      </w:r>
    </w:p>
    <w:p>
      <w:pPr>
        <w:spacing w:after="0" w:line="19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7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We may not be able to negotiate future collaborations on a timely basis, on acceptable terms, or at all. If we are unable to do so, we may have to curtail the development of the product candidates for which we are seeking to collaborate, reduce or delay its development program or one or more of our other development programs, delay their potential commercialization, reduce the scope of any sales or marketing activities, or increase our own expenditures on the development of the applicable product candidate.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Risks Related to Commercialization</w:t>
      </w:r>
    </w:p>
    <w:p>
      <w:pPr>
        <w:spacing w:after="0" w:line="192" w:lineRule="exact"/>
        <w:rPr>
          <w:sz w:val="20"/>
          <w:szCs w:val="20"/>
          <w:color w:val="auto"/>
        </w:rPr>
      </w:pPr>
    </w:p>
    <w:p>
      <w:pPr>
        <w:jc w:val="both"/>
        <w:spacing w:after="0" w:line="361" w:lineRule="auto"/>
        <w:rPr>
          <w:sz w:val="20"/>
          <w:szCs w:val="20"/>
          <w:color w:val="auto"/>
        </w:rPr>
      </w:pPr>
      <w:r>
        <w:rPr>
          <w:rFonts w:ascii="Times New Roman" w:cs="Times New Roman" w:eastAsia="Times New Roman" w:hAnsi="Times New Roman"/>
          <w:sz w:val="19"/>
          <w:szCs w:val="19"/>
          <w:b w:val="1"/>
          <w:bCs w:val="1"/>
          <w:i w:val="1"/>
          <w:iCs w:val="1"/>
          <w:color w:val="auto"/>
        </w:rPr>
        <w:t>We have never commercialized a product candidate and we may lack the necessary expertise, personnel and resources to successfully commercialize any products that receive regulatory approval, either on our own or together with collaborators.</w:t>
      </w:r>
    </w:p>
    <w:p>
      <w:pPr>
        <w:spacing w:after="0" w:line="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color w:val="auto"/>
        </w:rPr>
        <w:t>We have never commercialized a product candidate. We currently have no sales force or marketing or distribution capabilities. To achieve commercial success of our product candidates, if any are approved, we will have to develop our own sales, marketing and supply capabilities or outsource these activities to one or more third parties. Factors that may affect our ability to commercialize our product candidates on our own include our ability to recruit and retain adequate numbers of effective sales and marketing personnel and obtain access to or persuade adequate numbers of physicians to prescribe our product candidates, as well as any unforeseen costs we may incur in connection with creating an independent sales and marketing organization. Developing a sales and marketing organization requires significant investment and substantial amount of time and attention from our management and may divert a disproportionate amount of their attention away from day-to-day activities, which could delay the launch of our product candidates. We may not be able to build an effective sales and marketing organization in the U.S., the EU or other key global markets. To the extent we need to rely upon one or more third parties, we may have little or no control over the marketing and sales efforts of those third parties and our revenue from product sales may be lower than if we had commercialized our product candidates ourselves. We will also face competition in any search for third parties to assist us with sales and marketing efforts for our product candidates. If we</w:t>
      </w:r>
    </w:p>
    <w:p>
      <w:pPr>
        <w:sectPr>
          <w:pgSz w:w="12240" w:h="15840" w:orient="portrait"/>
          <w:cols w:equalWidth="0" w:num="1">
            <w:col w:w="10200"/>
          </w:cols>
          <w:pgMar w:left="1020" w:top="1317" w:right="1020" w:bottom="574" w:gutter="0" w:footer="0" w:header="0"/>
        </w:sect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54</w:t>
      </w:r>
    </w:p>
    <w:p>
      <w:pPr>
        <w:sectPr>
          <w:pgSz w:w="12240" w:h="15840" w:orient="portrait"/>
          <w:cols w:equalWidth="0" w:num="1">
            <w:col w:w="10200"/>
          </w:cols>
          <w:pgMar w:left="1020" w:top="1317" w:right="1020" w:bottom="574" w:gutter="0" w:footer="0" w:header="0"/>
          <w:type w:val="continuous"/>
        </w:sectPr>
      </w:pPr>
    </w:p>
    <w:bookmarkStart w:id="57" w:name="page58"/>
    <w:bookmarkEnd w:id="57"/>
    <w:p>
      <w:pPr>
        <w:jc w:val="both"/>
        <w:spacing w:after="0" w:line="275" w:lineRule="auto"/>
        <w:rPr>
          <w:sz w:val="20"/>
          <w:szCs w:val="20"/>
          <w:color w:val="auto"/>
        </w:rPr>
      </w:pPr>
      <w:r>
        <w:rPr>
          <w:rFonts w:ascii="Times New Roman" w:cs="Times New Roman" w:eastAsia="Times New Roman" w:hAnsi="Times New Roman"/>
          <w:sz w:val="19"/>
          <w:szCs w:val="19"/>
          <w:color w:val="auto"/>
        </w:rPr>
        <w:t>are unable to build our own distribution and marketing capabilities or to find suitable partners for the commercialization of our product candidates, we may have difficulties generating revenue from them.</w:t>
      </w:r>
    </w:p>
    <w:p>
      <w:pPr>
        <w:spacing w:after="0" w:line="145" w:lineRule="exact"/>
        <w:rPr>
          <w:sz w:val="20"/>
          <w:szCs w:val="20"/>
          <w:color w:val="auto"/>
        </w:rPr>
      </w:pPr>
    </w:p>
    <w:p>
      <w:pPr>
        <w:jc w:val="both"/>
        <w:spacing w:after="0" w:line="361" w:lineRule="auto"/>
        <w:rPr>
          <w:sz w:val="20"/>
          <w:szCs w:val="20"/>
          <w:color w:val="auto"/>
        </w:rPr>
      </w:pPr>
      <w:r>
        <w:rPr>
          <w:rFonts w:ascii="Times New Roman" w:cs="Times New Roman" w:eastAsia="Times New Roman" w:hAnsi="Times New Roman"/>
          <w:sz w:val="19"/>
          <w:szCs w:val="19"/>
          <w:b w:val="1"/>
          <w:bCs w:val="1"/>
          <w:i w:val="1"/>
          <w:iCs w:val="1"/>
          <w:color w:val="auto"/>
        </w:rPr>
        <w:t>We face substantial competition, which may result in others discovering, developing or commercializing products before or more successfully than we do.</w:t>
      </w:r>
    </w:p>
    <w:p>
      <w:pPr>
        <w:spacing w:after="0" w:line="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The development and commercialization of new products is highly competitive. We face competition with respect to our current product candidates and will face competition with respect to any product candidates that we may seek to develop or commercialize in the future, from major pharmaceutical, specialty pharmaceutical and biotechnology companies among others. We compete in the segments of the pharmaceutical, biotechnology and other related markets that develop immunotherapies for the treatment of cancer. There are other companies working to develop immunotherapies for the treatment of cancer including divisions of pharmaceutical and biotechnology companies of various sizes. Some of these competitive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9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We are developing our most advanced clinical-stage, masked I-O product candidates for the treatment of cancer and have not completed clinical development or received marketing approval for either vilastobart or efarindodekin alfa. There are already a variety of available therapies marketed for cancer and some of the currently approved therapies are branded and subject to patent protection, and others are available on a generic basis. Many of these approved therapies are well-established and widely accepted by physicians, patients and third-party payors. Insurers and other third-party payors may also encourage the use of generic products. We expect that if our product candidates are approved, they will be priced at a significant premium over competitive generic products. This may make it difficult for us to achieve our business strategy of using our product candidates in combination with existing therapies or replacing existing therapies with our product candidates. Competition may further increase with advances in the commercial applicability of technologies and greater availability of capital for investment in these industries.</w:t>
      </w:r>
    </w:p>
    <w:p>
      <w:pPr>
        <w:spacing w:after="0" w:line="19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With respect to XTX501, currently there are no bispecific PD-1 targeted IL-2 therapies approved for the treatment of cancer. However, we are aware of several companies that have bispecific PD-1 targeted IL-2 programs in development, including but not limited to Anaveon AG, Bright Peak Therapeutics, Inc., Innovent Biologics, Inc., Medicenna Therapeutics Corp., Regeneron Pharmaceuticals, Inc., Roche, and Teva Pharmaceutical Industries, Ltd.</w:t>
      </w:r>
    </w:p>
    <w:p>
      <w:pPr>
        <w:spacing w:after="0" w:line="18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With respect to our masked T cell engager programs, currently there are no T cell engager therapies targeting PSMA, CLDN18.2 or STEAP1 approved for the treatment of cancer. However, we are aware of other companies that have masked T cell engager programs in development for PSMA, including but not limited to Janux Therapeutics, Inc. and Vir Biotechnology, Inc., and at least one other company, Werewolf Therapeutics, Inc., that has a masked T cell engager program in development for STEAP1. To our knowledge, there are no companies currently developing a masked T cell engager program targeting both PSMA and STEAP1 or a masked T cell engager program for CLDN18.2. However, we are aware of several companies developing non-masked T cell engager programs for CLDN18.2, including but not limited to Amgen Inc., Astellas Pharma Inc., AstraZeneca PLC, Innovent Biologics, Inc., Transcenta Holding Ltd. and Zai Lab Limited, for PSMA, including but not limited to AbCellera Biologics Inc., Regeneron Pharmaceuticals Inc. and Xencor, Inc., and for STEAP1, including but not limited to Amgen Inc. and Xencor Inc.</w:t>
      </w:r>
    </w:p>
    <w:p>
      <w:pPr>
        <w:spacing w:after="0" w:line="19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With respect to efarindodekin alfa, currently there are no IL-12 therapies approved for the treatment of cancer. However, we are aware of several companies that have IL-12 delivery programs in development, including but not limited to ImmunityBio, Inc., PDS Biotechnology Corporation, Philogen S.p.A., Shanghai KangaBio Co., Ltd., Werewolf Therapeutics, Inc., Xencor Inc. and Zymeworks Inc.</w:t>
      </w:r>
    </w:p>
    <w:p>
      <w:pPr>
        <w:spacing w:after="0" w:line="18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9"/>
          <w:szCs w:val="19"/>
          <w:color w:val="auto"/>
        </w:rPr>
        <w:t>Vilastobart, if approved, may face competition from other anti-CTLA-4 based therapies. For example, Yervoy (ipilimumab), an anti-CTLA-4, is approved to treat melanoma, renal cell carcinoma and certain cancers of the large intestine, and Imjudo (tremelimumab) is approved as a combination therapy to treat unresectable hepatocellular carcinoma. In addition, we are aware of several companies that have anti-CTLA-4 programs in development, including but not limited to Adagene, Inc., Agenus Inc., AstraZeneca plc, BioAtla, Inc., Chugai Pharmaceutical Co. Ltd., MacroGenics, Inc., OncoC4, Inc. and Solstice Oncology.</w:t>
      </w:r>
    </w:p>
    <w:p>
      <w:pPr>
        <w:spacing w:after="0" w:line="18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9"/>
          <w:szCs w:val="19"/>
          <w:color w:val="auto"/>
        </w:rPr>
        <w:t>Our competitors may succeed in developing, acquiring or licensing, on an exclusive basis, products that are safer, more effective, have fewer or less severe side effects, are more convenient or are less expensive than any products that we may develop. We also compete with these organizations in establishing clinical trial sites and patient registration for clinical trials, as well as in recruiting and retaining qualified scientific and management personnel, which could negatively affect our level of expertise and our ability to execute our business plan.</w:t>
      </w:r>
    </w:p>
    <w:p>
      <w:pPr>
        <w:sectPr>
          <w:pgSz w:w="12240" w:h="15840" w:orient="portrait"/>
          <w:cols w:equalWidth="0" w:num="1">
            <w:col w:w="10200"/>
          </w:cols>
          <w:pgMar w:left="1020" w:top="1317" w:right="102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55</w:t>
      </w:r>
    </w:p>
    <w:p>
      <w:pPr>
        <w:sectPr>
          <w:pgSz w:w="12240" w:h="15840" w:orient="portrait"/>
          <w:cols w:equalWidth="0" w:num="1">
            <w:col w:w="10200"/>
          </w:cols>
          <w:pgMar w:left="1020" w:top="1317" w:right="1020" w:bottom="574" w:gutter="0" w:footer="0" w:header="0"/>
          <w:type w:val="continuous"/>
        </w:sectPr>
      </w:pPr>
    </w:p>
    <w:bookmarkStart w:id="58" w:name="page59"/>
    <w:bookmarkEnd w:id="58"/>
    <w:p>
      <w:pPr>
        <w:jc w:val="both"/>
        <w:spacing w:after="0" w:line="242" w:lineRule="auto"/>
        <w:rPr>
          <w:sz w:val="20"/>
          <w:szCs w:val="20"/>
          <w:color w:val="auto"/>
        </w:rPr>
      </w:pPr>
      <w:r>
        <w:rPr>
          <w:rFonts w:ascii="Times New Roman" w:cs="Times New Roman" w:eastAsia="Times New Roman" w:hAnsi="Times New Roman"/>
          <w:sz w:val="19"/>
          <w:szCs w:val="19"/>
          <w:color w:val="auto"/>
        </w:rPr>
        <w:t>Many of our competitors, either alone or with their collaborators, have significantly greater financial resources and expertise in research and development, manufacturing, preclinical and clinical testing, obtaining regulatory approvals and reimbursement and marketing approved products than we do. Established pharmaceutical companies may invest heavily to accelerate discovery and development of novel product candidates or to in-license novel product candidates that could make our product candidates less competitive or obsolete. Smaller or early-stage companies may also prove to be significant competitors, including through collaborative arrangements with large and established companies. In addition, any new product that competes with an approved product must demonstrate compelling advantages in efficacy, convenience, tolerability and safety in order to overcome price competition and to be commercially successful. The availability of competing products could limit the demand and the price we are able to charge for product candidates we commercialize, if any. The inability to compete with existing or subsequently introduced products would harm our business, financial condition and results of operations.</w:t>
      </w:r>
    </w:p>
    <w:p>
      <w:pPr>
        <w:spacing w:after="0" w:line="180" w:lineRule="exact"/>
        <w:rPr>
          <w:sz w:val="20"/>
          <w:szCs w:val="20"/>
          <w:color w:val="auto"/>
        </w:rPr>
      </w:pPr>
    </w:p>
    <w:p>
      <w:pPr>
        <w:jc w:val="both"/>
        <w:spacing w:after="0" w:line="361" w:lineRule="auto"/>
        <w:rPr>
          <w:sz w:val="20"/>
          <w:szCs w:val="20"/>
          <w:color w:val="auto"/>
        </w:rPr>
      </w:pPr>
      <w:r>
        <w:rPr>
          <w:rFonts w:ascii="Times New Roman" w:cs="Times New Roman" w:eastAsia="Times New Roman" w:hAnsi="Times New Roman"/>
          <w:sz w:val="19"/>
          <w:szCs w:val="19"/>
          <w:b w:val="1"/>
          <w:bCs w:val="1"/>
          <w:i w:val="1"/>
          <w:iCs w:val="1"/>
          <w:color w:val="auto"/>
        </w:rPr>
        <w:t>If we do not achieve our projected development and commercialization goals in the timeframes we announce and expect, the commercialization of any of our product candidates may be delayed, and our business could be harmed.</w:t>
      </w:r>
    </w:p>
    <w:p>
      <w:pPr>
        <w:spacing w:after="0" w:line="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9"/>
          <w:szCs w:val="19"/>
          <w:color w:val="auto"/>
        </w:rPr>
        <w:t>For planning purposes, we sometimes estimate the timing of the accomplishment of various scientific, clinical, regulatory and other product development objectives. These milestones may include our expectations regarding the commencement or completion of scientific studies and clinical trials, the submission of regulatory filings or commercialization objectives. From time to time, we may publicly announce the expected timing of some of these milestones, such as the release of clinical trial data, the completion of an ongoing clinical trial, the initiation of other clinical trials, receipt of regulatory approval or the commercial launch of a product. The achievement of many of these milestones may be outside of our control. All of these milestones are based on a variety of assumptions which may cause the timing of achievement of the milestones to vary considerably from our estimates, including:</w:t>
      </w:r>
    </w:p>
    <w:p>
      <w:pPr>
        <w:spacing w:after="0" w:line="93" w:lineRule="exact"/>
        <w:rPr>
          <w:sz w:val="20"/>
          <w:szCs w:val="20"/>
          <w:color w:val="auto"/>
        </w:rPr>
      </w:pPr>
    </w:p>
    <w:p>
      <w:pPr>
        <w:ind w:left="920" w:hanging="458"/>
        <w:spacing w:after="0"/>
        <w:tabs>
          <w:tab w:leader="none" w:pos="920" w:val="left"/>
        </w:tabs>
        <w:numPr>
          <w:ilvl w:val="0"/>
          <w:numId w:val="41"/>
        </w:numPr>
        <w:rPr>
          <w:rFonts w:ascii="Arial" w:cs="Arial" w:eastAsia="Arial" w:hAnsi="Arial"/>
          <w:sz w:val="19"/>
          <w:szCs w:val="19"/>
          <w:color w:val="auto"/>
        </w:rPr>
      </w:pPr>
      <w:r>
        <w:rPr>
          <w:rFonts w:ascii="Times New Roman" w:cs="Times New Roman" w:eastAsia="Times New Roman" w:hAnsi="Times New Roman"/>
          <w:sz w:val="19"/>
          <w:szCs w:val="19"/>
          <w:color w:val="auto"/>
        </w:rPr>
        <w:t>our available capital resources or capital constraints we experience;</w:t>
      </w:r>
    </w:p>
    <w:p>
      <w:pPr>
        <w:spacing w:after="0" w:line="124"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41"/>
        </w:numPr>
        <w:rPr>
          <w:rFonts w:ascii="Arial" w:cs="Arial" w:eastAsia="Arial" w:hAnsi="Arial"/>
          <w:sz w:val="19"/>
          <w:szCs w:val="19"/>
          <w:color w:val="auto"/>
        </w:rPr>
      </w:pPr>
      <w:r>
        <w:rPr>
          <w:rFonts w:ascii="Times New Roman" w:cs="Times New Roman" w:eastAsia="Times New Roman" w:hAnsi="Times New Roman"/>
          <w:sz w:val="19"/>
          <w:szCs w:val="19"/>
          <w:color w:val="auto"/>
        </w:rPr>
        <w:t>the rate of progress, costs and results of our clinical trials and research and development activities, including the extent of scheduling conflicts with participating clinicians and collaborators;</w:t>
      </w:r>
    </w:p>
    <w:p>
      <w:pPr>
        <w:spacing w:after="0" w:line="61" w:lineRule="exact"/>
        <w:rPr>
          <w:rFonts w:ascii="Arial" w:cs="Arial" w:eastAsia="Arial" w:hAnsi="Arial"/>
          <w:sz w:val="19"/>
          <w:szCs w:val="19"/>
          <w:color w:val="auto"/>
        </w:rPr>
      </w:pPr>
    </w:p>
    <w:p>
      <w:pPr>
        <w:ind w:left="920" w:hanging="458"/>
        <w:spacing w:after="0"/>
        <w:tabs>
          <w:tab w:leader="none" w:pos="920" w:val="left"/>
        </w:tabs>
        <w:numPr>
          <w:ilvl w:val="0"/>
          <w:numId w:val="41"/>
        </w:numPr>
        <w:rPr>
          <w:rFonts w:ascii="Arial" w:cs="Arial" w:eastAsia="Arial" w:hAnsi="Arial"/>
          <w:sz w:val="19"/>
          <w:szCs w:val="19"/>
          <w:color w:val="auto"/>
        </w:rPr>
      </w:pPr>
      <w:r>
        <w:rPr>
          <w:rFonts w:ascii="Times New Roman" w:cs="Times New Roman" w:eastAsia="Times New Roman" w:hAnsi="Times New Roman"/>
          <w:sz w:val="19"/>
          <w:szCs w:val="19"/>
          <w:color w:val="auto"/>
        </w:rPr>
        <w:t>our ability to identify and enroll patients who meet clinical trial eligibility criteria;</w:t>
      </w:r>
    </w:p>
    <w:p>
      <w:pPr>
        <w:spacing w:after="0" w:line="124"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41"/>
        </w:numPr>
        <w:rPr>
          <w:rFonts w:ascii="Arial" w:cs="Arial" w:eastAsia="Arial" w:hAnsi="Arial"/>
          <w:sz w:val="19"/>
          <w:szCs w:val="19"/>
          <w:color w:val="auto"/>
        </w:rPr>
      </w:pPr>
      <w:r>
        <w:rPr>
          <w:rFonts w:ascii="Times New Roman" w:cs="Times New Roman" w:eastAsia="Times New Roman" w:hAnsi="Times New Roman"/>
          <w:sz w:val="19"/>
          <w:szCs w:val="19"/>
          <w:color w:val="auto"/>
        </w:rPr>
        <w:t>our receipt of approvals by the FDA, EMA and comparable regulatory authorities in other jurisdictions, and the timing thereof;</w:t>
      </w:r>
    </w:p>
    <w:p>
      <w:pPr>
        <w:spacing w:after="0" w:line="61" w:lineRule="exact"/>
        <w:rPr>
          <w:rFonts w:ascii="Arial" w:cs="Arial" w:eastAsia="Arial" w:hAnsi="Arial"/>
          <w:sz w:val="19"/>
          <w:szCs w:val="19"/>
          <w:color w:val="auto"/>
        </w:rPr>
      </w:pPr>
    </w:p>
    <w:p>
      <w:pPr>
        <w:ind w:left="920" w:hanging="458"/>
        <w:spacing w:after="0"/>
        <w:tabs>
          <w:tab w:leader="none" w:pos="920" w:val="left"/>
        </w:tabs>
        <w:numPr>
          <w:ilvl w:val="0"/>
          <w:numId w:val="41"/>
        </w:numPr>
        <w:rPr>
          <w:rFonts w:ascii="Arial" w:cs="Arial" w:eastAsia="Arial" w:hAnsi="Arial"/>
          <w:sz w:val="19"/>
          <w:szCs w:val="19"/>
          <w:color w:val="auto"/>
        </w:rPr>
      </w:pPr>
      <w:r>
        <w:rPr>
          <w:rFonts w:ascii="Times New Roman" w:cs="Times New Roman" w:eastAsia="Times New Roman" w:hAnsi="Times New Roman"/>
          <w:sz w:val="19"/>
          <w:szCs w:val="19"/>
          <w:color w:val="auto"/>
        </w:rPr>
        <w:t>other actions, decisions or rules issued by regulators;</w:t>
      </w:r>
    </w:p>
    <w:p>
      <w:pPr>
        <w:spacing w:after="0" w:line="124"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41"/>
        </w:numPr>
        <w:rPr>
          <w:rFonts w:ascii="Arial" w:cs="Arial" w:eastAsia="Arial" w:hAnsi="Arial"/>
          <w:sz w:val="19"/>
          <w:szCs w:val="19"/>
          <w:color w:val="auto"/>
        </w:rPr>
      </w:pPr>
      <w:r>
        <w:rPr>
          <w:rFonts w:ascii="Times New Roman" w:cs="Times New Roman" w:eastAsia="Times New Roman" w:hAnsi="Times New Roman"/>
          <w:sz w:val="19"/>
          <w:szCs w:val="19"/>
          <w:color w:val="auto"/>
        </w:rPr>
        <w:t>our ability to access sufficient, reliable and affordable supplies of materials used in the manufacture of our product candidates;</w:t>
      </w:r>
    </w:p>
    <w:p>
      <w:pPr>
        <w:spacing w:after="0" w:line="61" w:lineRule="exact"/>
        <w:rPr>
          <w:rFonts w:ascii="Arial" w:cs="Arial" w:eastAsia="Arial" w:hAnsi="Arial"/>
          <w:sz w:val="19"/>
          <w:szCs w:val="19"/>
          <w:color w:val="auto"/>
        </w:rPr>
      </w:pPr>
    </w:p>
    <w:p>
      <w:pPr>
        <w:ind w:left="920" w:hanging="458"/>
        <w:spacing w:after="0"/>
        <w:tabs>
          <w:tab w:leader="none" w:pos="920" w:val="left"/>
        </w:tabs>
        <w:numPr>
          <w:ilvl w:val="0"/>
          <w:numId w:val="41"/>
        </w:numPr>
        <w:rPr>
          <w:rFonts w:ascii="Arial" w:cs="Arial" w:eastAsia="Arial" w:hAnsi="Arial"/>
          <w:sz w:val="19"/>
          <w:szCs w:val="19"/>
          <w:color w:val="auto"/>
        </w:rPr>
      </w:pPr>
      <w:r>
        <w:rPr>
          <w:rFonts w:ascii="Times New Roman" w:cs="Times New Roman" w:eastAsia="Times New Roman" w:hAnsi="Times New Roman"/>
          <w:sz w:val="19"/>
          <w:szCs w:val="19"/>
          <w:color w:val="auto"/>
        </w:rPr>
        <w:t>our ability to manufacture and supply clinical trial materials to our clinical trial sites on a timely basis;</w:t>
      </w:r>
    </w:p>
    <w:p>
      <w:pPr>
        <w:spacing w:after="0" w:line="124"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41"/>
        </w:numPr>
        <w:rPr>
          <w:rFonts w:ascii="Arial" w:cs="Arial" w:eastAsia="Arial" w:hAnsi="Arial"/>
          <w:sz w:val="19"/>
          <w:szCs w:val="19"/>
          <w:color w:val="auto"/>
        </w:rPr>
      </w:pPr>
      <w:r>
        <w:rPr>
          <w:rFonts w:ascii="Times New Roman" w:cs="Times New Roman" w:eastAsia="Times New Roman" w:hAnsi="Times New Roman"/>
          <w:sz w:val="19"/>
          <w:szCs w:val="19"/>
          <w:color w:val="auto"/>
        </w:rPr>
        <w:t>the efforts of our collaborators with respect to the development of our product candidates or the potential commercialization of any of our product candidates, if approved; and</w:t>
      </w:r>
    </w:p>
    <w:p>
      <w:pPr>
        <w:spacing w:after="0" w:line="61"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41"/>
        </w:numPr>
        <w:rPr>
          <w:rFonts w:ascii="Arial" w:cs="Arial" w:eastAsia="Arial" w:hAnsi="Arial"/>
          <w:sz w:val="19"/>
          <w:szCs w:val="19"/>
          <w:color w:val="auto"/>
        </w:rPr>
      </w:pPr>
      <w:r>
        <w:rPr>
          <w:rFonts w:ascii="Times New Roman" w:cs="Times New Roman" w:eastAsia="Times New Roman" w:hAnsi="Times New Roman"/>
          <w:sz w:val="19"/>
          <w:szCs w:val="19"/>
          <w:color w:val="auto"/>
        </w:rPr>
        <w:t>the securing of, costs related to, and timing issues associated with, commercial product manufacturing as well as sales and marketing activities.</w:t>
      </w:r>
    </w:p>
    <w:p>
      <w:pPr>
        <w:spacing w:after="0" w:line="16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9"/>
          <w:szCs w:val="19"/>
          <w:color w:val="auto"/>
        </w:rPr>
        <w:t>If we fail to achieve announced milestones in the timeframes we expect, the commercialization of any of our product candidates may be delayed, and our business, results of operations, financial condition and prospects may be adversely affected.</w:t>
      </w:r>
    </w:p>
    <w:p>
      <w:pPr>
        <w:spacing w:after="0" w:line="145" w:lineRule="exact"/>
        <w:rPr>
          <w:sz w:val="20"/>
          <w:szCs w:val="20"/>
          <w:color w:val="auto"/>
        </w:rPr>
      </w:pPr>
    </w:p>
    <w:p>
      <w:pPr>
        <w:jc w:val="both"/>
        <w:spacing w:after="0" w:line="361" w:lineRule="auto"/>
        <w:rPr>
          <w:sz w:val="20"/>
          <w:szCs w:val="20"/>
          <w:color w:val="auto"/>
        </w:rPr>
      </w:pPr>
      <w:r>
        <w:rPr>
          <w:rFonts w:ascii="Times New Roman" w:cs="Times New Roman" w:eastAsia="Times New Roman" w:hAnsi="Times New Roman"/>
          <w:sz w:val="19"/>
          <w:szCs w:val="19"/>
          <w:b w:val="1"/>
          <w:bCs w:val="1"/>
          <w:i w:val="1"/>
          <w:iCs w:val="1"/>
          <w:color w:val="auto"/>
        </w:rPr>
        <w:t>If approved, our product candidates that are licensed and regulated as biological products, or biologics, may face competition from biosimilars approved through an abbreviated regulatory pathway.</w:t>
      </w:r>
    </w:p>
    <w:p>
      <w:pPr>
        <w:spacing w:after="0" w:line="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9"/>
          <w:szCs w:val="19"/>
          <w:color w:val="auto"/>
        </w:rPr>
        <w:t>The Biologics Price Competition and Innovation Act of 2009, or BPCIA, was enacted as part of the Patient Protection and Affordable Care Act, as amended by the Health Care and Education Reconciliation Act of 2010, or collectively the ACA, to establish an abbreviated pathway for the approval of biosimilar and interchangeable with an FDA-licensed reference biologic product. The regulatory pathway establishes legal authority for the FDA to review and approve biosimilar biologics, including the possible designation of a biosimilar as “interchangeable” based on its similarity to an approved biologic.</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color w:val="auto"/>
        </w:rPr>
        <w:t>Under the BPCIA, reference biological product is granted 12 years of non-patent data exclusivity from the time of first licensure of the product, and the FDA will not accept an application for a biosimilar or interchangeable product based on the reference biological product until four years after the date of first licensure of the reference product. In addition, the licensure of a biosimilar product may not be made effective by the FDA until 12 years from the date on which the reference product was first licensed. During this 12</w:t>
      </w:r>
      <w:r>
        <w:rPr>
          <w:rFonts w:ascii="Arial" w:cs="Arial" w:eastAsia="Arial" w:hAnsi="Arial"/>
          <w:sz w:val="19"/>
          <w:szCs w:val="19"/>
          <w:color w:val="auto"/>
        </w:rPr>
        <w:t>̻</w:t>
      </w:r>
      <w:r>
        <w:rPr>
          <w:rFonts w:ascii="Times New Roman" w:cs="Times New Roman" w:eastAsia="Times New Roman" w:hAnsi="Times New Roman"/>
          <w:sz w:val="19"/>
          <w:szCs w:val="19"/>
          <w:color w:val="auto"/>
        </w:rPr>
        <w:t>year period of exclusivity, another company may still develop and receive licensure of a competing biologic, so long as their BLA does not rely on the reference product or sponsor’s data or submit the application as a biosimilar application.</w:t>
      </w:r>
    </w:p>
    <w:p>
      <w:pPr>
        <w:sectPr>
          <w:pgSz w:w="12240" w:h="15840" w:orient="portrait"/>
          <w:cols w:equalWidth="0" w:num="1">
            <w:col w:w="10200"/>
          </w:cols>
          <w:pgMar w:left="1020" w:top="1317" w:right="1020" w:bottom="574" w:gutter="0" w:footer="0" w:header="0"/>
        </w:sectPr>
      </w:pP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56</w:t>
      </w:r>
    </w:p>
    <w:p>
      <w:pPr>
        <w:sectPr>
          <w:pgSz w:w="12240" w:h="15840" w:orient="portrait"/>
          <w:cols w:equalWidth="0" w:num="1">
            <w:col w:w="10200"/>
          </w:cols>
          <w:pgMar w:left="1020" w:top="1317" w:right="1020" w:bottom="574" w:gutter="0" w:footer="0" w:header="0"/>
          <w:type w:val="continuous"/>
        </w:sectPr>
      </w:pPr>
    </w:p>
    <w:bookmarkStart w:id="59" w:name="page60"/>
    <w:bookmarkEnd w:id="59"/>
    <w:p>
      <w:pPr>
        <w:jc w:val="both"/>
        <w:spacing w:after="0" w:line="249" w:lineRule="auto"/>
        <w:rPr>
          <w:sz w:val="20"/>
          <w:szCs w:val="20"/>
          <w:color w:val="auto"/>
        </w:rPr>
      </w:pPr>
      <w:r>
        <w:rPr>
          <w:rFonts w:ascii="Times New Roman" w:cs="Times New Roman" w:eastAsia="Times New Roman" w:hAnsi="Times New Roman"/>
          <w:sz w:val="19"/>
          <w:szCs w:val="19"/>
          <w:color w:val="auto"/>
        </w:rPr>
        <w:t>We believe that any of the product candidates we develop that is licensed in the U.S. as a biological product under a BLA should qualify for the 12</w:t>
      </w:r>
      <w:r>
        <w:rPr>
          <w:rFonts w:ascii="Arial" w:cs="Arial" w:eastAsia="Arial" w:hAnsi="Arial"/>
          <w:sz w:val="19"/>
          <w:szCs w:val="19"/>
          <w:color w:val="auto"/>
        </w:rPr>
        <w:t>̻</w:t>
      </w:r>
      <w:r>
        <w:rPr>
          <w:rFonts w:ascii="Times New Roman" w:cs="Times New Roman" w:eastAsia="Times New Roman" w:hAnsi="Times New Roman"/>
          <w:sz w:val="19"/>
          <w:szCs w:val="19"/>
          <w:color w:val="auto"/>
        </w:rPr>
        <w:t>year period of exclusivity. However, there is a risk that this exclusivity could be shortened due to congressional action or otherwise, or that the FDA will not consider the subject product candidate to be a reference product for competing products, potentially creating the opportunity for biosimilar competition sooner than anticipated. Further, the FDA may revise the standards governing approval of biosimilars so as to bring such products to the market more quickly. For example, in October 2025, the FDA issued draft guidance which proposes to eliminate the need for sponsors of biosimilar products to conduct comparative human clinical efficacy studies, allowing them to rely instead on analytical testing to demonstrate product differences from a reference product.</w:t>
      </w:r>
    </w:p>
    <w:p>
      <w:pPr>
        <w:spacing w:after="0" w:line="18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Moreover, the extent to which a biosimilar, once approved, will be substituted for any one of the reference products in a way that is similar to traditional generic substitution for non-biological products is not yet clear, and will depend on a number of marketplace and regulatory factors that are still developing. The approval of a biosimilar of our product candidates could have a material adverse impact on our business due to increased competition and pricing pressure.</w:t>
      </w:r>
    </w:p>
    <w:p>
      <w:pPr>
        <w:spacing w:after="0" w:line="18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9"/>
          <w:szCs w:val="19"/>
          <w:color w:val="auto"/>
        </w:rPr>
        <w:t>If competitors are able to obtain regulatory approval for biosimilars referencing our product candidates, our product candidates may become subject to competition from such biosimilars, with the attendant competitive pressure and consequences.</w:t>
      </w:r>
    </w:p>
    <w:p>
      <w:pPr>
        <w:spacing w:after="0" w:line="145" w:lineRule="exact"/>
        <w:rPr>
          <w:sz w:val="20"/>
          <w:szCs w:val="20"/>
          <w:color w:val="auto"/>
        </w:rPr>
      </w:pPr>
    </w:p>
    <w:p>
      <w:pPr>
        <w:jc w:val="both"/>
        <w:spacing w:after="0" w:line="361" w:lineRule="auto"/>
        <w:rPr>
          <w:sz w:val="20"/>
          <w:szCs w:val="20"/>
          <w:color w:val="auto"/>
        </w:rPr>
      </w:pPr>
      <w:r>
        <w:rPr>
          <w:rFonts w:ascii="Times New Roman" w:cs="Times New Roman" w:eastAsia="Times New Roman" w:hAnsi="Times New Roman"/>
          <w:sz w:val="19"/>
          <w:szCs w:val="19"/>
          <w:b w:val="1"/>
          <w:bCs w:val="1"/>
          <w:i w:val="1"/>
          <w:iCs w:val="1"/>
          <w:color w:val="auto"/>
        </w:rPr>
        <w:t>The sizes of the potential markets for our product candidates are difficult to estimate and, if any of our assumptions are inaccurate, the actual markets for our product candidates may be smaller than our estimates.</w:t>
      </w:r>
    </w:p>
    <w:p>
      <w:pPr>
        <w:spacing w:after="0" w:line="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color w:val="auto"/>
        </w:rPr>
        <w:t>The potential market opportunities for our product candidates are difficult to estimate and, if our product candidates are approved, will ultimately depend on, among other things, the indications for which our product candidates are approved for sale, any products with which our product candidates are co-administered, the success of competing therapies and therapeutic approaches, acceptance by the medical community, patient access, product pricing, reimbursement and our ability to create meaningful value propositions for patients, prescribers and payors. Our estimates of the potential market opportunities for our product candidates are predicated on many assumptions, which may include industry knowledge and publications, third-party research reports and other surveys. Although we believe that our internal assumptions are reasonable, these assumptions involve the exercise of significant judgment on the part of our management, are inherently uncertain, and their reasonableness has not been assessed by an independent source. If any of the assumptions prove to be inaccurate, the actual markets for our product candidates could be smaller than our estimates of the potential market opportunities.</w:t>
      </w:r>
    </w:p>
    <w:p>
      <w:pPr>
        <w:spacing w:after="0" w:line="180" w:lineRule="exact"/>
        <w:rPr>
          <w:sz w:val="20"/>
          <w:szCs w:val="20"/>
          <w:color w:val="auto"/>
        </w:rPr>
      </w:pPr>
    </w:p>
    <w:p>
      <w:pPr>
        <w:jc w:val="both"/>
        <w:spacing w:after="0" w:line="361" w:lineRule="auto"/>
        <w:rPr>
          <w:sz w:val="20"/>
          <w:szCs w:val="20"/>
          <w:color w:val="auto"/>
        </w:rPr>
      </w:pPr>
      <w:r>
        <w:rPr>
          <w:rFonts w:ascii="Times New Roman" w:cs="Times New Roman" w:eastAsia="Times New Roman" w:hAnsi="Times New Roman"/>
          <w:sz w:val="19"/>
          <w:szCs w:val="19"/>
          <w:b w:val="1"/>
          <w:bCs w:val="1"/>
          <w:i w:val="1"/>
          <w:iCs w:val="1"/>
          <w:color w:val="auto"/>
        </w:rPr>
        <w:t>The successful commercialization of our product candidates will depend in part on the extent to which we obtain and maintain favorable insurance coverage, adequate reimbursement levels and cost-effective pricing policies with third-party payors.</w:t>
      </w:r>
    </w:p>
    <w:p>
      <w:pPr>
        <w:spacing w:after="0" w:line="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9"/>
          <w:szCs w:val="19"/>
          <w:color w:val="auto"/>
        </w:rPr>
        <w:t>The availability and adequacy of coverage and reimbursement by third-party payors, including governmental healthcare programs such as Medicare and Medicaid, managed care organizations, and private health insurers, are essential for most patients to be able to afford prescription medications such as our product candidates, if approved. Our ability to achieve acceptable levels of coverage and reimbursement for products by third-party payors will have an effect on our ability to successfully commercialize our product candidates. We cannot be sure that coverage and reimbursement in the U.S., the EU or elsewhere will be available for our product candidates, if approved, or any product that we may develop, and any reimbursement that may become available may be decreased or eliminated in the future.</w:t>
      </w:r>
    </w:p>
    <w:p>
      <w:pPr>
        <w:spacing w:after="0" w:line="19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Third-party payors increasingly are challenging prices charged for pharmaceutical products and services, and many third-party payors may refuse to provide coverage and reimbursement for particular drugs or biologics when an equivalent generic drug, biosimilar or a less expensive therapy is available. It is possible that a third-party payor may consider our product candidates as substitutable and only offer to reimburse patients for the less expensive product. Even if we show improved efficacy or improved convenience of administration with our product candidates, pricing of existing third-party therapeutics may limit the amount we will be able to charge for our product candidates. These payors may deny or revoke the reimbursement status of a given product or establish prices for new or existing marketed products at levels that are too low to enable us to realize an appropriate return on our investment in our product candidates, if approved. Even if our product candidates are approved and we obtain coverage for our product candidates by a third-party payor, such products may not be considered cost-effective and/or the resulting reimbursement payment rates may be insufficient or may require co-payments that patients find unacceptably high. Interim reimbursement levels for new medicines, if applicable, may also not be sufficient to cover our costs and may not be made permanent. Net prices for medicines may be reduced by mandatory discounts or rebates required by government healthcare programs or private payors and by any future relaxation of laws that presently restrict imports of medicines from countries where they may be sold at lower prices than in the U.S. If reimbursement is not available or is available only at limited levels, we may not be able to successfully commercialize our product candidates, if approved, and may not be able to obtain a satisfactory financial return on our product candidates.</w:t>
      </w:r>
    </w:p>
    <w:p>
      <w:pPr>
        <w:spacing w:after="0" w:line="194"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8"/>
          <w:szCs w:val="18"/>
          <w:color w:val="auto"/>
        </w:rPr>
        <w:t>There is significant uncertainty related to the insurance coverage and reimbursement of newly approved products. The regulations that govern marketing approvals, pricing and reimbursement for new medicines vary widely from country to country. In the U.S., third-</w:t>
      </w:r>
    </w:p>
    <w:p>
      <w:pPr>
        <w:sectPr>
          <w:pgSz w:w="12240" w:h="15840" w:orient="portrait"/>
          <w:cols w:equalWidth="0" w:num="1">
            <w:col w:w="10200"/>
          </w:cols>
          <w:pgMar w:left="1020" w:top="1317" w:right="1020" w:bottom="574" w:gutter="0" w:footer="0" w:header="0"/>
        </w:sectPr>
      </w:pP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57</w:t>
      </w:r>
    </w:p>
    <w:p>
      <w:pPr>
        <w:sectPr>
          <w:pgSz w:w="12240" w:h="15840" w:orient="portrait"/>
          <w:cols w:equalWidth="0" w:num="1">
            <w:col w:w="10200"/>
          </w:cols>
          <w:pgMar w:left="1020" w:top="1317" w:right="1020" w:bottom="574" w:gutter="0" w:footer="0" w:header="0"/>
          <w:type w:val="continuous"/>
        </w:sectPr>
      </w:pPr>
    </w:p>
    <w:bookmarkStart w:id="60" w:name="page61"/>
    <w:bookmarkEnd w:id="60"/>
    <w:p>
      <w:pPr>
        <w:jc w:val="both"/>
        <w:spacing w:after="0" w:line="247" w:lineRule="auto"/>
        <w:rPr>
          <w:sz w:val="20"/>
          <w:szCs w:val="20"/>
          <w:color w:val="auto"/>
        </w:rPr>
      </w:pPr>
      <w:r>
        <w:rPr>
          <w:rFonts w:ascii="Times New Roman" w:cs="Times New Roman" w:eastAsia="Times New Roman" w:hAnsi="Times New Roman"/>
          <w:sz w:val="19"/>
          <w:szCs w:val="19"/>
          <w:color w:val="auto"/>
        </w:rPr>
        <w:t>party payors play an important role in determining the extent to which new drugs and biologics will be covered. The Medicare and Medicaid programs increasingly are used as models in the U.S. for how third-party payors develop their coverage and reimbursement policies for drugs and biologics. Some third-party payors may require pre-approval of coverage for new or innovative devices or drug therapies before they will reimburse healthcare providers who use such therapies. We cannot predict at this time what third-party payors will decide with respect to the coverage and reimbursement for our product candidates, if approved.</w:t>
      </w:r>
    </w:p>
    <w:p>
      <w:pPr>
        <w:spacing w:after="0" w:line="18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No uniform policy for coverage and reimbursement for products exists among third-party payors in the U.S. and coverage and reimbursement for products can therefore differ significantly from payor to payor and coverage and reimbursement by one payor does not guarantee coverage and reimbursement by another payor.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applied consistently or obtained in the first instance. Our ability to demonstrate to these third-party payors that any of our approved product candidates creates a meaningful value proposition for patients, prescribers and payors will be important to gaining market access and reimbursement and there is no guarantee that we will be successful in doing so. Furthermore, rules and regulations regarding reimbursement change frequently, in some cases on short notice, and we believe that changes in these rules and regulations are likely.</w:t>
      </w:r>
    </w:p>
    <w:p>
      <w:pPr>
        <w:spacing w:after="0" w:line="175"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9"/>
          <w:szCs w:val="19"/>
          <w:b w:val="1"/>
          <w:bCs w:val="1"/>
          <w:i w:val="1"/>
          <w:iCs w:val="1"/>
          <w:color w:val="auto"/>
        </w:rPr>
        <w:t>Even if a product candidate we develop receives marketing approval, it may fail to achieve the degree of market acceptance by physicians, patients, hospitals, cancer treatment centers, third-party payors and others in the medical community necessary for commercial success.</w:t>
      </w:r>
    </w:p>
    <w:p>
      <w:pPr>
        <w:spacing w:after="0" w:line="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color w:val="auto"/>
        </w:rPr>
        <w:t>If any product candidate we develop receives marketing approval, whether as a single agent or in combination with other therapies, it may nonetheless fail to gain sufficient market acceptance by physicians, patients, hospitals, cancer treatment centers, third-party payors, and others in the medical community. For example, cancer treatments like chemotherapy, radiation therapy and certain existing immunotherapies are well established in the medical community, and doctors may continue to rely on these therapies. If the product candidates we develop do not achieve an adequate level of acceptance, we may not generate significant product revenues and we may not become profitable.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degree of market acceptance of any product, if approved for commercial sale, will depend on a number of factors, including:</w:t>
      </w:r>
    </w:p>
    <w:p>
      <w:pPr>
        <w:spacing w:after="0" w:line="126" w:lineRule="exact"/>
        <w:rPr>
          <w:sz w:val="20"/>
          <w:szCs w:val="20"/>
          <w:color w:val="auto"/>
        </w:rPr>
      </w:pPr>
    </w:p>
    <w:p>
      <w:pPr>
        <w:ind w:left="920" w:hanging="458"/>
        <w:spacing w:after="0"/>
        <w:tabs>
          <w:tab w:leader="none" w:pos="920" w:val="left"/>
        </w:tabs>
        <w:numPr>
          <w:ilvl w:val="0"/>
          <w:numId w:val="42"/>
        </w:numPr>
        <w:rPr>
          <w:rFonts w:ascii="Arial" w:cs="Arial" w:eastAsia="Arial" w:hAnsi="Arial"/>
          <w:sz w:val="19"/>
          <w:szCs w:val="19"/>
          <w:color w:val="auto"/>
        </w:rPr>
      </w:pPr>
      <w:r>
        <w:rPr>
          <w:rFonts w:ascii="Times New Roman" w:cs="Times New Roman" w:eastAsia="Times New Roman" w:hAnsi="Times New Roman"/>
          <w:sz w:val="19"/>
          <w:szCs w:val="19"/>
          <w:color w:val="auto"/>
        </w:rPr>
        <w:t>the product’s efficacy, safety and potential advantages compared to alternative treatments;</w:t>
      </w:r>
    </w:p>
    <w:p>
      <w:pPr>
        <w:spacing w:after="0" w:line="124" w:lineRule="exact"/>
        <w:rPr>
          <w:rFonts w:ascii="Arial" w:cs="Arial" w:eastAsia="Arial" w:hAnsi="Arial"/>
          <w:sz w:val="19"/>
          <w:szCs w:val="19"/>
          <w:color w:val="auto"/>
        </w:rPr>
      </w:pPr>
    </w:p>
    <w:p>
      <w:pPr>
        <w:ind w:left="920" w:hanging="458"/>
        <w:spacing w:after="0"/>
        <w:tabs>
          <w:tab w:leader="none" w:pos="920" w:val="left"/>
        </w:tabs>
        <w:numPr>
          <w:ilvl w:val="0"/>
          <w:numId w:val="42"/>
        </w:numPr>
        <w:rPr>
          <w:rFonts w:ascii="Arial" w:cs="Arial" w:eastAsia="Arial" w:hAnsi="Arial"/>
          <w:sz w:val="19"/>
          <w:szCs w:val="19"/>
          <w:color w:val="auto"/>
        </w:rPr>
      </w:pPr>
      <w:r>
        <w:rPr>
          <w:rFonts w:ascii="Times New Roman" w:cs="Times New Roman" w:eastAsia="Times New Roman" w:hAnsi="Times New Roman"/>
          <w:sz w:val="19"/>
          <w:szCs w:val="19"/>
          <w:color w:val="auto"/>
        </w:rPr>
        <w:t>the prevalence and severity of any side effects;</w:t>
      </w:r>
    </w:p>
    <w:p>
      <w:pPr>
        <w:spacing w:after="0" w:line="124" w:lineRule="exact"/>
        <w:rPr>
          <w:rFonts w:ascii="Arial" w:cs="Arial" w:eastAsia="Arial" w:hAnsi="Arial"/>
          <w:sz w:val="19"/>
          <w:szCs w:val="19"/>
          <w:color w:val="auto"/>
        </w:rPr>
      </w:pPr>
    </w:p>
    <w:p>
      <w:pPr>
        <w:ind w:left="920" w:hanging="458"/>
        <w:spacing w:after="0"/>
        <w:tabs>
          <w:tab w:leader="none" w:pos="920" w:val="left"/>
        </w:tabs>
        <w:numPr>
          <w:ilvl w:val="0"/>
          <w:numId w:val="42"/>
        </w:numPr>
        <w:rPr>
          <w:rFonts w:ascii="Arial" w:cs="Arial" w:eastAsia="Arial" w:hAnsi="Arial"/>
          <w:sz w:val="19"/>
          <w:szCs w:val="19"/>
          <w:color w:val="auto"/>
        </w:rPr>
      </w:pPr>
      <w:r>
        <w:rPr>
          <w:rFonts w:ascii="Times New Roman" w:cs="Times New Roman" w:eastAsia="Times New Roman" w:hAnsi="Times New Roman"/>
          <w:sz w:val="19"/>
          <w:szCs w:val="19"/>
          <w:color w:val="auto"/>
        </w:rPr>
        <w:t>the product’s convenience and ease of administration compared to alternative treatments;</w:t>
      </w:r>
    </w:p>
    <w:p>
      <w:pPr>
        <w:spacing w:after="0" w:line="124" w:lineRule="exact"/>
        <w:rPr>
          <w:rFonts w:ascii="Arial" w:cs="Arial" w:eastAsia="Arial" w:hAnsi="Arial"/>
          <w:sz w:val="19"/>
          <w:szCs w:val="19"/>
          <w:color w:val="auto"/>
        </w:rPr>
      </w:pPr>
    </w:p>
    <w:p>
      <w:pPr>
        <w:ind w:left="920" w:hanging="458"/>
        <w:spacing w:after="0"/>
        <w:tabs>
          <w:tab w:leader="none" w:pos="920" w:val="left"/>
        </w:tabs>
        <w:numPr>
          <w:ilvl w:val="0"/>
          <w:numId w:val="42"/>
        </w:numPr>
        <w:rPr>
          <w:rFonts w:ascii="Arial" w:cs="Arial" w:eastAsia="Arial" w:hAnsi="Arial"/>
          <w:sz w:val="19"/>
          <w:szCs w:val="19"/>
          <w:color w:val="auto"/>
        </w:rPr>
      </w:pPr>
      <w:r>
        <w:rPr>
          <w:rFonts w:ascii="Times New Roman" w:cs="Times New Roman" w:eastAsia="Times New Roman" w:hAnsi="Times New Roman"/>
          <w:sz w:val="19"/>
          <w:szCs w:val="19"/>
          <w:color w:val="auto"/>
        </w:rPr>
        <w:t>the clinical indications for which the product is approved;</w:t>
      </w:r>
    </w:p>
    <w:p>
      <w:pPr>
        <w:spacing w:after="0" w:line="124" w:lineRule="exact"/>
        <w:rPr>
          <w:rFonts w:ascii="Arial" w:cs="Arial" w:eastAsia="Arial" w:hAnsi="Arial"/>
          <w:sz w:val="19"/>
          <w:szCs w:val="19"/>
          <w:color w:val="auto"/>
        </w:rPr>
      </w:pPr>
    </w:p>
    <w:p>
      <w:pPr>
        <w:ind w:left="920" w:hanging="458"/>
        <w:spacing w:after="0"/>
        <w:tabs>
          <w:tab w:leader="none" w:pos="920" w:val="left"/>
        </w:tabs>
        <w:numPr>
          <w:ilvl w:val="0"/>
          <w:numId w:val="42"/>
        </w:numPr>
        <w:rPr>
          <w:rFonts w:ascii="Arial" w:cs="Arial" w:eastAsia="Arial" w:hAnsi="Arial"/>
          <w:sz w:val="19"/>
          <w:szCs w:val="19"/>
          <w:color w:val="auto"/>
        </w:rPr>
      </w:pPr>
      <w:r>
        <w:rPr>
          <w:rFonts w:ascii="Times New Roman" w:cs="Times New Roman" w:eastAsia="Times New Roman" w:hAnsi="Times New Roman"/>
          <w:sz w:val="19"/>
          <w:szCs w:val="19"/>
          <w:color w:val="auto"/>
        </w:rPr>
        <w:t>the willingness of the target patient population to try a novel treatment and of physicians to prescribe such treatments;</w:t>
      </w:r>
    </w:p>
    <w:p>
      <w:pPr>
        <w:spacing w:after="0" w:line="124" w:lineRule="exact"/>
        <w:rPr>
          <w:rFonts w:ascii="Arial" w:cs="Arial" w:eastAsia="Arial" w:hAnsi="Arial"/>
          <w:sz w:val="19"/>
          <w:szCs w:val="19"/>
          <w:color w:val="auto"/>
        </w:rPr>
      </w:pPr>
    </w:p>
    <w:p>
      <w:pPr>
        <w:ind w:left="920" w:hanging="458"/>
        <w:spacing w:after="0"/>
        <w:tabs>
          <w:tab w:leader="none" w:pos="920" w:val="left"/>
        </w:tabs>
        <w:numPr>
          <w:ilvl w:val="0"/>
          <w:numId w:val="42"/>
        </w:numPr>
        <w:rPr>
          <w:rFonts w:ascii="Arial" w:cs="Arial" w:eastAsia="Arial" w:hAnsi="Arial"/>
          <w:sz w:val="19"/>
          <w:szCs w:val="19"/>
          <w:color w:val="auto"/>
        </w:rPr>
      </w:pPr>
      <w:r>
        <w:rPr>
          <w:rFonts w:ascii="Times New Roman" w:cs="Times New Roman" w:eastAsia="Times New Roman" w:hAnsi="Times New Roman"/>
          <w:sz w:val="19"/>
          <w:szCs w:val="19"/>
          <w:color w:val="auto"/>
        </w:rPr>
        <w:t>the recommendations with respect to the product in guidelines published by scientific organizations;</w:t>
      </w:r>
    </w:p>
    <w:p>
      <w:pPr>
        <w:spacing w:after="0" w:line="124"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42"/>
        </w:numPr>
        <w:rPr>
          <w:rFonts w:ascii="Arial" w:cs="Arial" w:eastAsia="Arial" w:hAnsi="Arial"/>
          <w:sz w:val="19"/>
          <w:szCs w:val="19"/>
          <w:color w:val="auto"/>
        </w:rPr>
      </w:pPr>
      <w:r>
        <w:rPr>
          <w:rFonts w:ascii="Times New Roman" w:cs="Times New Roman" w:eastAsia="Times New Roman" w:hAnsi="Times New Roman"/>
          <w:sz w:val="19"/>
          <w:szCs w:val="19"/>
          <w:color w:val="auto"/>
        </w:rPr>
        <w:t>the ability to obtain sufficient third-party insurance coverage and adequate reimbursement, including, if applicable, with respect to the use of the product as a combination therapy;</w:t>
      </w:r>
    </w:p>
    <w:p>
      <w:pPr>
        <w:spacing w:after="0" w:line="61" w:lineRule="exact"/>
        <w:rPr>
          <w:rFonts w:ascii="Arial" w:cs="Arial" w:eastAsia="Arial" w:hAnsi="Arial"/>
          <w:sz w:val="19"/>
          <w:szCs w:val="19"/>
          <w:color w:val="auto"/>
        </w:rPr>
      </w:pPr>
    </w:p>
    <w:p>
      <w:pPr>
        <w:ind w:left="920" w:hanging="458"/>
        <w:spacing w:after="0"/>
        <w:tabs>
          <w:tab w:leader="none" w:pos="920" w:val="left"/>
        </w:tabs>
        <w:numPr>
          <w:ilvl w:val="0"/>
          <w:numId w:val="42"/>
        </w:numPr>
        <w:rPr>
          <w:rFonts w:ascii="Arial" w:cs="Arial" w:eastAsia="Arial" w:hAnsi="Arial"/>
          <w:sz w:val="19"/>
          <w:szCs w:val="19"/>
          <w:color w:val="auto"/>
        </w:rPr>
      </w:pPr>
      <w:r>
        <w:rPr>
          <w:rFonts w:ascii="Times New Roman" w:cs="Times New Roman" w:eastAsia="Times New Roman" w:hAnsi="Times New Roman"/>
          <w:sz w:val="19"/>
          <w:szCs w:val="19"/>
          <w:color w:val="auto"/>
        </w:rPr>
        <w:t>the strength of marketing, sales and distribution support;</w:t>
      </w:r>
    </w:p>
    <w:p>
      <w:pPr>
        <w:spacing w:after="0" w:line="124" w:lineRule="exact"/>
        <w:rPr>
          <w:rFonts w:ascii="Arial" w:cs="Arial" w:eastAsia="Arial" w:hAnsi="Arial"/>
          <w:sz w:val="19"/>
          <w:szCs w:val="19"/>
          <w:color w:val="auto"/>
        </w:rPr>
      </w:pPr>
    </w:p>
    <w:p>
      <w:pPr>
        <w:ind w:left="920" w:hanging="458"/>
        <w:spacing w:after="0"/>
        <w:tabs>
          <w:tab w:leader="none" w:pos="920" w:val="left"/>
        </w:tabs>
        <w:numPr>
          <w:ilvl w:val="0"/>
          <w:numId w:val="42"/>
        </w:numPr>
        <w:rPr>
          <w:rFonts w:ascii="Arial" w:cs="Arial" w:eastAsia="Arial" w:hAnsi="Arial"/>
          <w:sz w:val="19"/>
          <w:szCs w:val="19"/>
          <w:color w:val="auto"/>
        </w:rPr>
      </w:pPr>
      <w:r>
        <w:rPr>
          <w:rFonts w:ascii="Times New Roman" w:cs="Times New Roman" w:eastAsia="Times New Roman" w:hAnsi="Times New Roman"/>
          <w:sz w:val="19"/>
          <w:szCs w:val="19"/>
          <w:color w:val="auto"/>
        </w:rPr>
        <w:t>the effectiveness of our sales and marketing efforts;</w:t>
      </w:r>
    </w:p>
    <w:p>
      <w:pPr>
        <w:spacing w:after="0" w:line="124" w:lineRule="exact"/>
        <w:rPr>
          <w:rFonts w:ascii="Arial" w:cs="Arial" w:eastAsia="Arial" w:hAnsi="Arial"/>
          <w:sz w:val="19"/>
          <w:szCs w:val="19"/>
          <w:color w:val="auto"/>
        </w:rPr>
      </w:pPr>
    </w:p>
    <w:p>
      <w:pPr>
        <w:ind w:left="920" w:hanging="458"/>
        <w:spacing w:after="0"/>
        <w:tabs>
          <w:tab w:leader="none" w:pos="920" w:val="left"/>
        </w:tabs>
        <w:numPr>
          <w:ilvl w:val="0"/>
          <w:numId w:val="42"/>
        </w:numPr>
        <w:rPr>
          <w:rFonts w:ascii="Arial" w:cs="Arial" w:eastAsia="Arial" w:hAnsi="Arial"/>
          <w:sz w:val="19"/>
          <w:szCs w:val="19"/>
          <w:color w:val="auto"/>
        </w:rPr>
      </w:pPr>
      <w:r>
        <w:rPr>
          <w:rFonts w:ascii="Times New Roman" w:cs="Times New Roman" w:eastAsia="Times New Roman" w:hAnsi="Times New Roman"/>
          <w:sz w:val="19"/>
          <w:szCs w:val="19"/>
          <w:color w:val="auto"/>
        </w:rPr>
        <w:t>the approval of other new products for the same indications; and</w:t>
      </w:r>
    </w:p>
    <w:p>
      <w:pPr>
        <w:spacing w:after="0" w:line="124" w:lineRule="exact"/>
        <w:rPr>
          <w:rFonts w:ascii="Arial" w:cs="Arial" w:eastAsia="Arial" w:hAnsi="Arial"/>
          <w:sz w:val="19"/>
          <w:szCs w:val="19"/>
          <w:color w:val="auto"/>
        </w:rPr>
      </w:pPr>
    </w:p>
    <w:p>
      <w:pPr>
        <w:ind w:left="920" w:hanging="458"/>
        <w:spacing w:after="0"/>
        <w:tabs>
          <w:tab w:leader="none" w:pos="920" w:val="left"/>
        </w:tabs>
        <w:numPr>
          <w:ilvl w:val="0"/>
          <w:numId w:val="42"/>
        </w:numPr>
        <w:rPr>
          <w:rFonts w:ascii="Arial" w:cs="Arial" w:eastAsia="Arial" w:hAnsi="Arial"/>
          <w:sz w:val="19"/>
          <w:szCs w:val="19"/>
          <w:color w:val="auto"/>
        </w:rPr>
      </w:pPr>
      <w:r>
        <w:rPr>
          <w:rFonts w:ascii="Times New Roman" w:cs="Times New Roman" w:eastAsia="Times New Roman" w:hAnsi="Times New Roman"/>
          <w:sz w:val="19"/>
          <w:szCs w:val="19"/>
          <w:color w:val="auto"/>
        </w:rPr>
        <w:t>our ability to offer the product for sale at competitive prices.</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If we obtain marketing approval for a product but such product does not achieve an adequate level of market acceptance, we may not generate or derive significant revenue from that product and our business, financial condition and results of operations may be adversely affected.</w:t>
      </w:r>
    </w:p>
    <w:p>
      <w:pPr>
        <w:sectPr>
          <w:pgSz w:w="12240" w:h="15840" w:orient="portrait"/>
          <w:cols w:equalWidth="0" w:num="1">
            <w:col w:w="10200"/>
          </w:cols>
          <w:pgMar w:left="1020" w:top="1317" w:right="102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58</w:t>
      </w:r>
    </w:p>
    <w:p>
      <w:pPr>
        <w:sectPr>
          <w:pgSz w:w="12240" w:h="15840" w:orient="portrait"/>
          <w:cols w:equalWidth="0" w:num="1">
            <w:col w:w="10200"/>
          </w:cols>
          <w:pgMar w:left="1020" w:top="1317" w:right="1020" w:bottom="574" w:gutter="0" w:footer="0" w:header="0"/>
          <w:type w:val="continuous"/>
        </w:sectPr>
      </w:pPr>
    </w:p>
    <w:bookmarkStart w:id="61" w:name="page62"/>
    <w:bookmarkEnd w:id="61"/>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Risks Related to Our Intellectual Property</w:t>
      </w:r>
    </w:p>
    <w:p>
      <w:pPr>
        <w:spacing w:after="0" w:line="192"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b w:val="1"/>
          <w:bCs w:val="1"/>
          <w:i w:val="1"/>
          <w:iCs w:val="1"/>
          <w:color w:val="auto"/>
        </w:rPr>
        <w:t>If we are unable to obtain and maintain patent protection for any product candidates we develop or for other proprietary technologies we may develop, or if the scope of the patent protection obtained is not sufficiently broad, our competitors could develop and commercialize product candidates and technology similar or identical to our product candidates and technology, and our ability to successfully commercialize any product candidates we may develop, and our technology may be adversely affected.</w:t>
      </w:r>
    </w:p>
    <w:p>
      <w:pPr>
        <w:jc w:val="both"/>
        <w:spacing w:after="0" w:line="243" w:lineRule="auto"/>
        <w:rPr>
          <w:sz w:val="20"/>
          <w:szCs w:val="20"/>
          <w:color w:val="auto"/>
        </w:rPr>
      </w:pPr>
      <w:r>
        <w:rPr>
          <w:rFonts w:ascii="Times New Roman" w:cs="Times New Roman" w:eastAsia="Times New Roman" w:hAnsi="Times New Roman"/>
          <w:sz w:val="19"/>
          <w:szCs w:val="19"/>
          <w:color w:val="auto"/>
        </w:rPr>
        <w:t>Our success depends in large part on our ability to obtain and maintain patent protection in the U.S. and other countries with respect to our product candidates, their respective components, formulations, combination therapies, methods used to manufacture them and methods of treatment and development that are important to our business. If we do not adequately protect our intellectual property rights, competitors may be able to erode or negate any competitive advantage we may have, which could harm our business and ability to achieve profitability. To protect our proprietary position, we file patent applications in the U.S. and abroad related to our product candidates that are important to our business; we also license and may in the future license or purchase additional patents and patent applications filed by others. If we are unable to secure or maintain patent protection with respect to our product candidates and any proprietary products and technology we develop, our business, financial condition, results of operations and prospects could be materially harmed.</w:t>
      </w:r>
    </w:p>
    <w:p>
      <w:pPr>
        <w:spacing w:after="0" w:line="19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We cannot provide any assurances that any of our patents have, or that any of our pending patent applications that mature into issued patents will include, claims with a scope sufficient to protect our current and future product candidates or otherwise provide any competitive advantage. Specifically, our patents and pending patent applications, if issued, may not provide us with any meaningful protection or prevent competitors from designing around our patent claims to circumvent our patents by developing similar or alternative technologies or therapeutics in a non-infringing manner. For example, a third party may develop a competitive therapy that provides benefits similar to one or more of our product candidates but that uses a different masking moiety that falls outside the scope of our patent protection. If the patent protection provided by the patents and patent applications we hold or have licensed with respect to our product candidates is not sufficiently broad to impede such competition, our ability to successfully commercialize our product candidates could be negatively affected, which would harm our business.</w:t>
      </w:r>
    </w:p>
    <w:p>
      <w:pPr>
        <w:spacing w:after="0" w:line="19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The degree of patent protection we require to successfully compete in the marketplace may be unavailable or severely limited in some cases and may not adequately protect our rights or permit us to gain or keep any competitive advantage. The U.S. Patent and Trademark Office, or the USPTO, and various foreign governmental patent agencies require compliance with a number of procedural, documentary, fee payment and other provisions during the patent process. Our or our licensor’s failure to comply with all such provisions during the patent process could result in abandonment or lapse of a patent or patent application that we own or license, resulting in partial or complete loss of patent rights in the relevant jurisdiction. In such an event, competitors might be able to enter the market and compete with us earlier than would otherwise have been the case. Moreover, the laws of foreign countries may not protect our rights to the same extent as the laws of the U.S. In addition, to the extent that we license intellectual property in the future, we cannot guarantee that those licenses will remain in force.</w:t>
      </w:r>
    </w:p>
    <w:p>
      <w:pPr>
        <w:spacing w:after="0" w:line="19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Patent positions of life sciences companies can be uncertain and involve complex factual and legal questions and have in recent years been the subject of much litigation. No consistent policy governing the scope of claims allowable in the field of engineered therapeutic proteins has emerged in the U.S. The scope of patent protection in jurisdictions outside of the U.S. is also uncertain. Changes in either the patent laws or their interpretation in any jurisdiction that we seek patent protection may diminish our ability to protect our inventions, maintain and enforce our intellectual property rights; and, more generally, may affect the value of our intellectual property, including the narrowing of the scope of our patents and any that we may license. Under the Leahy-Smith America Invents Act enacted in 2011, or the AIA, the U.S. moved to a first-to-file system in early 2013 (whereby, assuming the other requirements for patentability are met, the first to file a patent application is entitled to the patent), from the previous system under which the first to make a claimed invention was entitled to the patent. Publications of discoveries in the scientific and academic literature often lag behind the actual discoveries, and patent applications in the U.S. and other jurisdictions are typically not published until 18 months after filing, or in some cases not at all. Therefore, we cannot be certain that we were the first to file for patent protection on the inventions claimed in our patents or pending patent applications. Furthermore, for U.S. applications in which all claims are entitled to a priority date before March 16, 2013, an interference proceeding can be provoked by a third-party or instituted by the USPTO to determine who was the first to invent any of the subject matter covered by the patent claims of our applications. We cannot be certain that we are the first to invent the inventions covered by pending patent applications and, if we are not, we may be subject to priority disputes. We may be required to disclaim part or all of the term of certain patents or all of the term of certain patent applications.</w:t>
      </w:r>
    </w:p>
    <w:p>
      <w:pPr>
        <w:spacing w:after="0" w:line="18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The patent prosecution process is complex, expensive, time-consuming and inconsistent across jurisdictions. We may not be able to file, prosecute, maintain, enforce, or license all necessary or desirable patent rights at a commercially reasonable cost or in a timely manner. In addition, we may not pursue or obtain patent protection in all relevant markets. It is possible that we will fail to identify important patentable aspects of our research and development efforts in time to obtain appropriate or any patent protection. While we</w:t>
      </w:r>
    </w:p>
    <w:p>
      <w:pPr>
        <w:sectPr>
          <w:pgSz w:w="12240" w:h="15840" w:orient="portrait"/>
          <w:cols w:equalWidth="0" w:num="1">
            <w:col w:w="10200"/>
          </w:cols>
          <w:pgMar w:left="1020" w:top="1440" w:right="1020" w:bottom="574" w:gutter="0" w:footer="0" w:header="0"/>
        </w:sect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59</w:t>
      </w:r>
    </w:p>
    <w:p>
      <w:pPr>
        <w:sectPr>
          <w:pgSz w:w="12240" w:h="15840" w:orient="portrait"/>
          <w:cols w:equalWidth="0" w:num="1">
            <w:col w:w="10200"/>
          </w:cols>
          <w:pgMar w:left="1020" w:top="1440" w:right="1020" w:bottom="574" w:gutter="0" w:footer="0" w:header="0"/>
          <w:type w:val="continuous"/>
        </w:sectPr>
      </w:pPr>
    </w:p>
    <w:bookmarkStart w:id="62" w:name="page63"/>
    <w:bookmarkEnd w:id="62"/>
    <w:p>
      <w:pPr>
        <w:jc w:val="both"/>
        <w:spacing w:after="0" w:line="251" w:lineRule="auto"/>
        <w:rPr>
          <w:sz w:val="20"/>
          <w:szCs w:val="20"/>
          <w:color w:val="auto"/>
        </w:rPr>
      </w:pPr>
      <w:r>
        <w:rPr>
          <w:rFonts w:ascii="Times New Roman" w:cs="Times New Roman" w:eastAsia="Times New Roman" w:hAnsi="Times New Roman"/>
          <w:sz w:val="19"/>
          <w:szCs w:val="19"/>
          <w:color w:val="auto"/>
        </w:rPr>
        <w:t>enter into non-disclosure and confidentiality agreements with parties who have access to confidential or patentable aspects of our research and development efforts, including for example, our employees, external academic scientific collaborators, CROs, CDMOs, consultants, advisors and other third parties, any of these parties may breach the agreements and disclose our confidential or proprietary information before a patent application is filed, thereby endangering our ability to seek patent protection.</w:t>
      </w:r>
    </w:p>
    <w:p>
      <w:pPr>
        <w:spacing w:after="0" w:line="18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color w:val="auto"/>
        </w:rPr>
        <w:t>The issuance, scope, validity, enforceability, and commercial value of our patent rights are highly uncertain. Pending patent applications cannot be enforced against third parties unless, and until, patents issue from such applications, and then only to the extent the issued claims cover the technology. There can be no assurance that our patent applications or any patent applications that we may license in the future will result in patents being issued. Further, the scope of the invention claimed in a patent application can be significantly reduced before the patent is issued, and this scope can be reinterpreted after issuance. Even if patent applications we currently own or that we may license in the future issue as patents, they may not issue in a form that will provide us with adequate protection to prevent competitors or other third parties from competing with us, or otherwise provide us with a competitive advantage. Any patents that eventually issue may be challenged, narrowed or invalidated by third parties. Consequently, we do not know whether any of our product candidates will be protectable or remain protected by valid and enforceable patent rights. Our competitors or other third parties may be able to evade our patent rights by developing new products that are similar to our product candidates, biosimilars of our product candidates, or alternative technologies or products in a non-infringing manner.</w:t>
      </w:r>
    </w:p>
    <w:p>
      <w:pPr>
        <w:spacing w:after="0" w:line="19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 xml:space="preserve">The issuance or grant of a patent is not irrefutable as to its inventorship, scope, validity or enforceability, and our patents may be challenged in the courts or patent offices in the U.S. and abroad. There may be prior art of which we are not aware that may affect the validity or enforceability of a patent claim. There also may be prior art of which we are aware, but which we do not believe affects the validity or enforceability of a claim, which may, nonetheless, ultimately be found to affect the validity or enforceability of a claim. We may in the future, become subject to a third-party pre-issuance submission of prior art, pre- or post-issuance opposition, derivation, revocation, re-examination, post-grant and </w:t>
      </w:r>
      <w:r>
        <w:rPr>
          <w:rFonts w:ascii="Times New Roman" w:cs="Times New Roman" w:eastAsia="Times New Roman" w:hAnsi="Times New Roman"/>
          <w:sz w:val="19"/>
          <w:szCs w:val="19"/>
          <w:i w:val="1"/>
          <w:iCs w:val="1"/>
          <w:color w:val="auto"/>
        </w:rPr>
        <w:t>inter partes</w:t>
      </w:r>
      <w:r>
        <w:rPr>
          <w:rFonts w:ascii="Times New Roman" w:cs="Times New Roman" w:eastAsia="Times New Roman" w:hAnsi="Times New Roman"/>
          <w:sz w:val="19"/>
          <w:szCs w:val="19"/>
          <w:color w:val="auto"/>
        </w:rPr>
        <w:t xml:space="preserve"> review, or interference proceeding and other similar proceedings challenging our patent rights or the patent rights of others in the USPTO or other foreign patent office. An unfavorable determination in any such submission, proceeding or litigation could reduce the scope of, or invalidate, our patent rights, allow third parties to commercialize our technology or products and compete directly with us, without payment to us.</w:t>
      </w:r>
    </w:p>
    <w:p>
      <w:pPr>
        <w:spacing w:after="0" w:line="19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Furthermore, patents have a limited lifespan. In the U.S., the natural expiration of a patent is generally 20 years after it is filed. Various extensions may be available; however, the life of a patent, and the protection it affords, is limited. 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 Moreover, third parties may have certain ownership interest in some of our owned and in-licensed patents and patent applications.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or our licensors may need the cooperation of any such co-owners of our owned and in-licensed patents in order to enforce such patents against third parties, and such cooperation may not be provided to us or our licensors. Any of the foregoing could have a material adverse effect on our competitive position, business, financial conditions, results of operations and prospects.</w:t>
      </w:r>
    </w:p>
    <w:p>
      <w:pPr>
        <w:spacing w:after="0" w:line="162"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9"/>
          <w:szCs w:val="19"/>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Some of our patent applications have been granted or may be granted or allowed in the future. We cannot be certain that an allowed patent application will become an issued patent. There may be events that can cause the allowance of a patent application to be withdrawn. For example, after a patent application has been allowed, but prior to being issued, material that could be relevant to patentability may be identified. In such circumstances, the sponsor may pull the application from allowance in order for the USPTO to review the application in view of the new material. We cannot be certain that the USPTO will re-allow the application in view of the new material. Further, 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and following the issuance of a patent. Recently, the USPTO implemented new fee rules including Continuing Application Fee, which would increase our cost for obtaining and maintaining patent protection in the U.S. and potentially limit our ability of seeking additional patents in our existing patent families especially those early filed platform families that have been pending for close to or more than six years. We rely on our outside counsel and other professionals or our licensing partners to pay these fees due to the USPTO and non-U.S. government patent agencies and to help us comply with other procedural, documentary and other similar requirements and we are also dependent on our licensors to take the necessary action to comply with these requirements with respect to our licensed intellectual property. While an inadvertent lapse can in many cases be cured by payment of a late fee or by other means in accordance with the applicable rules, there are situations in which noncompliance can result in abandonment or lapse of the patent</w:t>
      </w:r>
    </w:p>
    <w:p>
      <w:pPr>
        <w:sectPr>
          <w:pgSz w:w="12240" w:h="15840" w:orient="portrait"/>
          <w:cols w:equalWidth="0" w:num="1">
            <w:col w:w="10200"/>
          </w:cols>
          <w:pgMar w:left="1020" w:top="1317" w:right="1020" w:bottom="574" w:gutter="0" w:footer="0" w:header="0"/>
        </w:sect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60</w:t>
      </w:r>
    </w:p>
    <w:p>
      <w:pPr>
        <w:sectPr>
          <w:pgSz w:w="12240" w:h="15840" w:orient="portrait"/>
          <w:cols w:equalWidth="0" w:num="1">
            <w:col w:w="10200"/>
          </w:cols>
          <w:pgMar w:left="1020" w:top="1317" w:right="1020" w:bottom="574" w:gutter="0" w:footer="0" w:header="0"/>
          <w:type w:val="continuous"/>
        </w:sectPr>
      </w:pPr>
    </w:p>
    <w:bookmarkStart w:id="63" w:name="page64"/>
    <w:bookmarkEnd w:id="63"/>
    <w:p>
      <w:pPr>
        <w:jc w:val="both"/>
        <w:spacing w:after="0" w:line="251" w:lineRule="auto"/>
        <w:rPr>
          <w:sz w:val="20"/>
          <w:szCs w:val="20"/>
          <w:color w:val="auto"/>
        </w:rPr>
      </w:pPr>
      <w:r>
        <w:rPr>
          <w:rFonts w:ascii="Times New Roman" w:cs="Times New Roman" w:eastAsia="Times New Roman" w:hAnsi="Times New Roman"/>
          <w:sz w:val="19"/>
          <w:szCs w:val="19"/>
          <w:color w:val="auto"/>
        </w:rPr>
        <w:t>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166" w:lineRule="exact"/>
        <w:rPr>
          <w:sz w:val="20"/>
          <w:szCs w:val="20"/>
          <w:color w:val="auto"/>
        </w:rPr>
      </w:pPr>
    </w:p>
    <w:p>
      <w:pPr>
        <w:spacing w:after="0" w:line="361" w:lineRule="auto"/>
        <w:rPr>
          <w:sz w:val="20"/>
          <w:szCs w:val="20"/>
          <w:color w:val="auto"/>
        </w:rPr>
      </w:pPr>
      <w:r>
        <w:rPr>
          <w:rFonts w:ascii="Times New Roman" w:cs="Times New Roman" w:eastAsia="Times New Roman" w:hAnsi="Times New Roman"/>
          <w:sz w:val="19"/>
          <w:szCs w:val="19"/>
          <w:b w:val="1"/>
          <w:bCs w:val="1"/>
          <w:i w:val="1"/>
          <w:iCs w:val="1"/>
          <w:color w:val="auto"/>
        </w:rPr>
        <w:t>Issued patents covering our product candidates or technology could be found invalid or unenforceable if challenged in court or the USPTO.</w:t>
      </w:r>
    </w:p>
    <w:p>
      <w:pPr>
        <w:spacing w:after="0" w:line="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 xml:space="preserve">Despite the measures we take to obtain and maintain patent and other intellectual property rights with respect to our product candidates, our intellectual property rights could be challenged or invalidated. If we or one of our licensors initiate legal proceedings against a third party to enforce a patent covering one of our product candidates or our technology, the defendant could counterclaim that the patent covering our product candidate or technology, as applicable, is invalid and/or unenforceable. In patent litigation in the U.S., defendant counterclaims alleging invalidity and/or unenforceability are commonplace, and there are numerous grounds upon which a third party can assert invalidity or unenforceability of a patent. Third parties may also raise similar claims before administrative bodies in the U.S. or abroad, even outside the context of litigation. Such mechanisms include re-examination, </w:t>
      </w:r>
      <w:r>
        <w:rPr>
          <w:rFonts w:ascii="Times New Roman" w:cs="Times New Roman" w:eastAsia="Times New Roman" w:hAnsi="Times New Roman"/>
          <w:sz w:val="19"/>
          <w:szCs w:val="19"/>
          <w:i w:val="1"/>
          <w:iCs w:val="1"/>
          <w:color w:val="auto"/>
        </w:rPr>
        <w:t>inter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partes </w:t>
      </w:r>
      <w:r>
        <w:rPr>
          <w:rFonts w:ascii="Times New Roman" w:cs="Times New Roman" w:eastAsia="Times New Roman" w:hAnsi="Times New Roman"/>
          <w:sz w:val="19"/>
          <w:szCs w:val="19"/>
          <w:color w:val="auto"/>
        </w:rPr>
        <w:t>review, post-grant review and equivalent proceedings in foreign jurisdictions (such as opposition proceedings). Such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proceedings could result in revocation or amendment to our patents in such a way that they no longer cover our product candidates or technology.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or technology. Such a loss of patent protection could have a material adverse impact on our business and our ability to commercialize or license our technology and product candidates.</w:t>
      </w:r>
    </w:p>
    <w:p>
      <w:pPr>
        <w:spacing w:after="0" w:line="179" w:lineRule="exact"/>
        <w:rPr>
          <w:sz w:val="20"/>
          <w:szCs w:val="20"/>
          <w:color w:val="auto"/>
        </w:rPr>
      </w:pPr>
    </w:p>
    <w:p>
      <w:pPr>
        <w:jc w:val="both"/>
        <w:spacing w:after="0" w:line="361" w:lineRule="auto"/>
        <w:rPr>
          <w:sz w:val="20"/>
          <w:szCs w:val="20"/>
          <w:color w:val="auto"/>
        </w:rPr>
      </w:pPr>
      <w:r>
        <w:rPr>
          <w:rFonts w:ascii="Times New Roman" w:cs="Times New Roman" w:eastAsia="Times New Roman" w:hAnsi="Times New Roman"/>
          <w:sz w:val="19"/>
          <w:szCs w:val="19"/>
          <w:b w:val="1"/>
          <w:bCs w:val="1"/>
          <w:i w:val="1"/>
          <w:iCs w:val="1"/>
          <w:color w:val="auto"/>
        </w:rPr>
        <w:t>Changes to patent law in the U.S. and in foreign jurisdictions could diminish the value of patents in general, thereby impairing our ability to protect our products.</w:t>
      </w:r>
    </w:p>
    <w:p>
      <w:pPr>
        <w:spacing w:after="0" w:line="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9"/>
          <w:szCs w:val="19"/>
          <w:color w:val="auto"/>
        </w:rPr>
        <w:t xml:space="preserve">As is the case with other biotechnology companies, our success is heavily dependent on intellectual property, particularly patents. Obtaining and enforcing patents in the biopharmaceutical industry involve both technological and legal complexity, and is therefore costly, time-consuming and inherently uncertain. In addition, the U.S. continues to adapt to wide-ranging patent reform legislation that became effective starting in 2012. Moreover, recent U.S. Supreme Court rulings have narrowed the scope of patent protection available in certain circumstances and weakened the rights of patent owners in certain situations. In addition to increasing uncertainty regarding our ability to obtain patents in the future, this combination of events has created uncertainty with respect to the value of patents, once obtained. Depending on new legislation and decisions by the federal courts, and the USPTO, the laws and regulations governing patents could change in unpredictable ways that would weaken our ability to obtain new patents or to enforce our existing patents and patents that we might obtain in the future. For example, the U.S. Supreme Court, in the case </w:t>
      </w:r>
      <w:r>
        <w:rPr>
          <w:rFonts w:ascii="Times New Roman" w:cs="Times New Roman" w:eastAsia="Times New Roman" w:hAnsi="Times New Roman"/>
          <w:sz w:val="19"/>
          <w:szCs w:val="19"/>
          <w:i w:val="1"/>
          <w:iCs w:val="1"/>
          <w:color w:val="auto"/>
        </w:rPr>
        <w:t>Amgen v. Sanofi</w:t>
      </w:r>
      <w:r>
        <w:rPr>
          <w:rFonts w:ascii="Times New Roman" w:cs="Times New Roman" w:eastAsia="Times New Roman" w:hAnsi="Times New Roman"/>
          <w:sz w:val="19"/>
          <w:szCs w:val="19"/>
          <w:color w:val="auto"/>
        </w:rPr>
        <w:t xml:space="preserve">, held that broad functional antibody claims are invalid for lack of enablement. In addition, in </w:t>
      </w:r>
      <w:r>
        <w:rPr>
          <w:rFonts w:ascii="Times New Roman" w:cs="Times New Roman" w:eastAsia="Times New Roman" w:hAnsi="Times New Roman"/>
          <w:sz w:val="19"/>
          <w:szCs w:val="19"/>
          <w:i w:val="1"/>
          <w:iCs w:val="1"/>
          <w:color w:val="auto"/>
        </w:rPr>
        <w:t>Juno v. Kite</w:t>
      </w:r>
      <w:r>
        <w:rPr>
          <w:rFonts w:ascii="Times New Roman" w:cs="Times New Roman" w:eastAsia="Times New Roman" w:hAnsi="Times New Roman"/>
          <w:sz w:val="19"/>
          <w:szCs w:val="19"/>
          <w:color w:val="auto"/>
        </w:rPr>
        <w:t xml:space="preserve">, the Federal Circuit held claims reciting broad antibody genus based on function invalid for lack of written description. Recently, the Federal Circuit issued precedential decisions in </w:t>
      </w:r>
      <w:r>
        <w:rPr>
          <w:rFonts w:ascii="Times New Roman" w:cs="Times New Roman" w:eastAsia="Times New Roman" w:hAnsi="Times New Roman"/>
          <w:sz w:val="19"/>
          <w:szCs w:val="19"/>
          <w:i w:val="1"/>
          <w:iCs w:val="1"/>
          <w:color w:val="auto"/>
        </w:rPr>
        <w:t>In re Cellect</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i w:val="1"/>
          <w:iCs w:val="1"/>
          <w:color w:val="auto"/>
        </w:rPr>
        <w:t>Allergan v. MSN</w:t>
      </w:r>
      <w:r>
        <w:rPr>
          <w:rFonts w:ascii="Times New Roman" w:cs="Times New Roman" w:eastAsia="Times New Roman" w:hAnsi="Times New Roman"/>
          <w:sz w:val="19"/>
          <w:szCs w:val="19"/>
          <w:color w:val="auto"/>
        </w:rPr>
        <w:t xml:space="preserve"> that could shorten or eliminate an extended patent term awarded under patent term adjustment in certain patent family members if challenged on the basis of obviousness-type double patenting. While we do not believe that any of the patents owned or licensed by us will be found invalid based on these decisions, we cannot predict how future decisions by the courts, Congress or the USPTO may impact the value of our patents. Similarly, changes in the patent laws of other jurisdictions could adversely affect our ability to obtain and effectively enforce our patent rights, which would have a material adverse effect on our business and financial condition.</w:t>
      </w:r>
    </w:p>
    <w:p>
      <w:pPr>
        <w:spacing w:after="0" w:line="190" w:lineRule="exact"/>
        <w:rPr>
          <w:sz w:val="20"/>
          <w:szCs w:val="20"/>
          <w:color w:val="auto"/>
        </w:rPr>
      </w:pPr>
    </w:p>
    <w:p>
      <w:pPr>
        <w:jc w:val="both"/>
        <w:spacing w:after="0" w:line="361" w:lineRule="auto"/>
        <w:rPr>
          <w:sz w:val="20"/>
          <w:szCs w:val="20"/>
          <w:color w:val="auto"/>
        </w:rPr>
      </w:pPr>
      <w:r>
        <w:rPr>
          <w:rFonts w:ascii="Times New Roman" w:cs="Times New Roman" w:eastAsia="Times New Roman" w:hAnsi="Times New Roman"/>
          <w:sz w:val="19"/>
          <w:szCs w:val="19"/>
          <w:b w:val="1"/>
          <w:bCs w:val="1"/>
          <w:i w:val="1"/>
          <w:iCs w:val="1"/>
          <w:color w:val="auto"/>
        </w:rPr>
        <w:t>We have limited foreign intellectual property rights and may not be able to protect our intellectual property rights throughout the world.</w:t>
      </w:r>
    </w:p>
    <w:p>
      <w:pPr>
        <w:spacing w:after="0" w:line="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have obtained allowed patents in the U.S. that we consider to be important for certain of our product candidates, however, we may have less robust intellectual property rights outside the U.S., and, in particular, we may not be able to pursue generic coverage of our product candidates outside of the U.S. Filing, prosecuting and defending patents on product candidates in all countries throughout the world would be prohibitively expensive, and our intellectual property rights in some countries outside the U.S. can be less extensive than those in the U.S.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U.S. These products may compete with our products and our patents or other intellectual property rights may not be</w:t>
      </w:r>
    </w:p>
    <w:p>
      <w:pPr>
        <w:sectPr>
          <w:pgSz w:w="12240" w:h="15840" w:orient="portrait"/>
          <w:cols w:equalWidth="0" w:num="1">
            <w:col w:w="10200"/>
          </w:cols>
          <w:pgMar w:left="1020" w:top="1317" w:right="1020" w:bottom="574"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61</w:t>
      </w:r>
    </w:p>
    <w:p>
      <w:pPr>
        <w:sectPr>
          <w:pgSz w:w="12240" w:h="15840" w:orient="portrait"/>
          <w:cols w:equalWidth="0" w:num="1">
            <w:col w:w="10200"/>
          </w:cols>
          <w:pgMar w:left="1020" w:top="1317" w:right="1020" w:bottom="574" w:gutter="0" w:footer="0" w:header="0"/>
          <w:type w:val="continuous"/>
        </w:sectPr>
      </w:pPr>
    </w:p>
    <w:bookmarkStart w:id="64" w:name="page65"/>
    <w:bookmarkEnd w:id="64"/>
    <w:p>
      <w:pPr>
        <w:jc w:val="both"/>
        <w:spacing w:after="0" w:line="275" w:lineRule="auto"/>
        <w:rPr>
          <w:sz w:val="20"/>
          <w:szCs w:val="20"/>
          <w:color w:val="auto"/>
        </w:rPr>
      </w:pPr>
      <w:r>
        <w:rPr>
          <w:rFonts w:ascii="Times New Roman" w:cs="Times New Roman" w:eastAsia="Times New Roman" w:hAnsi="Times New Roman"/>
          <w:sz w:val="19"/>
          <w:szCs w:val="19"/>
          <w:color w:val="auto"/>
        </w:rPr>
        <w:t>effective or sufficient to prevent them from competing. Most of our patent portfolio is at the very early stage. We will need to decide whether and in which jurisdictions to pursue protection for the various inventions in our portfolio prior to applicable deadlines.</w:t>
      </w:r>
    </w:p>
    <w:p>
      <w:pPr>
        <w:spacing w:after="0" w:line="16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9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9"/>
          <w:szCs w:val="19"/>
          <w:color w:val="auto"/>
        </w:rPr>
        <w:t>In addition, many countries have compulsory licensing laws under which a patent owner may be compelled to grant licenses to third parties. Many countries also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and financial condition may be adversely affected.</w:t>
      </w:r>
    </w:p>
    <w:p>
      <w:pPr>
        <w:spacing w:after="0" w:line="17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9"/>
          <w:szCs w:val="19"/>
          <w:b w:val="1"/>
          <w:bCs w:val="1"/>
          <w:i w:val="1"/>
          <w:iCs w:val="1"/>
          <w:color w:val="auto"/>
        </w:rPr>
        <w:t>We rely on in-license agreements for patent rights with respect to our product candidates and may in the future acquire or in-license additional third-party intellectual property rights on which we may similarly rely. We face risks with respect to such reliance, including the risk that we could lose these rights that are important to our business if we fail to comply with our obligations under these licenses or that we may be unable to acquire or in-license third-party intellectual property that may be necessary or important to our business operations.</w:t>
      </w:r>
    </w:p>
    <w:p>
      <w:pPr>
        <w:spacing w:after="0" w:line="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color w:val="auto"/>
        </w:rPr>
        <w:t>We rely on third-party license agreements pursuant to which we have non-exclusive and exclusive rights to technology that is incorporated into our development programs and product candidates. For example, under our license agreement with City of Hope, we have exclusively in-licensed certain patent rights that cover our anti-CTLA-4 antibody. We also have a license agreement with WuXi Biologics pursuant to which we received an exclusive worldwide license to specified mAbs and patent rights and know-how controlled by WuXi Biologics, including certain patent rights related to our anti-CTLA-4 mAb program. These license agreements impose diligence, milestone payment, royalty payment and other obligations on us.</w:t>
      </w:r>
    </w:p>
    <w:p>
      <w:pPr>
        <w:spacing w:after="0" w:line="18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color w:val="auto"/>
        </w:rPr>
        <w:t>Moreover, the growth of our business may depend in part on our ability to acquire, in-license or use additional third-party intellectual property rights. The licensing and acquisition of third-party intellectual property rights is a competitive area, and a number of more established companies are also pursuing strategies to license or acquire third-party intellectual property rights that we may consider attractive. These established companies may have a competitive advantage over us due to their size, cash resources and greater clinical development and commercialization capabilities. In addition, companies that perceive us to be a competitor may be unwilling to assign or license rights to us. Licenses to additional third-party intellectual property, technology, processes, and materials that may be required for the development and commercialization of our product candidates or technology may not be available at all or on commercially reasonable terms. In that event, we may be required to expend significant time and resources to redesign our product candidates or manufacturing processes, or to develop or license replacement technology, all of which may not be feasible on a technical or commercial basis. If we are unable to do so, we may be unable to develop or commercialize our future product candidates or technologies, which could materially harm our business, financial condition, results of operations and growth prospects.</w:t>
      </w:r>
    </w:p>
    <w:p>
      <w:pPr>
        <w:spacing w:after="0" w:line="19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9"/>
          <w:szCs w:val="19"/>
          <w:color w:val="auto"/>
        </w:rPr>
        <w:t>In addition, while we cannot currently determine the amount of the royalty obligations we would be required to pay on sales of future products, if any, in the event we do in-license third-party intellectual property rights, the amounts may be significant. The amount of our future royalty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spacing w:after="0" w:line="18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9"/>
          <w:szCs w:val="19"/>
          <w:color w:val="auto"/>
        </w:rPr>
        <w:t>Under our agreement with City of Hope, we are responsible for the achievement of certain diligence milestones, and our failure to timely achieve such milestones could result in City of Hope’s termination of the agreement or conversion of our exclusive licenses under the licensed patents to non-exclusive licenses. If City of Hope terminates the agreement or converts our licenses to non-exclusive licenses as a result of our failure to meet these diligence milestones, then our ability to commercialize products comprising our anti-CTLA-4 antibody may be impaired or we may face increased competition in the commercialization of anti-CTLA-4 antibody products. Furthermore, our agreement with City of Hope is subject to, and we expect our future license agreements may also be subject to, a reservation of rights by one or more third parties, including the licensor.</w:t>
      </w:r>
    </w:p>
    <w:p>
      <w:pPr>
        <w:sectPr>
          <w:pgSz w:w="12240" w:h="15840" w:orient="portrait"/>
          <w:cols w:equalWidth="0" w:num="1">
            <w:col w:w="10200"/>
          </w:cols>
          <w:pgMar w:left="1020" w:top="1317" w:right="1020" w:bottom="574" w:gutter="0" w:footer="0" w:header="0"/>
        </w:sect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62</w:t>
      </w:r>
    </w:p>
    <w:p>
      <w:pPr>
        <w:sectPr>
          <w:pgSz w:w="12240" w:h="15840" w:orient="portrait"/>
          <w:cols w:equalWidth="0" w:num="1">
            <w:col w:w="10200"/>
          </w:cols>
          <w:pgMar w:left="1020" w:top="1317" w:right="1020" w:bottom="574"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9"/>
          <w:szCs w:val="19"/>
          <w:color w:val="auto"/>
        </w:rPr>
        <w:t>Disputes may arise regarding intellectual property subject to our current or any future license agreements, including:</w:t>
      </w:r>
    </w:p>
    <w:p>
      <w:pPr>
        <w:spacing w:after="0" w:line="126" w:lineRule="exact"/>
        <w:rPr>
          <w:sz w:val="20"/>
          <w:szCs w:val="20"/>
          <w:color w:val="auto"/>
        </w:rPr>
      </w:pPr>
    </w:p>
    <w:p>
      <w:pPr>
        <w:ind w:left="920" w:hanging="458"/>
        <w:spacing w:after="0"/>
        <w:tabs>
          <w:tab w:leader="none" w:pos="920" w:val="left"/>
        </w:tabs>
        <w:numPr>
          <w:ilvl w:val="0"/>
          <w:numId w:val="43"/>
        </w:numPr>
        <w:rPr>
          <w:rFonts w:ascii="Arial" w:cs="Arial" w:eastAsia="Arial" w:hAnsi="Arial"/>
          <w:sz w:val="19"/>
          <w:szCs w:val="19"/>
          <w:color w:val="auto"/>
        </w:rPr>
      </w:pPr>
      <w:r>
        <w:rPr>
          <w:rFonts w:ascii="Times New Roman" w:cs="Times New Roman" w:eastAsia="Times New Roman" w:hAnsi="Times New Roman"/>
          <w:sz w:val="19"/>
          <w:szCs w:val="19"/>
          <w:color w:val="auto"/>
        </w:rPr>
        <w:t>the scope of rights granted under the license agreement and other interpretation-related issues;</w:t>
      </w:r>
    </w:p>
    <w:p>
      <w:pPr>
        <w:spacing w:after="0" w:line="124" w:lineRule="exact"/>
        <w:rPr>
          <w:rFonts w:ascii="Arial" w:cs="Arial" w:eastAsia="Arial" w:hAnsi="Arial"/>
          <w:sz w:val="19"/>
          <w:szCs w:val="19"/>
          <w:color w:val="auto"/>
        </w:rPr>
      </w:pPr>
    </w:p>
    <w:p>
      <w:pPr>
        <w:ind w:left="920" w:hanging="458"/>
        <w:spacing w:after="0"/>
        <w:tabs>
          <w:tab w:leader="none" w:pos="920" w:val="left"/>
        </w:tabs>
        <w:numPr>
          <w:ilvl w:val="0"/>
          <w:numId w:val="43"/>
        </w:numPr>
        <w:rPr>
          <w:rFonts w:ascii="Arial" w:cs="Arial" w:eastAsia="Arial" w:hAnsi="Arial"/>
          <w:sz w:val="19"/>
          <w:szCs w:val="19"/>
          <w:color w:val="auto"/>
        </w:rPr>
      </w:pPr>
      <w:r>
        <w:rPr>
          <w:rFonts w:ascii="Times New Roman" w:cs="Times New Roman" w:eastAsia="Times New Roman" w:hAnsi="Times New Roman"/>
          <w:sz w:val="19"/>
          <w:szCs w:val="19"/>
          <w:color w:val="auto"/>
        </w:rPr>
        <w:t>the amount and timing of payments owed under the license agreements;</w:t>
      </w:r>
    </w:p>
    <w:p>
      <w:pPr>
        <w:spacing w:after="0" w:line="124" w:lineRule="exact"/>
        <w:rPr>
          <w:rFonts w:ascii="Arial" w:cs="Arial" w:eastAsia="Arial" w:hAnsi="Arial"/>
          <w:sz w:val="19"/>
          <w:szCs w:val="19"/>
          <w:color w:val="auto"/>
        </w:rPr>
      </w:pPr>
    </w:p>
    <w:p>
      <w:pPr>
        <w:ind w:left="920" w:hanging="458"/>
        <w:spacing w:after="0"/>
        <w:tabs>
          <w:tab w:leader="none" w:pos="920" w:val="left"/>
        </w:tabs>
        <w:numPr>
          <w:ilvl w:val="0"/>
          <w:numId w:val="43"/>
        </w:numPr>
        <w:rPr>
          <w:rFonts w:ascii="Arial" w:cs="Arial" w:eastAsia="Arial" w:hAnsi="Arial"/>
          <w:sz w:val="19"/>
          <w:szCs w:val="19"/>
          <w:color w:val="auto"/>
        </w:rPr>
      </w:pPr>
      <w:r>
        <w:rPr>
          <w:rFonts w:ascii="Times New Roman" w:cs="Times New Roman" w:eastAsia="Times New Roman" w:hAnsi="Times New Roman"/>
          <w:sz w:val="19"/>
          <w:szCs w:val="19"/>
          <w:color w:val="auto"/>
        </w:rPr>
        <w:t>our or our licensor’s ability to defend intellectual property and to enforce intellectual property rights against third parties;</w:t>
      </w:r>
    </w:p>
    <w:p>
      <w:pPr>
        <w:spacing w:after="0" w:line="124"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43"/>
        </w:numPr>
        <w:rPr>
          <w:rFonts w:ascii="Arial" w:cs="Arial" w:eastAsia="Arial" w:hAnsi="Arial"/>
          <w:sz w:val="19"/>
          <w:szCs w:val="19"/>
          <w:color w:val="auto"/>
        </w:rPr>
      </w:pPr>
      <w:r>
        <w:rPr>
          <w:rFonts w:ascii="Times New Roman" w:cs="Times New Roman" w:eastAsia="Times New Roman" w:hAnsi="Times New Roman"/>
          <w:sz w:val="19"/>
          <w:szCs w:val="19"/>
          <w:color w:val="auto"/>
        </w:rPr>
        <w:t>the extent to which our technology, product candidates and processes infringe, misappropriate or otherwise violate any intellectual property of the licensor that is not subject to the licensing agreement;</w:t>
      </w:r>
    </w:p>
    <w:p>
      <w:pPr>
        <w:spacing w:after="0" w:line="61" w:lineRule="exact"/>
        <w:rPr>
          <w:rFonts w:ascii="Arial" w:cs="Arial" w:eastAsia="Arial" w:hAnsi="Arial"/>
          <w:sz w:val="19"/>
          <w:szCs w:val="19"/>
          <w:color w:val="auto"/>
        </w:rPr>
      </w:pPr>
    </w:p>
    <w:p>
      <w:pPr>
        <w:ind w:left="920" w:hanging="458"/>
        <w:spacing w:after="0"/>
        <w:tabs>
          <w:tab w:leader="none" w:pos="920" w:val="left"/>
        </w:tabs>
        <w:numPr>
          <w:ilvl w:val="0"/>
          <w:numId w:val="43"/>
        </w:numPr>
        <w:rPr>
          <w:rFonts w:ascii="Arial" w:cs="Arial" w:eastAsia="Arial" w:hAnsi="Arial"/>
          <w:sz w:val="19"/>
          <w:szCs w:val="19"/>
          <w:color w:val="auto"/>
        </w:rPr>
      </w:pPr>
      <w:r>
        <w:rPr>
          <w:rFonts w:ascii="Times New Roman" w:cs="Times New Roman" w:eastAsia="Times New Roman" w:hAnsi="Times New Roman"/>
          <w:sz w:val="19"/>
          <w:szCs w:val="19"/>
          <w:color w:val="auto"/>
        </w:rPr>
        <w:t>the sublicensing of patent and other rights under the license agreement;</w:t>
      </w:r>
    </w:p>
    <w:p>
      <w:pPr>
        <w:spacing w:after="0" w:line="124" w:lineRule="exact"/>
        <w:rPr>
          <w:rFonts w:ascii="Arial" w:cs="Arial" w:eastAsia="Arial" w:hAnsi="Arial"/>
          <w:sz w:val="19"/>
          <w:szCs w:val="19"/>
          <w:color w:val="auto"/>
        </w:rPr>
      </w:pPr>
    </w:p>
    <w:p>
      <w:pPr>
        <w:ind w:left="920" w:hanging="458"/>
        <w:spacing w:after="0"/>
        <w:tabs>
          <w:tab w:leader="none" w:pos="920" w:val="left"/>
        </w:tabs>
        <w:numPr>
          <w:ilvl w:val="0"/>
          <w:numId w:val="43"/>
        </w:numPr>
        <w:rPr>
          <w:rFonts w:ascii="Arial" w:cs="Arial" w:eastAsia="Arial" w:hAnsi="Arial"/>
          <w:sz w:val="19"/>
          <w:szCs w:val="19"/>
          <w:color w:val="auto"/>
        </w:rPr>
      </w:pPr>
      <w:r>
        <w:rPr>
          <w:rFonts w:ascii="Times New Roman" w:cs="Times New Roman" w:eastAsia="Times New Roman" w:hAnsi="Times New Roman"/>
          <w:sz w:val="19"/>
          <w:szCs w:val="19"/>
          <w:color w:val="auto"/>
        </w:rPr>
        <w:t>our diligence obligations under the license agreement and what activities satisfy those diligence obligations;</w:t>
      </w:r>
    </w:p>
    <w:p>
      <w:pPr>
        <w:spacing w:after="0" w:line="124"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43"/>
        </w:numPr>
        <w:rPr>
          <w:rFonts w:ascii="Arial" w:cs="Arial" w:eastAsia="Arial" w:hAnsi="Arial"/>
          <w:sz w:val="19"/>
          <w:szCs w:val="19"/>
          <w:color w:val="auto"/>
        </w:rPr>
      </w:pPr>
      <w:r>
        <w:rPr>
          <w:rFonts w:ascii="Times New Roman" w:cs="Times New Roman" w:eastAsia="Times New Roman" w:hAnsi="Times New Roman"/>
          <w:sz w:val="19"/>
          <w:szCs w:val="19"/>
          <w:color w:val="auto"/>
        </w:rPr>
        <w:t>the inventorship and ownership of inventions and know-how resulting from the joint creation or use of intellectual property by our licensors and us and any partners of ours; and</w:t>
      </w:r>
    </w:p>
    <w:p>
      <w:pPr>
        <w:spacing w:after="0" w:line="61" w:lineRule="exact"/>
        <w:rPr>
          <w:rFonts w:ascii="Arial" w:cs="Arial" w:eastAsia="Arial" w:hAnsi="Arial"/>
          <w:sz w:val="19"/>
          <w:szCs w:val="19"/>
          <w:color w:val="auto"/>
        </w:rPr>
      </w:pPr>
    </w:p>
    <w:p>
      <w:pPr>
        <w:ind w:left="920" w:hanging="458"/>
        <w:spacing w:after="0"/>
        <w:tabs>
          <w:tab w:leader="none" w:pos="920" w:val="left"/>
        </w:tabs>
        <w:numPr>
          <w:ilvl w:val="0"/>
          <w:numId w:val="43"/>
        </w:numPr>
        <w:rPr>
          <w:rFonts w:ascii="Arial" w:cs="Arial" w:eastAsia="Arial" w:hAnsi="Arial"/>
          <w:sz w:val="19"/>
          <w:szCs w:val="19"/>
          <w:color w:val="auto"/>
        </w:rPr>
      </w:pPr>
      <w:r>
        <w:rPr>
          <w:rFonts w:ascii="Times New Roman" w:cs="Times New Roman" w:eastAsia="Times New Roman" w:hAnsi="Times New Roman"/>
          <w:sz w:val="19"/>
          <w:szCs w:val="19"/>
          <w:color w:val="auto"/>
        </w:rPr>
        <w:t>the priority of invention of patented technology.</w:t>
      </w:r>
    </w:p>
    <w:p>
      <w:pPr>
        <w:spacing w:after="0" w:line="22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9"/>
          <w:szCs w:val="19"/>
          <w:color w:val="auto"/>
        </w:rPr>
        <w:t>If disputes over intellectual property that we have licensed prevent or impair our ability to maintain our licensing arrangements on acceptable terms, we may be unable to successfully develop and commercialize the affected product candidates. We are generally also subject to all of the same risks described in this Annual Report on Form 10-K with respect to protection of intellectual property that we license as we are for intellectual property that we own. If we or our licensors fail to adequately obtain or protect this intellectual property, our ability to commercialize products could suffer.</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color w:val="auto"/>
        </w:rPr>
        <w:t>Our current and any potential future licensors might conclude that we have materially breached our license agreements and might therefore terminate the relevant license agreements, thereby removing our ability to develop and commercialize products and technology covered by such license agreements. If any of our current or future inbound license agreements are terminated, or if the underlying patents fail to provide the intended exclusivity, competitors would have the freedom to seek regulatory approval of, and to market, products that are covered by such license agreements and underlying patents, which might be identical or similar to our products or product candidates. This could have a material adverse effect on our competitive position, business, financial conditions, results of operations and growth prospects. Our business also would suffer if any current or future licensors fail to abide by the terms of the license or fail to enforce licensed patents against infringing third parties, if the licensed patents or other rights are found to be invalid or unenforceable, or if we are unable to enter into necessary licenses on acceptable terms. Moreover, our licensors may own or control intellectual property that has not been licensed to us and, as a result, we may be subject to claims, regardless of their merit, that we are infringing or otherwise violating the licensor’s rights.</w:t>
      </w:r>
    </w:p>
    <w:p>
      <w:pPr>
        <w:spacing w:after="0" w:line="19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9"/>
          <w:szCs w:val="19"/>
          <w:color w:val="auto"/>
        </w:rPr>
        <w:t>Any licensor of ours may have relied on third-party consultants or collaborators or on funds from third parties, such as the United States government, such that such licensor is not the sole and exclusive owners of the patents we in-licensed. If other third parties have ownership rights or other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173" w:lineRule="exact"/>
        <w:rPr>
          <w:sz w:val="20"/>
          <w:szCs w:val="20"/>
          <w:color w:val="auto"/>
        </w:rPr>
      </w:pPr>
    </w:p>
    <w:p>
      <w:pPr>
        <w:jc w:val="both"/>
        <w:spacing w:after="0" w:line="361" w:lineRule="auto"/>
        <w:rPr>
          <w:sz w:val="20"/>
          <w:szCs w:val="20"/>
          <w:color w:val="auto"/>
        </w:rPr>
      </w:pPr>
      <w:r>
        <w:rPr>
          <w:rFonts w:ascii="Times New Roman" w:cs="Times New Roman" w:eastAsia="Times New Roman" w:hAnsi="Times New Roman"/>
          <w:sz w:val="19"/>
          <w:szCs w:val="19"/>
          <w:b w:val="1"/>
          <w:bCs w:val="1"/>
          <w:i w:val="1"/>
          <w:iCs w:val="1"/>
          <w:color w:val="auto"/>
        </w:rPr>
        <w:t>If our efforts to protect the proprietary nature of the intellectual property related to our technologies and product candidates are not adequate, we may not be able to compete effectively in our market.</w:t>
      </w:r>
    </w:p>
    <w:p>
      <w:pPr>
        <w:spacing w:after="0" w:line="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9"/>
          <w:szCs w:val="19"/>
          <w:color w:val="auto"/>
        </w:rPr>
        <w:t>Biotechnology and pharmaceutical companies generally, and we in particular, compete in a crowded competitive space characterized by rapidly evolving technologies and aggressive development of intellectual property.</w:t>
      </w:r>
    </w:p>
    <w:p>
      <w:pPr>
        <w:spacing w:after="0" w:line="16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color w:val="auto"/>
        </w:rPr>
        <w:t>We rely upon a combination of patents, confidentiality agreements, trade secret protection and license agreements to protect the intellectual property related to our technologies and our product candidates. Any disclosure to or misappropriation by third parties of our confidential proprietary information could enable competitors to quickly duplicate or surpass our technological achievements and product candidates, thus eroding our competitive position in our market. We, or any future partners, collaborators, or licensees, may fail to identify patentable aspects of inventions made in the course of development and commercialization activities before it is too late to obtain patent protection on them. Therefore, we may miss potential opportunities to strengthen our patent position.</w:t>
      </w:r>
    </w:p>
    <w:p>
      <w:pPr>
        <w:spacing w:after="0" w:line="18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9"/>
          <w:szCs w:val="19"/>
          <w:color w:val="auto"/>
        </w:rPr>
        <w:t>It is possible that defects of form in the preparation or filing of our patents or patent applications may exist, or may arise in the future, for example with respect to proper priority claims, inventorship, claim scope, or requests for patent term adjustments. If we or our partners, collaborators, licensees or licensors fail to establish, maintain or protect such patents and other intellectual property rights, such rights may be reduced or eliminated. If our partners, collaborators, licensees or licensors are not fully cooperative or disagree with us as to the prosecution, maintenance or enforcement of any patent rights, such patent rights could be compromised. If there are</w:t>
      </w:r>
    </w:p>
    <w:p>
      <w:pPr>
        <w:sectPr>
          <w:pgSz w:w="12240" w:h="15840" w:orient="portrait"/>
          <w:cols w:equalWidth="0" w:num="1">
            <w:col w:w="10200"/>
          </w:cols>
          <w:pgMar w:left="1020" w:top="1317" w:right="1020" w:bottom="574" w:gutter="0" w:footer="0" w:header="0"/>
        </w:sect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63</w:t>
      </w:r>
    </w:p>
    <w:p>
      <w:pPr>
        <w:sectPr>
          <w:pgSz w:w="12240" w:h="15840" w:orient="portrait"/>
          <w:cols w:equalWidth="0" w:num="1">
            <w:col w:w="10200"/>
          </w:cols>
          <w:pgMar w:left="1020" w:top="1317" w:right="1020" w:bottom="574" w:gutter="0" w:footer="0" w:header="0"/>
          <w:type w:val="continuous"/>
        </w:sectPr>
      </w:pPr>
    </w:p>
    <w:bookmarkStart w:id="66" w:name="page67"/>
    <w:bookmarkEnd w:id="66"/>
    <w:p>
      <w:pPr>
        <w:jc w:val="both"/>
        <w:spacing w:after="0" w:line="257" w:lineRule="auto"/>
        <w:rPr>
          <w:sz w:val="20"/>
          <w:szCs w:val="20"/>
          <w:color w:val="auto"/>
        </w:rPr>
      </w:pPr>
      <w:r>
        <w:rPr>
          <w:rFonts w:ascii="Times New Roman" w:cs="Times New Roman" w:eastAsia="Times New Roman" w:hAnsi="Times New Roman"/>
          <w:sz w:val="19"/>
          <w:szCs w:val="19"/>
          <w:color w:val="auto"/>
        </w:rPr>
        <w:t>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17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color w:val="auto"/>
        </w:rPr>
        <w:t xml:space="preserve">The strength of patents in the biotechnology and pharmaceutical field involves complex legal and scientific questions and can be uncertain. We cannot be certain that the claims in any of our issued patents will be considered valid by courts in the U.S. or foreign countries. Third parties may challenge the validity, enforceability or scope thereof. No assurance can be given that if challenged, our patents would be declared by a court to be valid or enforceable or that even if found valid and enforceable, a competitor’s technology or product would be found by a court to infringe our patents. Various post-grant review proceedings, such as </w:t>
      </w:r>
      <w:r>
        <w:rPr>
          <w:rFonts w:ascii="Times New Roman" w:cs="Times New Roman" w:eastAsia="Times New Roman" w:hAnsi="Times New Roman"/>
          <w:sz w:val="19"/>
          <w:szCs w:val="19"/>
          <w:i w:val="1"/>
          <w:iCs w:val="1"/>
          <w:color w:val="auto"/>
        </w:rPr>
        <w:t>inter partes</w:t>
      </w:r>
      <w:r>
        <w:rPr>
          <w:rFonts w:ascii="Times New Roman" w:cs="Times New Roman" w:eastAsia="Times New Roman" w:hAnsi="Times New Roman"/>
          <w:sz w:val="19"/>
          <w:szCs w:val="19"/>
          <w:color w:val="auto"/>
        </w:rPr>
        <w:t xml:space="preserve"> review, post-grant review and derivation proceedings, are available and may be pursued by any interested third party in the USPTO to challenge the patentability of claims issued in patents to us or our licensors. No assurance can be given as to the outcome of any such post-grant review proceedings. If the breadth or strength of protection provided by the patents and patent applications we hold with respect to our product candidates or technology is threatened, it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w:t>
      </w:r>
    </w:p>
    <w:p>
      <w:pPr>
        <w:spacing w:after="0" w:line="19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color w:val="auto"/>
        </w:rPr>
        <w:t>We may analyze patents or patent applications of our competitors that we believe are relevant to our activities, and consider that we are free to operate in relation to our product candidates, but our competitors may achieve issued claims, including in patents we consider to be unrelated, which block our efforts or may potentially result in our product candidates or our activities infringing such claims. On the other hand, the possibility exists that others will develop products which have the same effect as our products on an independent basis which do not infringe our patents or other intellectual property rights, or will design around the claims of patents that we have had issued that cover our products.</w:t>
      </w:r>
    </w:p>
    <w:p>
      <w:pPr>
        <w:spacing w:after="0" w:line="18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Recent or future patent reform legislation could increase the uncertainties and costs surrounding the prosecution of our patent applications and the enforcement or defense of our issued patents. For example, the AIA implemented in March 2013, moved the U.S. from a “first to invent”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The AIA includes a number of other significant changes to U.S. patent law, including provisions that affect the way patent applications are prosecuted, redefine prior art and establish a USPTO-administered post-grant review system that has affected patent litigation. The AIA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9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9"/>
          <w:szCs w:val="19"/>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61" w:lineRule="exact"/>
        <w:rPr>
          <w:sz w:val="20"/>
          <w:szCs w:val="20"/>
          <w:color w:val="auto"/>
        </w:rPr>
      </w:pPr>
    </w:p>
    <w:p>
      <w:pPr>
        <w:ind w:left="920" w:hanging="458"/>
        <w:spacing w:after="0" w:line="274" w:lineRule="auto"/>
        <w:tabs>
          <w:tab w:leader="none" w:pos="920" w:val="left"/>
        </w:tabs>
        <w:numPr>
          <w:ilvl w:val="0"/>
          <w:numId w:val="44"/>
        </w:numPr>
        <w:rPr>
          <w:rFonts w:ascii="Arial" w:cs="Arial" w:eastAsia="Arial" w:hAnsi="Arial"/>
          <w:sz w:val="19"/>
          <w:szCs w:val="19"/>
          <w:color w:val="auto"/>
        </w:rPr>
      </w:pPr>
      <w:r>
        <w:rPr>
          <w:rFonts w:ascii="Times New Roman" w:cs="Times New Roman" w:eastAsia="Times New Roman" w:hAnsi="Times New Roman"/>
          <w:sz w:val="19"/>
          <w:szCs w:val="19"/>
          <w:color w:val="auto"/>
        </w:rPr>
        <w:t>others may be able to make or use polypeptides or nucleic acids that are similar to our product candidates or components of our product candidates but that are not covered by the claims of our patents;</w:t>
      </w:r>
    </w:p>
    <w:p>
      <w:pPr>
        <w:spacing w:after="0" w:line="61"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44"/>
        </w:numPr>
        <w:rPr>
          <w:rFonts w:ascii="Arial" w:cs="Arial" w:eastAsia="Arial" w:hAnsi="Arial"/>
          <w:sz w:val="19"/>
          <w:szCs w:val="19"/>
          <w:color w:val="auto"/>
        </w:rPr>
      </w:pPr>
      <w:r>
        <w:rPr>
          <w:rFonts w:ascii="Times New Roman" w:cs="Times New Roman" w:eastAsia="Times New Roman" w:hAnsi="Times New Roman"/>
          <w:sz w:val="19"/>
          <w:szCs w:val="19"/>
          <w:color w:val="auto"/>
        </w:rPr>
        <w:t>the active biological ingredients in our current product candidates will eventually become commercially available in biosimilar drug products, and no patent protection may be available with regard to formulation or method of use;</w:t>
      </w:r>
    </w:p>
    <w:p>
      <w:pPr>
        <w:spacing w:after="0" w:line="61"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44"/>
        </w:numPr>
        <w:rPr>
          <w:rFonts w:ascii="Arial" w:cs="Arial" w:eastAsia="Arial" w:hAnsi="Arial"/>
          <w:sz w:val="19"/>
          <w:szCs w:val="19"/>
          <w:color w:val="auto"/>
        </w:rPr>
      </w:pPr>
      <w:r>
        <w:rPr>
          <w:rFonts w:ascii="Times New Roman" w:cs="Times New Roman" w:eastAsia="Times New Roman" w:hAnsi="Times New Roman"/>
          <w:sz w:val="19"/>
          <w:szCs w:val="19"/>
          <w:color w:val="auto"/>
        </w:rPr>
        <w:t>we or our licensors, as the case may be, may fail to meet our obligations to the U.S. government in regard to any patents and patent applications funded by U.S. government grants, leading to the loss of patent rights;</w:t>
      </w:r>
    </w:p>
    <w:p>
      <w:pPr>
        <w:spacing w:after="0" w:line="61" w:lineRule="exact"/>
        <w:rPr>
          <w:rFonts w:ascii="Arial" w:cs="Arial" w:eastAsia="Arial" w:hAnsi="Arial"/>
          <w:sz w:val="19"/>
          <w:szCs w:val="19"/>
          <w:color w:val="auto"/>
        </w:rPr>
      </w:pPr>
    </w:p>
    <w:p>
      <w:pPr>
        <w:ind w:left="920" w:hanging="458"/>
        <w:spacing w:after="0"/>
        <w:tabs>
          <w:tab w:leader="none" w:pos="920" w:val="left"/>
        </w:tabs>
        <w:numPr>
          <w:ilvl w:val="0"/>
          <w:numId w:val="44"/>
        </w:numPr>
        <w:rPr>
          <w:rFonts w:ascii="Arial" w:cs="Arial" w:eastAsia="Arial" w:hAnsi="Arial"/>
          <w:sz w:val="19"/>
          <w:szCs w:val="19"/>
          <w:color w:val="auto"/>
        </w:rPr>
      </w:pPr>
      <w:r>
        <w:rPr>
          <w:rFonts w:ascii="Times New Roman" w:cs="Times New Roman" w:eastAsia="Times New Roman" w:hAnsi="Times New Roman"/>
          <w:sz w:val="19"/>
          <w:szCs w:val="19"/>
          <w:color w:val="auto"/>
        </w:rPr>
        <w:t>we or our licensors, as the case may be, might not have been the first to file patent applications for these inventions;</w:t>
      </w:r>
    </w:p>
    <w:p>
      <w:pPr>
        <w:spacing w:after="0" w:line="124" w:lineRule="exact"/>
        <w:rPr>
          <w:rFonts w:ascii="Arial" w:cs="Arial" w:eastAsia="Arial" w:hAnsi="Arial"/>
          <w:sz w:val="19"/>
          <w:szCs w:val="19"/>
          <w:color w:val="auto"/>
        </w:rPr>
      </w:pPr>
    </w:p>
    <w:p>
      <w:pPr>
        <w:ind w:left="920" w:hanging="458"/>
        <w:spacing w:after="0"/>
        <w:tabs>
          <w:tab w:leader="none" w:pos="920" w:val="left"/>
        </w:tabs>
        <w:numPr>
          <w:ilvl w:val="0"/>
          <w:numId w:val="44"/>
        </w:numPr>
        <w:rPr>
          <w:rFonts w:ascii="Arial" w:cs="Arial" w:eastAsia="Arial" w:hAnsi="Arial"/>
          <w:sz w:val="19"/>
          <w:szCs w:val="19"/>
          <w:color w:val="auto"/>
        </w:rPr>
      </w:pPr>
      <w:r>
        <w:rPr>
          <w:rFonts w:ascii="Times New Roman" w:cs="Times New Roman" w:eastAsia="Times New Roman" w:hAnsi="Times New Roman"/>
          <w:sz w:val="19"/>
          <w:szCs w:val="19"/>
          <w:color w:val="auto"/>
        </w:rPr>
        <w:t>others may independently develop similar or alternative technologies or duplicate any of our technologies;</w:t>
      </w:r>
    </w:p>
    <w:p>
      <w:pPr>
        <w:spacing w:after="0" w:line="124" w:lineRule="exact"/>
        <w:rPr>
          <w:rFonts w:ascii="Arial" w:cs="Arial" w:eastAsia="Arial" w:hAnsi="Arial"/>
          <w:sz w:val="19"/>
          <w:szCs w:val="19"/>
          <w:color w:val="auto"/>
        </w:rPr>
      </w:pPr>
    </w:p>
    <w:p>
      <w:pPr>
        <w:ind w:left="920" w:hanging="458"/>
        <w:spacing w:after="0"/>
        <w:tabs>
          <w:tab w:leader="none" w:pos="920" w:val="left"/>
        </w:tabs>
        <w:numPr>
          <w:ilvl w:val="0"/>
          <w:numId w:val="44"/>
        </w:numPr>
        <w:rPr>
          <w:rFonts w:ascii="Arial" w:cs="Arial" w:eastAsia="Arial" w:hAnsi="Arial"/>
          <w:sz w:val="19"/>
          <w:szCs w:val="19"/>
          <w:color w:val="auto"/>
        </w:rPr>
      </w:pPr>
      <w:r>
        <w:rPr>
          <w:rFonts w:ascii="Times New Roman" w:cs="Times New Roman" w:eastAsia="Times New Roman" w:hAnsi="Times New Roman"/>
          <w:sz w:val="19"/>
          <w:szCs w:val="19"/>
          <w:color w:val="auto"/>
        </w:rPr>
        <w:t>it is possible that our pending patent applications will not result in issued patents;</w:t>
      </w:r>
    </w:p>
    <w:p>
      <w:pPr>
        <w:spacing w:after="0" w:line="124"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44"/>
        </w:numPr>
        <w:rPr>
          <w:rFonts w:ascii="Arial" w:cs="Arial" w:eastAsia="Arial" w:hAnsi="Arial"/>
          <w:sz w:val="19"/>
          <w:szCs w:val="19"/>
          <w:color w:val="auto"/>
        </w:rPr>
      </w:pPr>
      <w:r>
        <w:rPr>
          <w:rFonts w:ascii="Times New Roman" w:cs="Times New Roman" w:eastAsia="Times New Roman" w:hAnsi="Times New Roman"/>
          <w:sz w:val="19"/>
          <w:szCs w:val="19"/>
          <w:color w:val="auto"/>
        </w:rPr>
        <w:t>it is possible that there are prior public disclosures that could invalidate our or our licensors’ patents, as the case may be, or parts of our or their patents;</w:t>
      </w:r>
    </w:p>
    <w:p>
      <w:pPr>
        <w:spacing w:after="0" w:line="61" w:lineRule="exact"/>
        <w:rPr>
          <w:rFonts w:ascii="Arial" w:cs="Arial" w:eastAsia="Arial" w:hAnsi="Arial"/>
          <w:sz w:val="19"/>
          <w:szCs w:val="19"/>
          <w:color w:val="auto"/>
        </w:rPr>
      </w:pPr>
    </w:p>
    <w:p>
      <w:pPr>
        <w:ind w:left="920" w:hanging="458"/>
        <w:spacing w:after="0"/>
        <w:tabs>
          <w:tab w:leader="none" w:pos="920" w:val="left"/>
        </w:tabs>
        <w:numPr>
          <w:ilvl w:val="0"/>
          <w:numId w:val="44"/>
        </w:numPr>
        <w:rPr>
          <w:rFonts w:ascii="Arial" w:cs="Arial" w:eastAsia="Arial" w:hAnsi="Arial"/>
          <w:sz w:val="19"/>
          <w:szCs w:val="19"/>
          <w:color w:val="auto"/>
        </w:rPr>
      </w:pPr>
      <w:r>
        <w:rPr>
          <w:rFonts w:ascii="Times New Roman" w:cs="Times New Roman" w:eastAsia="Times New Roman" w:hAnsi="Times New Roman"/>
          <w:sz w:val="19"/>
          <w:szCs w:val="19"/>
          <w:color w:val="auto"/>
        </w:rPr>
        <w:t>it is possible that others may circumvent our owned or in-licensed patents;</w:t>
      </w:r>
    </w:p>
    <w:p>
      <w:pPr>
        <w:spacing w:after="0" w:line="124"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44"/>
        </w:numPr>
        <w:rPr>
          <w:rFonts w:ascii="Arial" w:cs="Arial" w:eastAsia="Arial" w:hAnsi="Arial"/>
          <w:sz w:val="19"/>
          <w:szCs w:val="19"/>
          <w:color w:val="auto"/>
        </w:rPr>
      </w:pPr>
      <w:r>
        <w:rPr>
          <w:rFonts w:ascii="Times New Roman" w:cs="Times New Roman" w:eastAsia="Times New Roman" w:hAnsi="Times New Roman"/>
          <w:sz w:val="19"/>
          <w:szCs w:val="19"/>
          <w:color w:val="auto"/>
        </w:rPr>
        <w:t>it is possible that there are unpublished applications or patent applications maintained in secrecy that may later issue with claims covering our products or technology similar to ours;</w:t>
      </w:r>
    </w:p>
    <w:p>
      <w:pPr>
        <w:spacing w:after="0" w:line="61"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44"/>
        </w:numPr>
        <w:rPr>
          <w:rFonts w:ascii="Arial" w:cs="Arial" w:eastAsia="Arial" w:hAnsi="Arial"/>
          <w:sz w:val="19"/>
          <w:szCs w:val="19"/>
          <w:color w:val="auto"/>
        </w:rPr>
      </w:pPr>
      <w:r>
        <w:rPr>
          <w:rFonts w:ascii="Times New Roman" w:cs="Times New Roman" w:eastAsia="Times New Roman" w:hAnsi="Times New Roman"/>
          <w:sz w:val="19"/>
          <w:szCs w:val="19"/>
          <w:color w:val="auto"/>
        </w:rPr>
        <w:t>the laws of foreign countries may not protect our or our licensors’, as the case may be, proprietary rights to the same extent as the laws of the U.S.;</w:t>
      </w:r>
    </w:p>
    <w:p>
      <w:pPr>
        <w:sectPr>
          <w:pgSz w:w="12240" w:h="15840" w:orient="portrait"/>
          <w:cols w:equalWidth="0" w:num="1">
            <w:col w:w="10200"/>
          </w:cols>
          <w:pgMar w:left="1020" w:top="1317" w:right="102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64</w:t>
      </w:r>
    </w:p>
    <w:p>
      <w:pPr>
        <w:sectPr>
          <w:pgSz w:w="12240" w:h="15840" w:orient="portrait"/>
          <w:cols w:equalWidth="0" w:num="1">
            <w:col w:w="10200"/>
          </w:cols>
          <w:pgMar w:left="1020" w:top="1317" w:right="1020" w:bottom="574" w:gutter="0" w:footer="0" w:header="0"/>
          <w:type w:val="continuous"/>
        </w:sectPr>
      </w:pPr>
    </w:p>
    <w:bookmarkStart w:id="67" w:name="page68"/>
    <w:bookmarkEnd w:id="67"/>
    <w:p>
      <w:pPr>
        <w:ind w:left="920" w:hanging="458"/>
        <w:spacing w:after="0" w:line="274" w:lineRule="auto"/>
        <w:tabs>
          <w:tab w:leader="none" w:pos="920" w:val="left"/>
        </w:tabs>
        <w:numPr>
          <w:ilvl w:val="0"/>
          <w:numId w:val="45"/>
        </w:numPr>
        <w:rPr>
          <w:rFonts w:ascii="Arial" w:cs="Arial" w:eastAsia="Arial" w:hAnsi="Arial"/>
          <w:sz w:val="19"/>
          <w:szCs w:val="19"/>
          <w:color w:val="auto"/>
        </w:rPr>
      </w:pPr>
      <w:r>
        <w:rPr>
          <w:rFonts w:ascii="Times New Roman" w:cs="Times New Roman" w:eastAsia="Times New Roman" w:hAnsi="Times New Roman"/>
          <w:sz w:val="19"/>
          <w:szCs w:val="19"/>
          <w:color w:val="auto"/>
        </w:rPr>
        <w:t>the claims of our owned or in-licensed issued patents or patent applications, if and when issued, may not cover our product candidates or technology;</w:t>
      </w:r>
    </w:p>
    <w:p>
      <w:pPr>
        <w:spacing w:after="0" w:line="61"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45"/>
        </w:numPr>
        <w:rPr>
          <w:rFonts w:ascii="Arial" w:cs="Arial" w:eastAsia="Arial" w:hAnsi="Arial"/>
          <w:sz w:val="19"/>
          <w:szCs w:val="19"/>
          <w:color w:val="auto"/>
        </w:rPr>
      </w:pPr>
      <w:r>
        <w:rPr>
          <w:rFonts w:ascii="Times New Roman" w:cs="Times New Roman" w:eastAsia="Times New Roman" w:hAnsi="Times New Roman"/>
          <w:sz w:val="19"/>
          <w:szCs w:val="19"/>
          <w:color w:val="auto"/>
        </w:rPr>
        <w:t>our owned or in-licensed issued patents may not provide us with any competitive advantages, may be narrowed in scope, or be held invalid or unenforceable as a result of legal challenges by third parties;</w:t>
      </w:r>
    </w:p>
    <w:p>
      <w:pPr>
        <w:spacing w:after="0" w:line="61" w:lineRule="exact"/>
        <w:rPr>
          <w:rFonts w:ascii="Arial" w:cs="Arial" w:eastAsia="Arial" w:hAnsi="Arial"/>
          <w:sz w:val="19"/>
          <w:szCs w:val="19"/>
          <w:color w:val="auto"/>
        </w:rPr>
      </w:pPr>
    </w:p>
    <w:p>
      <w:pPr>
        <w:jc w:val="both"/>
        <w:ind w:left="920" w:hanging="458"/>
        <w:spacing w:after="0" w:line="256" w:lineRule="auto"/>
        <w:tabs>
          <w:tab w:leader="none" w:pos="920" w:val="left"/>
        </w:tabs>
        <w:numPr>
          <w:ilvl w:val="0"/>
          <w:numId w:val="45"/>
        </w:numPr>
        <w:rPr>
          <w:rFonts w:ascii="Arial" w:cs="Arial" w:eastAsia="Arial" w:hAnsi="Arial"/>
          <w:sz w:val="19"/>
          <w:szCs w:val="19"/>
          <w:color w:val="auto"/>
        </w:rPr>
      </w:pPr>
      <w:r>
        <w:rPr>
          <w:rFonts w:ascii="Times New Roman" w:cs="Times New Roman" w:eastAsia="Times New Roman" w:hAnsi="Times New Roman"/>
          <w:sz w:val="19"/>
          <w:szCs w:val="19"/>
          <w:color w:val="auto"/>
        </w:rPr>
        <w:t>the inventors of our owned or in-licensed patents or patent applications may become involved with competitors, develop products or processes which design around our patents, or become hostile to us or the patents or patent applications on which they are named as inventors;</w:t>
      </w:r>
    </w:p>
    <w:p>
      <w:pPr>
        <w:spacing w:after="0" w:line="78" w:lineRule="exact"/>
        <w:rPr>
          <w:rFonts w:ascii="Arial" w:cs="Arial" w:eastAsia="Arial" w:hAnsi="Arial"/>
          <w:sz w:val="19"/>
          <w:szCs w:val="19"/>
          <w:color w:val="auto"/>
        </w:rPr>
      </w:pPr>
    </w:p>
    <w:p>
      <w:pPr>
        <w:jc w:val="both"/>
        <w:ind w:left="920" w:hanging="458"/>
        <w:spacing w:after="0" w:line="256" w:lineRule="auto"/>
        <w:tabs>
          <w:tab w:leader="none" w:pos="920" w:val="left"/>
        </w:tabs>
        <w:numPr>
          <w:ilvl w:val="0"/>
          <w:numId w:val="45"/>
        </w:numPr>
        <w:rPr>
          <w:rFonts w:ascii="Arial" w:cs="Arial" w:eastAsia="Arial" w:hAnsi="Arial"/>
          <w:sz w:val="19"/>
          <w:szCs w:val="19"/>
          <w:color w:val="auto"/>
        </w:rPr>
      </w:pPr>
      <w:r>
        <w:rPr>
          <w:rFonts w:ascii="Times New Roman" w:cs="Times New Roman" w:eastAsia="Times New Roman" w:hAnsi="Times New Roman"/>
          <w:sz w:val="19"/>
          <w:szCs w:val="19"/>
          <w:color w:val="auto"/>
        </w:rPr>
        <w:t>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w:t>
      </w:r>
    </w:p>
    <w:p>
      <w:pPr>
        <w:spacing w:after="0" w:line="78"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45"/>
        </w:numPr>
        <w:rPr>
          <w:rFonts w:ascii="Arial" w:cs="Arial" w:eastAsia="Arial" w:hAnsi="Arial"/>
          <w:sz w:val="19"/>
          <w:szCs w:val="19"/>
          <w:color w:val="auto"/>
        </w:rPr>
      </w:pPr>
      <w:r>
        <w:rPr>
          <w:rFonts w:ascii="Times New Roman" w:cs="Times New Roman" w:eastAsia="Times New Roman" w:hAnsi="Times New Roman"/>
          <w:sz w:val="19"/>
          <w:szCs w:val="19"/>
          <w:color w:val="auto"/>
        </w:rPr>
        <w:t>we have engaged in scientific collaborations in the past and will continue to do so in the future, and such collaborators may develop adjacent or competing products to ours that are outside the scope of our patents;</w:t>
      </w:r>
    </w:p>
    <w:p>
      <w:pPr>
        <w:spacing w:after="0" w:line="61" w:lineRule="exact"/>
        <w:rPr>
          <w:rFonts w:ascii="Arial" w:cs="Arial" w:eastAsia="Arial" w:hAnsi="Arial"/>
          <w:sz w:val="19"/>
          <w:szCs w:val="19"/>
          <w:color w:val="auto"/>
        </w:rPr>
      </w:pPr>
    </w:p>
    <w:p>
      <w:pPr>
        <w:ind w:left="920" w:hanging="458"/>
        <w:spacing w:after="0"/>
        <w:tabs>
          <w:tab w:leader="none" w:pos="920" w:val="left"/>
        </w:tabs>
        <w:numPr>
          <w:ilvl w:val="0"/>
          <w:numId w:val="45"/>
        </w:numPr>
        <w:rPr>
          <w:rFonts w:ascii="Arial" w:cs="Arial" w:eastAsia="Arial" w:hAnsi="Arial"/>
          <w:sz w:val="19"/>
          <w:szCs w:val="19"/>
          <w:color w:val="auto"/>
        </w:rPr>
      </w:pPr>
      <w:r>
        <w:rPr>
          <w:rFonts w:ascii="Times New Roman" w:cs="Times New Roman" w:eastAsia="Times New Roman" w:hAnsi="Times New Roman"/>
          <w:sz w:val="19"/>
          <w:szCs w:val="19"/>
          <w:color w:val="auto"/>
        </w:rPr>
        <w:t>we may not develop additional proprietary technologies for which we can obtain patent protection;</w:t>
      </w:r>
    </w:p>
    <w:p>
      <w:pPr>
        <w:spacing w:after="0" w:line="124"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45"/>
        </w:numPr>
        <w:rPr>
          <w:rFonts w:ascii="Arial" w:cs="Arial" w:eastAsia="Arial" w:hAnsi="Arial"/>
          <w:sz w:val="19"/>
          <w:szCs w:val="19"/>
          <w:color w:val="auto"/>
        </w:rPr>
      </w:pPr>
      <w:r>
        <w:rPr>
          <w:rFonts w:ascii="Times New Roman" w:cs="Times New Roman" w:eastAsia="Times New Roman" w:hAnsi="Times New Roman"/>
          <w:sz w:val="19"/>
          <w:szCs w:val="19"/>
          <w:color w:val="auto"/>
        </w:rPr>
        <w:t>it is possible that product candidates or technology we develop may be covered by third parties’ patents or other exclusive rights; or</w:t>
      </w:r>
    </w:p>
    <w:p>
      <w:pPr>
        <w:spacing w:after="0" w:line="61" w:lineRule="exact"/>
        <w:rPr>
          <w:rFonts w:ascii="Arial" w:cs="Arial" w:eastAsia="Arial" w:hAnsi="Arial"/>
          <w:sz w:val="19"/>
          <w:szCs w:val="19"/>
          <w:color w:val="auto"/>
        </w:rPr>
      </w:pPr>
    </w:p>
    <w:p>
      <w:pPr>
        <w:ind w:left="920" w:hanging="458"/>
        <w:spacing w:after="0"/>
        <w:tabs>
          <w:tab w:leader="none" w:pos="920" w:val="left"/>
        </w:tabs>
        <w:numPr>
          <w:ilvl w:val="0"/>
          <w:numId w:val="45"/>
        </w:numPr>
        <w:rPr>
          <w:rFonts w:ascii="Arial" w:cs="Arial" w:eastAsia="Arial" w:hAnsi="Arial"/>
          <w:sz w:val="19"/>
          <w:szCs w:val="19"/>
          <w:color w:val="auto"/>
        </w:rPr>
      </w:pPr>
      <w:r>
        <w:rPr>
          <w:rFonts w:ascii="Times New Roman" w:cs="Times New Roman" w:eastAsia="Times New Roman" w:hAnsi="Times New Roman"/>
          <w:sz w:val="19"/>
          <w:szCs w:val="19"/>
          <w:color w:val="auto"/>
        </w:rPr>
        <w:t>the patents of others may have an adverse effect on our business.</w:t>
      </w:r>
    </w:p>
    <w:p>
      <w:pPr>
        <w:spacing w:after="0" w:line="209" w:lineRule="exact"/>
        <w:rPr>
          <w:sz w:val="20"/>
          <w:szCs w:val="20"/>
          <w:color w:val="auto"/>
        </w:rPr>
      </w:pPr>
    </w:p>
    <w:p>
      <w:pPr>
        <w:jc w:val="both"/>
        <w:spacing w:after="0" w:line="361" w:lineRule="auto"/>
        <w:rPr>
          <w:sz w:val="20"/>
          <w:szCs w:val="20"/>
          <w:color w:val="auto"/>
        </w:rPr>
      </w:pPr>
      <w:r>
        <w:rPr>
          <w:rFonts w:ascii="Times New Roman" w:cs="Times New Roman" w:eastAsia="Times New Roman" w:hAnsi="Times New Roman"/>
          <w:sz w:val="19"/>
          <w:szCs w:val="19"/>
          <w:b w:val="1"/>
          <w:bCs w:val="1"/>
          <w:i w:val="1"/>
          <w:iCs w:val="1"/>
          <w:color w:val="auto"/>
        </w:rPr>
        <w:t>Our proprietary position depends upon patents that are manufacturing, formulation or method-of-use patents, which may not prevent a competitor or other third party from designing around or using the same product candidate for another use.</w:t>
      </w:r>
    </w:p>
    <w:p>
      <w:pPr>
        <w:spacing w:after="0" w:line="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Composition of matter patents for biological and pharmaceutical products are generally considered to be the strongest form of intellectual property protection for those types of products, as such patents provide protection without regard to any method of making or method of use. We cannot be certain, however, that the claims in our pending patent applications, including those claims covering the composition of matter of our product candidates, will be considered patentable by the USPTO or by patent offices in foreign countries, or that the claims in any of our patents that have issued or may issue will be considered valid and enforceable by courts in the U.S. or foreign countries. Furthermore, in some cases, we may not be able to obtain issued claims covering compositions of matter relating to our product candidates, and instead may need to rely on secondary intellectual property, including patents or patent applications with claims covering formulations, methods of use and/or methods of manufacture. Method of use patents protect a specified method of using a product, such as a method of treating a particular medical indication. This type of patent may only be enforced against a competitor through indirect infringement, i.e., inducement or contributory infringement, which is more difficult to prove than direct infringement. A competitor may be able to circumvent this type of patent by skinny labeling. Furthermore, this type of patent does not prevent a competitor from making and marketing a product that is identical to our product for an indication that is outside the scope of the patented method. Moreover, even if competitors do not actively promote their products for our targeted indications, physicians may prescribe these products “off-label” for those uses that are covered by our method of use patents. Although off-label prescriptions may infringe or contribute to the infringement of method of use patents, the practice is common and such infringement is difficult to prevent by enforcing patent rights or otherwise.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If we are unable to protect the confidentiality of our trade secrets, our business and competitive position would be harmed.</w:t>
      </w:r>
    </w:p>
    <w:p>
      <w:pPr>
        <w:spacing w:after="0" w:line="22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In addition to the protection afforded by patents, we seek to rely on trade secret protection, confidentiality agreements, and license and other agreements to protect proprietary know-how that is not patentable, processes for which patents are difficult to enforce and any other elements of our product discovery and development processes that involve proprietary know-how, information, or technology that is not covered by patents. For example, significant elements of our product candidates, including aspects of sample preparation, methods of manufacturing, cell culturing conditions and related processes are based on unpatented trade secrets that are not publicly disclosed.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addition, we take other appropriate precautions, such as physical and technological security measures, to guard against misappropriation of our proprietary technology by third parties. We have also adopted policies and conduct training that provides guidance on our expectations, and our advice for best practices, in protecting our trade secrets. However, we cannot provide assurance that these agreements and policies will not be breached by our employees, consultants, outside scientific collaborators, sponsored researchers and other advisors and that our trade</w:t>
      </w:r>
    </w:p>
    <w:p>
      <w:pPr>
        <w:sectPr>
          <w:pgSz w:w="12240" w:h="15840" w:orient="portrait"/>
          <w:cols w:equalWidth="0" w:num="1">
            <w:col w:w="10200"/>
          </w:cols>
          <w:pgMar w:left="1020" w:top="1330" w:right="1020" w:bottom="574" w:gutter="0" w:footer="0" w:header="0"/>
        </w:sect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65</w:t>
      </w:r>
    </w:p>
    <w:p>
      <w:pPr>
        <w:sectPr>
          <w:pgSz w:w="12240" w:h="15840" w:orient="portrait"/>
          <w:cols w:equalWidth="0" w:num="1">
            <w:col w:w="10200"/>
          </w:cols>
          <w:pgMar w:left="1020" w:top="1330" w:right="1020" w:bottom="574" w:gutter="0" w:footer="0" w:header="0"/>
          <w:type w:val="continuous"/>
        </w:sectPr>
      </w:pPr>
    </w:p>
    <w:bookmarkStart w:id="68" w:name="page69"/>
    <w:bookmarkEnd w:id="68"/>
    <w:p>
      <w:pPr>
        <w:jc w:val="both"/>
        <w:spacing w:after="0" w:line="257" w:lineRule="auto"/>
        <w:rPr>
          <w:sz w:val="20"/>
          <w:szCs w:val="20"/>
          <w:color w:val="auto"/>
        </w:rPr>
      </w:pPr>
      <w:r>
        <w:rPr>
          <w:rFonts w:ascii="Times New Roman" w:cs="Times New Roman" w:eastAsia="Times New Roman" w:hAnsi="Times New Roman"/>
          <w:sz w:val="19"/>
          <w:szCs w:val="19"/>
          <w:color w:val="auto"/>
        </w:rPr>
        <w:t>secrets and other proprietary and confidential information will not be disclosed to publicly or to competitors. We cannot be certain that competitors will not otherwise gain access to our trade secrets or independently develop substantially equivalent information and techniques.</w:t>
      </w:r>
    </w:p>
    <w:p>
      <w:pPr>
        <w:spacing w:after="0" w:line="17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9"/>
          <w:szCs w:val="19"/>
          <w:color w:val="auto"/>
        </w:rPr>
        <w:t>Furthermore, the laws of some foreign countries do not protect proprietary rights to the same extent or in the same manner as the laws of the U.S. As a result, we may encounter significant problems in protecting and defending our trade secrets and other confidential proprietary know-how, information, or technology both in the U.S. and abroad. If we are unable to prevent unauthorized material disclosure of our trade secrets and other confidential information to third parties, we will not be able to establish or maintain a competitive advantage in our market, which could materially adversely affect our business, operating results and financial condition.</w:t>
      </w:r>
    </w:p>
    <w:p>
      <w:pPr>
        <w:spacing w:after="0" w:line="18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9"/>
          <w:szCs w:val="19"/>
          <w:color w:val="auto"/>
        </w:rPr>
        <w:t>If we choose to go to court to stop a third party from using any of our trade secrets, we may incur substantial costs. These lawsuits may consume our time and other resources even if we are successful.</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Third-party claims of intellectual property infringement or violations may prevent or delay our discovery and development efforts.</w:t>
      </w:r>
    </w:p>
    <w:p>
      <w:pPr>
        <w:spacing w:after="0" w:line="22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Our commercial success depends in part on our avoiding infringement of the patents and violation of other proprietary rights of third parties. There is a substantial amount of litigation involving patents and other intellectual property rights in the biotechnology and pharmaceutical industries, as well as administrative proceedings for challenging patents, including interference, reexamination, and post-grant review proceedings before the USPTO or oppositions and other comparable proceedings in foreign jurisdictions. We may be exposed to, or threatened with, future litigation or other adversarial proceedings by third parties having patent or other intellectual property rights alleging that our product candidates and/or proprietary technologies infringe their intellectual property rights. Numerous U.S. and foreign issued patents and pending patent applications, which are owned by third parties, exist in the fields in which we are developing our product candidates. As the biotechnology and pharmaceutical industries expand and more patents are issued, the risk increases that our product candidates may give rise to claims of infringement of the patent rights of others. Moreover, it is not always clear to industry participants, including us, which patents may ultimately issue because many patent filings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If a third party claims that we infringe its intellectual property rights, we may face a number of issues, including, but not limited to:</w:t>
      </w:r>
    </w:p>
    <w:p>
      <w:pPr>
        <w:spacing w:after="0" w:line="126" w:lineRule="exact"/>
        <w:rPr>
          <w:sz w:val="20"/>
          <w:szCs w:val="20"/>
          <w:color w:val="auto"/>
        </w:rPr>
      </w:pPr>
    </w:p>
    <w:p>
      <w:pPr>
        <w:ind w:left="920" w:hanging="458"/>
        <w:spacing w:after="0" w:line="274" w:lineRule="auto"/>
        <w:tabs>
          <w:tab w:leader="none" w:pos="920" w:val="left"/>
        </w:tabs>
        <w:numPr>
          <w:ilvl w:val="0"/>
          <w:numId w:val="46"/>
        </w:numPr>
        <w:rPr>
          <w:rFonts w:ascii="Arial" w:cs="Arial" w:eastAsia="Arial" w:hAnsi="Arial"/>
          <w:sz w:val="19"/>
          <w:szCs w:val="19"/>
          <w:color w:val="auto"/>
        </w:rPr>
      </w:pPr>
      <w:r>
        <w:rPr>
          <w:rFonts w:ascii="Times New Roman" w:cs="Times New Roman" w:eastAsia="Times New Roman" w:hAnsi="Times New Roman"/>
          <w:sz w:val="19"/>
          <w:szCs w:val="19"/>
          <w:color w:val="auto"/>
        </w:rPr>
        <w:t>infringement and other intellectual property claims, which, regardless of merit, may be expensive and time-consuming to litigate and may divert our management’s attention from our core business;</w:t>
      </w:r>
    </w:p>
    <w:p>
      <w:pPr>
        <w:spacing w:after="0" w:line="61" w:lineRule="exact"/>
        <w:rPr>
          <w:rFonts w:ascii="Arial" w:cs="Arial" w:eastAsia="Arial" w:hAnsi="Arial"/>
          <w:sz w:val="19"/>
          <w:szCs w:val="19"/>
          <w:color w:val="auto"/>
        </w:rPr>
      </w:pPr>
    </w:p>
    <w:p>
      <w:pPr>
        <w:jc w:val="both"/>
        <w:ind w:left="920" w:hanging="458"/>
        <w:spacing w:after="0" w:line="256" w:lineRule="auto"/>
        <w:tabs>
          <w:tab w:leader="none" w:pos="920" w:val="left"/>
        </w:tabs>
        <w:numPr>
          <w:ilvl w:val="0"/>
          <w:numId w:val="46"/>
        </w:numPr>
        <w:rPr>
          <w:rFonts w:ascii="Arial" w:cs="Arial" w:eastAsia="Arial" w:hAnsi="Arial"/>
          <w:sz w:val="19"/>
          <w:szCs w:val="19"/>
          <w:color w:val="auto"/>
        </w:rPr>
      </w:pPr>
      <w:r>
        <w:rPr>
          <w:rFonts w:ascii="Times New Roman" w:cs="Times New Roman" w:eastAsia="Times New Roman" w:hAnsi="Times New Roman"/>
          <w:sz w:val="19"/>
          <w:szCs w:val="19"/>
          <w:color w:val="auto"/>
        </w:rPr>
        <w:t>substantial damages for infringement, which we may have to pay if a court decides that the product candidate or technology at issue infringes on or violates the third party’s rights, and, if the court finds that the infringement was willful, we could be ordered to pay treble damages and the patent owner’s attorneys’ fees;</w:t>
      </w:r>
    </w:p>
    <w:p>
      <w:pPr>
        <w:spacing w:after="0" w:line="78" w:lineRule="exact"/>
        <w:rPr>
          <w:rFonts w:ascii="Arial" w:cs="Arial" w:eastAsia="Arial" w:hAnsi="Arial"/>
          <w:sz w:val="19"/>
          <w:szCs w:val="19"/>
          <w:color w:val="auto"/>
        </w:rPr>
      </w:pPr>
    </w:p>
    <w:p>
      <w:pPr>
        <w:ind w:left="920" w:hanging="457"/>
        <w:spacing w:after="0" w:line="274" w:lineRule="auto"/>
        <w:tabs>
          <w:tab w:leader="none" w:pos="920" w:val="left"/>
        </w:tabs>
        <w:numPr>
          <w:ilvl w:val="0"/>
          <w:numId w:val="46"/>
        </w:numPr>
        <w:rPr>
          <w:rFonts w:ascii="Arial" w:cs="Arial" w:eastAsia="Arial" w:hAnsi="Arial"/>
          <w:sz w:val="19"/>
          <w:szCs w:val="19"/>
          <w:color w:val="auto"/>
        </w:rPr>
      </w:pPr>
      <w:r>
        <w:rPr>
          <w:rFonts w:ascii="Times New Roman" w:cs="Times New Roman" w:eastAsia="Times New Roman" w:hAnsi="Times New Roman"/>
          <w:sz w:val="19"/>
          <w:szCs w:val="19"/>
          <w:color w:val="auto"/>
        </w:rPr>
        <w:t>a court prohibiting us from developing, manufacturing, marketing or selling our product candidates, or from using our proprietary technologies, unless the third party licenses its product rights to us, which it is not required to do;</w:t>
      </w:r>
    </w:p>
    <w:p>
      <w:pPr>
        <w:spacing w:after="0" w:line="61" w:lineRule="exact"/>
        <w:rPr>
          <w:rFonts w:ascii="Arial" w:cs="Arial" w:eastAsia="Arial" w:hAnsi="Arial"/>
          <w:sz w:val="19"/>
          <w:szCs w:val="19"/>
          <w:color w:val="auto"/>
        </w:rPr>
      </w:pPr>
    </w:p>
    <w:p>
      <w:pPr>
        <w:ind w:left="920" w:hanging="457"/>
        <w:spacing w:after="0" w:line="274" w:lineRule="auto"/>
        <w:tabs>
          <w:tab w:leader="none" w:pos="920" w:val="left"/>
        </w:tabs>
        <w:numPr>
          <w:ilvl w:val="0"/>
          <w:numId w:val="46"/>
        </w:numPr>
        <w:rPr>
          <w:rFonts w:ascii="Arial" w:cs="Arial" w:eastAsia="Arial" w:hAnsi="Arial"/>
          <w:sz w:val="19"/>
          <w:szCs w:val="19"/>
          <w:color w:val="auto"/>
        </w:rPr>
      </w:pPr>
      <w:r>
        <w:rPr>
          <w:rFonts w:ascii="Times New Roman" w:cs="Times New Roman" w:eastAsia="Times New Roman" w:hAnsi="Times New Roman"/>
          <w:sz w:val="19"/>
          <w:szCs w:val="19"/>
          <w:color w:val="auto"/>
        </w:rPr>
        <w:t>if a license is available from a third party, we may have to pay substantial royalties, upfront fees and other amounts and/or grant cross-licenses to intellectual property rights for our products; and</w:t>
      </w:r>
    </w:p>
    <w:p>
      <w:pPr>
        <w:spacing w:after="0" w:line="61" w:lineRule="exact"/>
        <w:rPr>
          <w:rFonts w:ascii="Arial" w:cs="Arial" w:eastAsia="Arial" w:hAnsi="Arial"/>
          <w:sz w:val="19"/>
          <w:szCs w:val="19"/>
          <w:color w:val="auto"/>
        </w:rPr>
      </w:pPr>
    </w:p>
    <w:p>
      <w:pPr>
        <w:ind w:left="920" w:hanging="457"/>
        <w:spacing w:after="0" w:line="274" w:lineRule="auto"/>
        <w:tabs>
          <w:tab w:leader="none" w:pos="920" w:val="left"/>
        </w:tabs>
        <w:numPr>
          <w:ilvl w:val="0"/>
          <w:numId w:val="46"/>
        </w:numPr>
        <w:rPr>
          <w:rFonts w:ascii="Arial" w:cs="Arial" w:eastAsia="Arial" w:hAnsi="Arial"/>
          <w:sz w:val="19"/>
          <w:szCs w:val="19"/>
          <w:color w:val="auto"/>
        </w:rPr>
      </w:pPr>
      <w:r>
        <w:rPr>
          <w:rFonts w:ascii="Times New Roman" w:cs="Times New Roman" w:eastAsia="Times New Roman" w:hAnsi="Times New Roman"/>
          <w:sz w:val="19"/>
          <w:szCs w:val="19"/>
          <w:color w:val="auto"/>
        </w:rPr>
        <w:t>redesigning our product candidates or processes so they do not infringe third-party intellectual property rights, which may not be possible or may require substantial monetary expenditures and time.</w:t>
      </w:r>
    </w:p>
    <w:p>
      <w:pPr>
        <w:spacing w:after="0" w:line="16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w:t>
      </w:r>
    </w:p>
    <w:p>
      <w:pPr>
        <w:spacing w:after="0" w:line="18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Third parties may assert that we are employing their proprietary technology without authorization. Generally, conducting preclinical and clinical trials and other development activities in the U.S. is not considered an act of infringement. If any of our product candidates is approved by the FDA, a third party may then seek to enforce its patent by filing a patent infringement lawsuit against us. While we do not believe that any claims that could otherwise have a materially adverse effect on the commercialization of our product candidates are valid and enforceable, we may be incorrect in this belief, or we may not be able to prove it in litigation. In this regard, patents issued in the U.S. by law enjoy a presumption of validity that can be rebutted only with evidence that is “clear and convincing,” a heightened standard of proof. There may be issued third-party patents of which we are currently unaware with claims to compositions, formulations, methods of manufacture or methods for treatment related to the use or manufacture of our product candidates. Patent applications can take many years to issue.</w:t>
      </w:r>
    </w:p>
    <w:p>
      <w:pPr>
        <w:sectPr>
          <w:pgSz w:w="12240" w:h="15840" w:orient="portrait"/>
          <w:cols w:equalWidth="0" w:num="1">
            <w:col w:w="10200"/>
          </w:cols>
          <w:pgMar w:left="1020" w:top="1317" w:right="1020" w:bottom="574" w:gutter="0" w:footer="0" w:header="0"/>
        </w:sect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66</w:t>
      </w:r>
    </w:p>
    <w:p>
      <w:pPr>
        <w:sectPr>
          <w:pgSz w:w="12240" w:h="15840" w:orient="portrait"/>
          <w:cols w:equalWidth="0" w:num="1">
            <w:col w:w="10200"/>
          </w:cols>
          <w:pgMar w:left="1020" w:top="1317" w:right="1020" w:bottom="574" w:gutter="0" w:footer="0" w:header="0"/>
          <w:type w:val="continuous"/>
        </w:sectPr>
      </w:pPr>
    </w:p>
    <w:bookmarkStart w:id="69" w:name="page70"/>
    <w:bookmarkEnd w:id="69"/>
    <w:p>
      <w:pPr>
        <w:jc w:val="both"/>
        <w:spacing w:after="0"/>
        <w:rPr>
          <w:sz w:val="20"/>
          <w:szCs w:val="20"/>
          <w:color w:val="auto"/>
        </w:rPr>
      </w:pPr>
      <w:r>
        <w:rPr>
          <w:rFonts w:ascii="Times New Roman" w:cs="Times New Roman" w:eastAsia="Times New Roman" w:hAnsi="Times New Roman"/>
          <w:sz w:val="19"/>
          <w:szCs w:val="19"/>
          <w:color w:val="auto"/>
        </w:rPr>
        <w:t>We cannot guarantee that any of our patent searches or analyses, including the identification of relevant patents or patent applications, the scope of pending or issued patent claims, or the expiration of relevant patents are complete, nor can we be certain that we have identified each and every third-party patent and pending application in the U.S. and abroad that is relevant to or necessary to commercialization of our product candidates in any jurisdiction. There may be currently pending patent applications which may later result in issued patents that our product candidates may infringe. In addition, third parties may obtain patents in the future and claim that use of our technologies infringes upon these patents. Moreover, we may fail to identify relevant third-party patents or incorrectly interpret the relevance, scope, or expiration of a third-party patent or incorrectly conclude that a patent is invalid, not enforceable, exhausted, or not infringed by our activities. If any third-party patents were held by a court of competent jurisdiction to cover the manufacturing process of our product candidates, constructs or molecules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methods of use, including combination therapy or patient selection methods,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20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color w:val="auto"/>
        </w:rPr>
        <w:t>Parties making claims against us may seek and obtain injunctive or other equitable relief, which could effectively block our ability to further develop and commercialize our product candidates. Defense of these claims, regardless of their merit, could involve substantial litigation expense and would be a substantial diversion of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on commercially reasonable terms or at all. Furthermore, even in the absence of litigation, we may need or may choose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w:t>
      </w:r>
    </w:p>
    <w:p>
      <w:pPr>
        <w:spacing w:after="0" w:line="180" w:lineRule="exact"/>
        <w:rPr>
          <w:sz w:val="20"/>
          <w:szCs w:val="20"/>
          <w:color w:val="auto"/>
        </w:rPr>
      </w:pPr>
    </w:p>
    <w:p>
      <w:pPr>
        <w:jc w:val="both"/>
        <w:spacing w:after="0" w:line="361" w:lineRule="auto"/>
        <w:rPr>
          <w:sz w:val="20"/>
          <w:szCs w:val="20"/>
          <w:color w:val="auto"/>
        </w:rPr>
      </w:pPr>
      <w:r>
        <w:rPr>
          <w:rFonts w:ascii="Times New Roman" w:cs="Times New Roman" w:eastAsia="Times New Roman" w:hAnsi="Times New Roman"/>
          <w:sz w:val="19"/>
          <w:szCs w:val="19"/>
          <w:b w:val="1"/>
          <w:bCs w:val="1"/>
          <w:i w:val="1"/>
          <w:iCs w:val="1"/>
          <w:color w:val="auto"/>
        </w:rPr>
        <w:t>We may not be successful in obtaining or maintaining necessary rights to product components and processes for our development pipeline through acquisitions and in-licenses.</w:t>
      </w:r>
    </w:p>
    <w:p>
      <w:pPr>
        <w:spacing w:after="0" w:line="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Currently, we have certain intellectual property rights under patents and patent applications that we own or have rights to under our inbound license agreements related to our product candidates. Our development of additional product candidates may require the use of proprietary rights held by third parties, and the growth of our business will likely depend in part on our ability to acquire, in-license or use these proprietary rights.</w:t>
      </w:r>
    </w:p>
    <w:p>
      <w:pPr>
        <w:spacing w:after="0" w:line="18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color w:val="auto"/>
        </w:rPr>
        <w:t>Our product candidates may also require specific formulations to work effectively and efficiently, and rights to such formulation technology may be held by others. Similarly, efficient production or delivery of our product candidates may also require specific compositions or methods, and the rights to these may be owned by third parties. Moreover, the specific components, such as linkers and antibody fragments, that will be used with our product candidates may be covered by the intellectual property rights of others. We may be unable to acquire or in-license any compositions, methods of use, formulations, processes or other third-party 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w:t>
      </w:r>
    </w:p>
    <w:p>
      <w:pPr>
        <w:spacing w:after="0" w:line="19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9"/>
          <w:szCs w:val="19"/>
          <w:color w:val="auto"/>
        </w:rPr>
        <w:t>Additionally, we may collaborate with or sponsor research at academic institutions to accelerate our preclinical research or development under written agreements with these institutions. In certain cases, these institutions may provide us with an option to negotiate a license to any of the institution’s rights in technology resulting from the collaboration or sponsorship.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w:t>
      </w:r>
    </w:p>
    <w:p>
      <w:pPr>
        <w:sectPr>
          <w:pgSz w:w="12240" w:h="15840" w:orient="portrait"/>
          <w:cols w:equalWidth="0" w:num="1">
            <w:col w:w="10200"/>
          </w:cols>
          <w:pgMar w:left="1020" w:top="1317" w:right="1020" w:bottom="574" w:gutter="0" w:footer="0" w:header="0"/>
        </w:sect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67</w:t>
      </w:r>
    </w:p>
    <w:p>
      <w:pPr>
        <w:sectPr>
          <w:pgSz w:w="12240" w:h="15840" w:orient="portrait"/>
          <w:cols w:equalWidth="0" w:num="1">
            <w:col w:w="10200"/>
          </w:cols>
          <w:pgMar w:left="1020" w:top="1317" w:right="1020" w:bottom="574" w:gutter="0" w:footer="0" w:header="0"/>
          <w:type w:val="continuous"/>
        </w:sectPr>
      </w:pPr>
    </w:p>
    <w:bookmarkStart w:id="70" w:name="page71"/>
    <w:bookmarkEnd w:id="70"/>
    <w:p>
      <w:pPr>
        <w:jc w:val="both"/>
        <w:spacing w:after="0" w:line="257" w:lineRule="auto"/>
        <w:rPr>
          <w:sz w:val="20"/>
          <w:szCs w:val="20"/>
          <w:color w:val="auto"/>
        </w:rPr>
      </w:pPr>
      <w:r>
        <w:rPr>
          <w:rFonts w:ascii="Times New Roman" w:cs="Times New Roman" w:eastAsia="Times New Roman" w:hAnsi="Times New Roman"/>
          <w:sz w:val="19"/>
          <w:szCs w:val="19"/>
          <w:color w:val="auto"/>
        </w:rPr>
        <w:t>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17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9"/>
          <w:szCs w:val="19"/>
          <w:color w:val="auto"/>
        </w:rPr>
        <w:t>The licensing and acquisition of third-party intellectual property rights is a competitive area, and companies, which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w:t>
      </w:r>
    </w:p>
    <w:p>
      <w:pPr>
        <w:spacing w:after="0" w:line="173" w:lineRule="exact"/>
        <w:rPr>
          <w:sz w:val="20"/>
          <w:szCs w:val="20"/>
          <w:color w:val="auto"/>
        </w:rPr>
      </w:pPr>
    </w:p>
    <w:p>
      <w:pPr>
        <w:jc w:val="both"/>
        <w:spacing w:after="0" w:line="361" w:lineRule="auto"/>
        <w:rPr>
          <w:sz w:val="20"/>
          <w:szCs w:val="20"/>
          <w:color w:val="auto"/>
        </w:rPr>
      </w:pPr>
      <w:r>
        <w:rPr>
          <w:rFonts w:ascii="Times New Roman" w:cs="Times New Roman" w:eastAsia="Times New Roman" w:hAnsi="Times New Roman"/>
          <w:sz w:val="19"/>
          <w:szCs w:val="19"/>
          <w:b w:val="1"/>
          <w:bCs w:val="1"/>
          <w:i w:val="1"/>
          <w:iCs w:val="1"/>
          <w:color w:val="auto"/>
        </w:rPr>
        <w:t>We may be involved in lawsuits to protect or enforce our patents or the patents of our licensors, which could be expensive, time-consuming and unsuccessful.</w:t>
      </w:r>
    </w:p>
    <w:p>
      <w:pPr>
        <w:spacing w:after="0" w:line="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color w:val="auto"/>
        </w:rPr>
        <w:t>Competitors may infringe our patents or the patents of our licensors. To counter infringement or unauthorized use, we may be required to file lawsuits with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w:t>
      </w:r>
    </w:p>
    <w:p>
      <w:pPr>
        <w:spacing w:after="0" w:line="19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Third parties may initiate post-grant proceedings and the Patent Trial and Appeal Board of the USPTO may institute such proceedings to determine the validity or priority of inventions with respect to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or at all. Litigation or post-grant proceedings may result in a decision adverse to our interests and, even if we are successful, may result in substantial costs and distract our management and other employees. We may not be able to prevent, alone or with our licensors, infringement of our patents or misappropriation of our trade secrets or confidential information, particularly in countries where the laws may not protect those rights as fully as in the United States.</w:t>
      </w:r>
    </w:p>
    <w:p>
      <w:pPr>
        <w:spacing w:after="0" w:line="19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We may be subject to claims challenging the inventorship or ownership of our patents and other intellectual property.</w:t>
      </w:r>
    </w:p>
    <w:p>
      <w:pPr>
        <w:spacing w:after="0" w:line="22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9"/>
          <w:szCs w:val="19"/>
          <w:color w:val="auto"/>
        </w:rPr>
        <w:t>We generally enter into confidentiality and intellectual property assignment agreements with our employees, consultants, and contractors. These agreements generally provide that inventions conceived by the party in the course of rendering services to us will be our exclusive property. However, those agreements may not be honored and may not effectively assign intellectual property rights to us. Moreover, there may be some circumstances, where we are unable to negotiate for such ownership rights. Disputes regarding ownership or inventorship of intellectual property can also arise in other contexts, such as collaborations and sponsored research. If we are subject to a dispute challenging our rights in or to patents or other intellectual property, such a dispute could be expensive and time consuming. If we were unsuccessful, we could lose valuable rights in intellectual property that we regard as our own.</w:t>
      </w:r>
    </w:p>
    <w:p>
      <w:pPr>
        <w:spacing w:after="0" w:line="177" w:lineRule="exact"/>
        <w:rPr>
          <w:sz w:val="20"/>
          <w:szCs w:val="20"/>
          <w:color w:val="auto"/>
        </w:rPr>
      </w:pPr>
    </w:p>
    <w:p>
      <w:pPr>
        <w:jc w:val="both"/>
        <w:spacing w:after="0" w:line="361" w:lineRule="auto"/>
        <w:rPr>
          <w:sz w:val="20"/>
          <w:szCs w:val="20"/>
          <w:color w:val="auto"/>
        </w:rPr>
      </w:pPr>
      <w:r>
        <w:rPr>
          <w:rFonts w:ascii="Times New Roman" w:cs="Times New Roman" w:eastAsia="Times New Roman" w:hAnsi="Times New Roman"/>
          <w:sz w:val="19"/>
          <w:szCs w:val="19"/>
          <w:b w:val="1"/>
          <w:bCs w:val="1"/>
          <w:i w:val="1"/>
          <w:iCs w:val="1"/>
          <w:color w:val="auto"/>
        </w:rPr>
        <w:t>We may be subject to damages resulting from claims that we or our employees have wrongfully used or disclosed confidential information of our competitors or are in breach of non-competition or non-solicitation agreements with our competitors.</w:t>
      </w:r>
    </w:p>
    <w:p>
      <w:pPr>
        <w:spacing w:after="0" w:line="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Many of our employees, consultants and advisers were previously employed at other pharmaceutical companies, including our competitors or potential competitors, in some cases until recently. Some of these employees, consultants, advisers, and members of management executed proprietary rights, non-disclosure and non-competition agreements in connection with such previous employment. Although we take steps to ensure that our employees do not use the proprietary information or know-how of others in their work for us, we may be subject to claims that we or our employees, consultants, advisers, and members of management have inadvertently or otherwise used or disclosed trade secrets or other confidential information of these former employers or competitors. In addition, we may in the future be subject to claims that we caused an employee to breach the terms of his or her non-competition or non-solicitation agreement. Litigation may be necessary to defend against these claims. If we fail in defending any such claims, in</w:t>
      </w:r>
    </w:p>
    <w:p>
      <w:pPr>
        <w:sectPr>
          <w:pgSz w:w="12240" w:h="15840" w:orient="portrait"/>
          <w:cols w:equalWidth="0" w:num="1">
            <w:col w:w="10200"/>
          </w:cols>
          <w:pgMar w:left="1020" w:top="1317" w:right="1020" w:bottom="574" w:gutter="0" w:footer="0" w:header="0"/>
        </w:sect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68</w:t>
      </w:r>
    </w:p>
    <w:p>
      <w:pPr>
        <w:sectPr>
          <w:pgSz w:w="12240" w:h="15840" w:orient="portrait"/>
          <w:cols w:equalWidth="0" w:num="1">
            <w:col w:w="10200"/>
          </w:cols>
          <w:pgMar w:left="1020" w:top="1317" w:right="1020" w:bottom="574" w:gutter="0" w:footer="0" w:header="0"/>
          <w:type w:val="continuous"/>
        </w:sectPr>
      </w:pPr>
    </w:p>
    <w:bookmarkStart w:id="71" w:name="page72"/>
    <w:bookmarkEnd w:id="71"/>
    <w:p>
      <w:pPr>
        <w:jc w:val="both"/>
        <w:spacing w:after="0" w:line="246" w:lineRule="auto"/>
        <w:rPr>
          <w:sz w:val="20"/>
          <w:szCs w:val="20"/>
          <w:color w:val="auto"/>
        </w:rPr>
      </w:pPr>
      <w:r>
        <w:rPr>
          <w:rFonts w:ascii="Times New Roman" w:cs="Times New Roman" w:eastAsia="Times New Roman" w:hAnsi="Times New Roman"/>
          <w:sz w:val="19"/>
          <w:szCs w:val="19"/>
          <w:color w:val="auto"/>
        </w:rPr>
        <w:t>addition to paying monetary damages, we may lose valuable intellectual property rights or personnel. Even if we are successful in defending against these claims, litigation could result in substantial costs and could be a distraction to management. If our defense to those claims fails, in addition to paying monetary damages, we may lose valuable intellectual property rights or personnel. Any litigation or the threat thereof may adversely affect our ability to hire employees. A loss of key personnel or their work product could hamper or prevent our ability to commercialize product candidates, which could have an adverse effect on our business, results of operations and financial condition.</w:t>
      </w:r>
    </w:p>
    <w:p>
      <w:pPr>
        <w:spacing w:after="0" w:line="171"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9"/>
          <w:szCs w:val="19"/>
          <w:b w:val="1"/>
          <w:bCs w:val="1"/>
          <w:i w:val="1"/>
          <w:iCs w:val="1"/>
          <w:color w:val="auto"/>
        </w:rPr>
        <w:t>In the future, we may in-license intellectual property that may have been discovered through government funded programs and thus may be subject to federal regulations and a preference for U.S.-based companies. Compliance with such regulations may limit our exclusive rights and limit our ability to contract with non-U.S. manufacturers.</w:t>
      </w:r>
    </w:p>
    <w:p>
      <w:pPr>
        <w:spacing w:after="0" w:line="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color w:val="auto"/>
        </w:rPr>
        <w:t>Any of the intellectual property rights that we have licensed or may license in the future and that have been generated through the use of U.S. government funding are subject to certain federal regulations. As a result, the U.S. government may have certain rights to intellectual property embodied in our product candidates pursuant to the Bayh-Dole Act of 1980, or the Bayh-Dole Act. These U.S. government rights in certain inventions developed under a government-funded program include a non-exclusive, non-transferable, irrevocable worldwide license to use inventions for any governmental purpose, generally referred to as “march-in rights.” To our knowledge, none of our current product candidates are subject to march-in rights. However, intellectual property rights that we license in the future could be subject to such limitations. The U.S. government also has the right to take title to such intellectual property rights if we, or the applicable licensor, fail to disclose the invention to the government and fail to file an application to register the intellectual property within specified time limits. Intellectual property generated under a government funded program is also subject to certain reporting requirements, compliance with which may require us or the applicable licensor to expend substantial resources. We cannot be certain that our current or future licensors will comply with the disclosure or reporting requirements of the Bayh-Dole Act at all times or be able to rectify any lapse in compliance with these requirements.</w:t>
      </w:r>
    </w:p>
    <w:p>
      <w:pPr>
        <w:spacing w:after="0" w:line="19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9"/>
          <w:szCs w:val="19"/>
          <w:color w:val="auto"/>
        </w:rPr>
        <w:t>In addition, the U.S. government requires that any products embodying the subject invention or produced using the subject invention be manufactured substantially in the U.S.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U.S. or that, under the circumstances, domestic manufacture is not commercially feasible. This preference for U.S. manufacturers may limit our ability to contract with non-U.S. product manufacturers for products covered by such intellectual property. To the extent any of our current or future intellectual property is generated through the use of U.S. government funding, the provisions of the Bayh-Dole Act may similarly apply.</w:t>
      </w:r>
    </w:p>
    <w:p>
      <w:pPr>
        <w:spacing w:after="0" w:line="177" w:lineRule="exact"/>
        <w:rPr>
          <w:sz w:val="20"/>
          <w:szCs w:val="20"/>
          <w:color w:val="auto"/>
        </w:rPr>
      </w:pPr>
    </w:p>
    <w:p>
      <w:pPr>
        <w:jc w:val="both"/>
        <w:spacing w:after="0" w:line="361" w:lineRule="auto"/>
        <w:rPr>
          <w:sz w:val="20"/>
          <w:szCs w:val="20"/>
          <w:color w:val="auto"/>
        </w:rPr>
      </w:pPr>
      <w:r>
        <w:rPr>
          <w:rFonts w:ascii="Times New Roman" w:cs="Times New Roman" w:eastAsia="Times New Roman" w:hAnsi="Times New Roman"/>
          <w:sz w:val="19"/>
          <w:szCs w:val="19"/>
          <w:b w:val="1"/>
          <w:bCs w:val="1"/>
          <w:i w:val="1"/>
          <w:iCs w:val="1"/>
          <w:color w:val="auto"/>
        </w:rPr>
        <w:t>If we do not obtain patent term extension for any of our current or future product candidates, our business may be materially harmed.</w:t>
      </w:r>
    </w:p>
    <w:p>
      <w:pPr>
        <w:spacing w:after="0" w:line="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color w:val="auto"/>
        </w:rPr>
        <w:t>Depending upon the timing, duration and specifics of any FDA marketing approval of any of our current or future product candidates, one or more of our U.S. patents may be eligible for limited patent term extension under the Drug Price Competition and Patent Term Restoration Act of 1984, or the Hatch-Waxman Act. The Hatch-Waxman Act permits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for each marketing approval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174" w:lineRule="exact"/>
        <w:rPr>
          <w:sz w:val="20"/>
          <w:szCs w:val="20"/>
          <w:color w:val="auto"/>
        </w:rPr>
      </w:pPr>
    </w:p>
    <w:p>
      <w:pPr>
        <w:jc w:val="both"/>
        <w:spacing w:after="0" w:line="361" w:lineRule="auto"/>
        <w:rPr>
          <w:sz w:val="20"/>
          <w:szCs w:val="20"/>
          <w:color w:val="auto"/>
        </w:rPr>
      </w:pPr>
      <w:r>
        <w:rPr>
          <w:rFonts w:ascii="Times New Roman" w:cs="Times New Roman" w:eastAsia="Times New Roman" w:hAnsi="Times New Roman"/>
          <w:sz w:val="19"/>
          <w:szCs w:val="19"/>
          <w:b w:val="1"/>
          <w:bCs w:val="1"/>
          <w:i w:val="1"/>
          <w:iCs w:val="1"/>
          <w:color w:val="auto"/>
        </w:rPr>
        <w:t>If our trademarks and trade names are not adequately protected, then we may not be able to build name recognition in our marks of interest and our business may be adversely affected.</w:t>
      </w:r>
    </w:p>
    <w:p>
      <w:pPr>
        <w:spacing w:after="0" w:line="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Our trademarks or trade names may be challenged, infringed, circumvented, declared generic or determined to be infringing on other marks. We rely on both registration and common law protection for our trademarks. We may not be able to protect our rights to these trademarks and trade names or may be forced to stop using these names, which we need for name recognition by potential partners or customers in our markets of interest. During the trademark registration process, we may receive Office Actions from the USPTO objecting to the registration of our trademark. Although we would be given an opportunity to respond to those objections, we may be unable to overcome such rejections. In addition, in the USPTO and in comparable agencies in many foreign jurisdictions, third parties are given an opportunity to oppose pending trademark applications and/or to seek the cancellation of registered trademarks. Opposition or cancellation proceedings may be filed against our trademarks, and our trademarks may not survive such proceedings. If</w:t>
      </w:r>
    </w:p>
    <w:p>
      <w:pPr>
        <w:sectPr>
          <w:pgSz w:w="12240" w:h="15840" w:orient="portrait"/>
          <w:cols w:equalWidth="0" w:num="1">
            <w:col w:w="10200"/>
          </w:cols>
          <w:pgMar w:left="1020" w:top="1317" w:right="1020" w:bottom="574" w:gutter="0" w:footer="0" w:header="0"/>
        </w:sect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69</w:t>
      </w:r>
    </w:p>
    <w:p>
      <w:pPr>
        <w:sectPr>
          <w:pgSz w:w="12240" w:h="15840" w:orient="portrait"/>
          <w:cols w:equalWidth="0" w:num="1">
            <w:col w:w="10200"/>
          </w:cols>
          <w:pgMar w:left="1020" w:top="1317" w:right="1020" w:bottom="574" w:gutter="0" w:footer="0" w:header="0"/>
          <w:type w:val="continuous"/>
        </w:sectPr>
      </w:pPr>
    </w:p>
    <w:bookmarkStart w:id="72" w:name="page73"/>
    <w:bookmarkEnd w:id="72"/>
    <w:p>
      <w:pPr>
        <w:jc w:val="both"/>
        <w:spacing w:after="0" w:line="275" w:lineRule="auto"/>
        <w:rPr>
          <w:sz w:val="20"/>
          <w:szCs w:val="20"/>
          <w:color w:val="auto"/>
        </w:rPr>
      </w:pPr>
      <w:r>
        <w:rPr>
          <w:rFonts w:ascii="Times New Roman" w:cs="Times New Roman" w:eastAsia="Times New Roman" w:hAnsi="Times New Roman"/>
          <w:sz w:val="19"/>
          <w:szCs w:val="19"/>
          <w:color w:val="auto"/>
        </w:rPr>
        <w:t>we are unable to establish name recognition based on our trademarks and trade names, we may not be able to compete effectively and our business may be adversely affected.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Numerous factors may limit any potential competitive advantage provided by our intellectual property rights.</w:t>
      </w:r>
    </w:p>
    <w:p>
      <w:pPr>
        <w:spacing w:after="0" w:line="22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9"/>
          <w:szCs w:val="19"/>
          <w:color w:val="auto"/>
        </w:rPr>
        <w:t>The degree of future protection afforded by our intellectual property rights, whether owned or in-licensed,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factors that may limit any potential competitive advantage provided by our intellectual property rights include:</w:t>
      </w:r>
    </w:p>
    <w:p>
      <w:pPr>
        <w:spacing w:after="0" w:line="89" w:lineRule="exact"/>
        <w:rPr>
          <w:sz w:val="20"/>
          <w:szCs w:val="20"/>
          <w:color w:val="auto"/>
        </w:rPr>
      </w:pPr>
    </w:p>
    <w:p>
      <w:pPr>
        <w:ind w:left="920" w:hanging="458"/>
        <w:spacing w:after="0"/>
        <w:tabs>
          <w:tab w:leader="none" w:pos="920" w:val="left"/>
        </w:tabs>
        <w:numPr>
          <w:ilvl w:val="0"/>
          <w:numId w:val="47"/>
        </w:numPr>
        <w:rPr>
          <w:rFonts w:ascii="Arial" w:cs="Arial" w:eastAsia="Arial" w:hAnsi="Arial"/>
          <w:sz w:val="19"/>
          <w:szCs w:val="19"/>
          <w:color w:val="auto"/>
        </w:rPr>
      </w:pPr>
      <w:r>
        <w:rPr>
          <w:rFonts w:ascii="Times New Roman" w:cs="Times New Roman" w:eastAsia="Times New Roman" w:hAnsi="Times New Roman"/>
          <w:sz w:val="19"/>
          <w:szCs w:val="19"/>
          <w:color w:val="auto"/>
        </w:rPr>
        <w:t>pending patent applications that we own or license may not lead to issued patents;</w:t>
      </w:r>
    </w:p>
    <w:p>
      <w:pPr>
        <w:spacing w:after="0" w:line="124"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47"/>
        </w:numPr>
        <w:rPr>
          <w:rFonts w:ascii="Arial" w:cs="Arial" w:eastAsia="Arial" w:hAnsi="Arial"/>
          <w:sz w:val="19"/>
          <w:szCs w:val="19"/>
          <w:color w:val="auto"/>
        </w:rPr>
      </w:pPr>
      <w:r>
        <w:rPr>
          <w:rFonts w:ascii="Times New Roman" w:cs="Times New Roman" w:eastAsia="Times New Roman" w:hAnsi="Times New Roman"/>
          <w:sz w:val="19"/>
          <w:szCs w:val="19"/>
          <w:color w:val="auto"/>
        </w:rPr>
        <w:t>patents, should they issue, that we own or license, may not provide us with any competitive advantages, or may be challenged and held invalid or unenforceable;</w:t>
      </w:r>
    </w:p>
    <w:p>
      <w:pPr>
        <w:spacing w:after="0" w:line="61"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47"/>
        </w:numPr>
        <w:rPr>
          <w:rFonts w:ascii="Arial" w:cs="Arial" w:eastAsia="Arial" w:hAnsi="Arial"/>
          <w:sz w:val="19"/>
          <w:szCs w:val="19"/>
          <w:color w:val="auto"/>
        </w:rPr>
      </w:pPr>
      <w:r>
        <w:rPr>
          <w:rFonts w:ascii="Times New Roman" w:cs="Times New Roman" w:eastAsia="Times New Roman" w:hAnsi="Times New Roman"/>
          <w:sz w:val="19"/>
          <w:szCs w:val="19"/>
          <w:color w:val="auto"/>
        </w:rPr>
        <w:t>others may be able to develop and/or practice technology that is similar to our technology or aspects of our technology but that is not covered by the claims of any of our owned or in-licensed patents, should any such patents issue;</w:t>
      </w:r>
    </w:p>
    <w:p>
      <w:pPr>
        <w:spacing w:after="0" w:line="61" w:lineRule="exact"/>
        <w:rPr>
          <w:rFonts w:ascii="Arial" w:cs="Arial" w:eastAsia="Arial" w:hAnsi="Arial"/>
          <w:sz w:val="19"/>
          <w:szCs w:val="19"/>
          <w:color w:val="auto"/>
        </w:rPr>
      </w:pPr>
    </w:p>
    <w:p>
      <w:pPr>
        <w:ind w:left="920" w:hanging="458"/>
        <w:spacing w:after="0"/>
        <w:tabs>
          <w:tab w:leader="none" w:pos="920" w:val="left"/>
        </w:tabs>
        <w:numPr>
          <w:ilvl w:val="0"/>
          <w:numId w:val="47"/>
        </w:numPr>
        <w:rPr>
          <w:rFonts w:ascii="Arial" w:cs="Arial" w:eastAsia="Arial" w:hAnsi="Arial"/>
          <w:sz w:val="19"/>
          <w:szCs w:val="19"/>
          <w:color w:val="auto"/>
        </w:rPr>
      </w:pPr>
      <w:r>
        <w:rPr>
          <w:rFonts w:ascii="Times New Roman" w:cs="Times New Roman" w:eastAsia="Times New Roman" w:hAnsi="Times New Roman"/>
          <w:sz w:val="19"/>
          <w:szCs w:val="19"/>
          <w:color w:val="auto"/>
        </w:rPr>
        <w:t>third parties may compete with us in jurisdictions where we do not pursue and obtain patent protection;</w:t>
      </w:r>
    </w:p>
    <w:p>
      <w:pPr>
        <w:spacing w:after="0" w:line="124"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47"/>
        </w:numPr>
        <w:rPr>
          <w:rFonts w:ascii="Arial" w:cs="Arial" w:eastAsia="Arial" w:hAnsi="Arial"/>
          <w:sz w:val="19"/>
          <w:szCs w:val="19"/>
          <w:color w:val="auto"/>
        </w:rPr>
      </w:pPr>
      <w:r>
        <w:rPr>
          <w:rFonts w:ascii="Times New Roman" w:cs="Times New Roman" w:eastAsia="Times New Roman" w:hAnsi="Times New Roman"/>
          <w:sz w:val="19"/>
          <w:szCs w:val="19"/>
          <w:color w:val="auto"/>
        </w:rPr>
        <w:t>we (or our licensors) might not have been the first to make the inventions covered by a pending patent application that we own or license;</w:t>
      </w:r>
    </w:p>
    <w:p>
      <w:pPr>
        <w:spacing w:after="0" w:line="61" w:lineRule="exact"/>
        <w:rPr>
          <w:rFonts w:ascii="Arial" w:cs="Arial" w:eastAsia="Arial" w:hAnsi="Arial"/>
          <w:sz w:val="19"/>
          <w:szCs w:val="19"/>
          <w:color w:val="auto"/>
        </w:rPr>
      </w:pPr>
    </w:p>
    <w:p>
      <w:pPr>
        <w:ind w:left="920" w:hanging="458"/>
        <w:spacing w:after="0"/>
        <w:tabs>
          <w:tab w:leader="none" w:pos="920" w:val="left"/>
        </w:tabs>
        <w:numPr>
          <w:ilvl w:val="0"/>
          <w:numId w:val="47"/>
        </w:numPr>
        <w:rPr>
          <w:rFonts w:ascii="Arial" w:cs="Arial" w:eastAsia="Arial" w:hAnsi="Arial"/>
          <w:sz w:val="19"/>
          <w:szCs w:val="19"/>
          <w:color w:val="auto"/>
        </w:rPr>
      </w:pPr>
      <w:r>
        <w:rPr>
          <w:rFonts w:ascii="Times New Roman" w:cs="Times New Roman" w:eastAsia="Times New Roman" w:hAnsi="Times New Roman"/>
          <w:sz w:val="19"/>
          <w:szCs w:val="19"/>
          <w:color w:val="auto"/>
        </w:rPr>
        <w:t>we (or our licensors) might not have been the first to file patent applications covering a particular invention;</w:t>
      </w:r>
    </w:p>
    <w:p>
      <w:pPr>
        <w:spacing w:after="0" w:line="124" w:lineRule="exact"/>
        <w:rPr>
          <w:rFonts w:ascii="Arial" w:cs="Arial" w:eastAsia="Arial" w:hAnsi="Arial"/>
          <w:sz w:val="19"/>
          <w:szCs w:val="19"/>
          <w:color w:val="auto"/>
        </w:rPr>
      </w:pPr>
    </w:p>
    <w:p>
      <w:pPr>
        <w:ind w:left="920" w:hanging="458"/>
        <w:spacing w:after="0"/>
        <w:tabs>
          <w:tab w:leader="none" w:pos="920" w:val="left"/>
        </w:tabs>
        <w:numPr>
          <w:ilvl w:val="0"/>
          <w:numId w:val="47"/>
        </w:numPr>
        <w:rPr>
          <w:rFonts w:ascii="Arial" w:cs="Arial" w:eastAsia="Arial" w:hAnsi="Arial"/>
          <w:sz w:val="19"/>
          <w:szCs w:val="19"/>
          <w:color w:val="auto"/>
        </w:rPr>
      </w:pPr>
      <w:r>
        <w:rPr>
          <w:rFonts w:ascii="Times New Roman" w:cs="Times New Roman" w:eastAsia="Times New Roman" w:hAnsi="Times New Roman"/>
          <w:sz w:val="19"/>
          <w:szCs w:val="19"/>
          <w:color w:val="auto"/>
        </w:rPr>
        <w:t>others may independently develop similar or alternative technologies without infringing our intellectual property rights;</w:t>
      </w:r>
    </w:p>
    <w:p>
      <w:pPr>
        <w:spacing w:after="0" w:line="124" w:lineRule="exact"/>
        <w:rPr>
          <w:rFonts w:ascii="Arial" w:cs="Arial" w:eastAsia="Arial" w:hAnsi="Arial"/>
          <w:sz w:val="19"/>
          <w:szCs w:val="19"/>
          <w:color w:val="auto"/>
        </w:rPr>
      </w:pPr>
    </w:p>
    <w:p>
      <w:pPr>
        <w:ind w:left="920" w:hanging="458"/>
        <w:spacing w:after="0"/>
        <w:tabs>
          <w:tab w:leader="none" w:pos="920" w:val="left"/>
        </w:tabs>
        <w:numPr>
          <w:ilvl w:val="0"/>
          <w:numId w:val="47"/>
        </w:numPr>
        <w:rPr>
          <w:rFonts w:ascii="Arial" w:cs="Arial" w:eastAsia="Arial" w:hAnsi="Arial"/>
          <w:sz w:val="19"/>
          <w:szCs w:val="19"/>
          <w:color w:val="auto"/>
        </w:rPr>
      </w:pPr>
      <w:r>
        <w:rPr>
          <w:rFonts w:ascii="Times New Roman" w:cs="Times New Roman" w:eastAsia="Times New Roman" w:hAnsi="Times New Roman"/>
          <w:sz w:val="19"/>
          <w:szCs w:val="19"/>
          <w:color w:val="auto"/>
        </w:rPr>
        <w:t>we may not be able to obtain and/or maintain necessary licenses on reasonable terms or at all;</w:t>
      </w:r>
    </w:p>
    <w:p>
      <w:pPr>
        <w:spacing w:after="0" w:line="124"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47"/>
        </w:numPr>
        <w:rPr>
          <w:rFonts w:ascii="Arial" w:cs="Arial" w:eastAsia="Arial" w:hAnsi="Arial"/>
          <w:sz w:val="19"/>
          <w:szCs w:val="19"/>
          <w:color w:val="auto"/>
        </w:rPr>
      </w:pPr>
      <w:r>
        <w:rPr>
          <w:rFonts w:ascii="Times New Roman" w:cs="Times New Roman" w:eastAsia="Times New Roman" w:hAnsi="Times New Roman"/>
          <w:sz w:val="19"/>
          <w:szCs w:val="19"/>
          <w:color w:val="auto"/>
        </w:rPr>
        <w:t>third parties may assert an ownership interest in our intellectual property and, if successful, such disputes may preclude us from exercising exclusive rights, or any rights at all, over that intellectual property;</w:t>
      </w:r>
    </w:p>
    <w:p>
      <w:pPr>
        <w:spacing w:after="0" w:line="61" w:lineRule="exact"/>
        <w:rPr>
          <w:rFonts w:ascii="Arial" w:cs="Arial" w:eastAsia="Arial" w:hAnsi="Arial"/>
          <w:sz w:val="19"/>
          <w:szCs w:val="19"/>
          <w:color w:val="auto"/>
        </w:rPr>
      </w:pPr>
    </w:p>
    <w:p>
      <w:pPr>
        <w:ind w:left="920" w:hanging="458"/>
        <w:spacing w:after="0"/>
        <w:tabs>
          <w:tab w:leader="none" w:pos="920" w:val="left"/>
        </w:tabs>
        <w:numPr>
          <w:ilvl w:val="0"/>
          <w:numId w:val="47"/>
        </w:numPr>
        <w:rPr>
          <w:rFonts w:ascii="Arial" w:cs="Arial" w:eastAsia="Arial" w:hAnsi="Arial"/>
          <w:sz w:val="19"/>
          <w:szCs w:val="19"/>
          <w:color w:val="auto"/>
        </w:rPr>
      </w:pPr>
      <w:r>
        <w:rPr>
          <w:rFonts w:ascii="Times New Roman" w:cs="Times New Roman" w:eastAsia="Times New Roman" w:hAnsi="Times New Roman"/>
          <w:sz w:val="19"/>
          <w:szCs w:val="19"/>
          <w:color w:val="auto"/>
        </w:rPr>
        <w:t>we may not be able to maintain the confidentiality of our trade secrets or other proprietary information;</w:t>
      </w:r>
    </w:p>
    <w:p>
      <w:pPr>
        <w:spacing w:after="0" w:line="124" w:lineRule="exact"/>
        <w:rPr>
          <w:rFonts w:ascii="Arial" w:cs="Arial" w:eastAsia="Arial" w:hAnsi="Arial"/>
          <w:sz w:val="19"/>
          <w:szCs w:val="19"/>
          <w:color w:val="auto"/>
        </w:rPr>
      </w:pPr>
    </w:p>
    <w:p>
      <w:pPr>
        <w:ind w:left="920" w:hanging="458"/>
        <w:spacing w:after="0"/>
        <w:tabs>
          <w:tab w:leader="none" w:pos="920" w:val="left"/>
        </w:tabs>
        <w:numPr>
          <w:ilvl w:val="0"/>
          <w:numId w:val="47"/>
        </w:numPr>
        <w:rPr>
          <w:rFonts w:ascii="Arial" w:cs="Arial" w:eastAsia="Arial" w:hAnsi="Arial"/>
          <w:sz w:val="19"/>
          <w:szCs w:val="19"/>
          <w:color w:val="auto"/>
        </w:rPr>
      </w:pPr>
      <w:r>
        <w:rPr>
          <w:rFonts w:ascii="Times New Roman" w:cs="Times New Roman" w:eastAsia="Times New Roman" w:hAnsi="Times New Roman"/>
          <w:sz w:val="19"/>
          <w:szCs w:val="19"/>
          <w:color w:val="auto"/>
        </w:rPr>
        <w:t>we may not develop or in-license additional proprietary technologies that are patentable; and</w:t>
      </w:r>
    </w:p>
    <w:p>
      <w:pPr>
        <w:spacing w:after="0" w:line="124" w:lineRule="exact"/>
        <w:rPr>
          <w:rFonts w:ascii="Arial" w:cs="Arial" w:eastAsia="Arial" w:hAnsi="Arial"/>
          <w:sz w:val="19"/>
          <w:szCs w:val="19"/>
          <w:color w:val="auto"/>
        </w:rPr>
      </w:pPr>
    </w:p>
    <w:p>
      <w:pPr>
        <w:ind w:left="920" w:hanging="458"/>
        <w:spacing w:after="0"/>
        <w:tabs>
          <w:tab w:leader="none" w:pos="920" w:val="left"/>
        </w:tabs>
        <w:numPr>
          <w:ilvl w:val="0"/>
          <w:numId w:val="47"/>
        </w:numPr>
        <w:rPr>
          <w:rFonts w:ascii="Arial" w:cs="Arial" w:eastAsia="Arial" w:hAnsi="Arial"/>
          <w:sz w:val="19"/>
          <w:szCs w:val="19"/>
          <w:color w:val="auto"/>
        </w:rPr>
      </w:pPr>
      <w:r>
        <w:rPr>
          <w:rFonts w:ascii="Times New Roman" w:cs="Times New Roman" w:eastAsia="Times New Roman" w:hAnsi="Times New Roman"/>
          <w:sz w:val="19"/>
          <w:szCs w:val="19"/>
          <w:color w:val="auto"/>
        </w:rPr>
        <w:t>the patents of others may have an adverse effect on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Should any of these events occur, they could significantly harm our business and results of operation.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Risks Related to Regulatory Approval and Other Legal Compliance Matters</w:t>
      </w:r>
    </w:p>
    <w:p>
      <w:pPr>
        <w:spacing w:after="0" w:line="192"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b w:val="1"/>
          <w:bCs w:val="1"/>
          <w:i w:val="1"/>
          <w:iCs w:val="1"/>
          <w:color w:val="auto"/>
        </w:rPr>
        <w:t>Even if we complete the necessary preclinical studies and clinical trials, the regulatory approval process is expensive, time consuming and uncertain and may prevent us from obtaining approvals for the commercialization of some or all of our product candidates. As a result, we cannot predict when or if, and in which territories, we will obtain marketing approval to commercialize a product candidate.</w:t>
      </w:r>
    </w:p>
    <w:p>
      <w:pPr>
        <w:jc w:val="both"/>
        <w:spacing w:after="0" w:line="244" w:lineRule="auto"/>
        <w:rPr>
          <w:sz w:val="20"/>
          <w:szCs w:val="20"/>
          <w:color w:val="auto"/>
        </w:rPr>
      </w:pPr>
      <w:r>
        <w:rPr>
          <w:rFonts w:ascii="Times New Roman" w:cs="Times New Roman" w:eastAsia="Times New Roman" w:hAnsi="Times New Roman"/>
          <w:sz w:val="19"/>
          <w:szCs w:val="19"/>
          <w:color w:val="auto"/>
        </w:rPr>
        <w:t>The research, testing, manufacturing, labeling, approval, selling, marketing, promotion and distribution of drug and biologic products are subject to extensive regulation by the FDA and comparable foreign regulatory authorities. We are not permitted to market our product candidates in the U.S. or in other countries until we receive approval of a BLA from the FDA or marketing approval from applicable regulatory authorities outside the U.S. Our product candidates are in various stages of development and are subject to the risks of failure inherent in development. We have not submitted an application for or received marketing approval for any of our product candidates in the U.S. or in any other jurisdiction. We have no experience as a company in filing and supporting the applications necessary to gain marketing approvals and expect to rely on third-party CROs to assist us in this process.</w:t>
      </w:r>
    </w:p>
    <w:p>
      <w:pPr>
        <w:spacing w:after="0" w:line="19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9"/>
          <w:szCs w:val="19"/>
          <w:color w:val="auto"/>
        </w:rPr>
        <w:t>The process of obtaining marketing approvals, both in the U.S. and abroad, is lengthy, expensive and uncertain. It may take many years, if approval is obtained at all, and can vary substantially based upon a variety of factors, including the type, complexity and novelty of the product candidates involved. Securing marketing approval requires the submission of extensive preclinical and clinical data and supporting information, including manufacturing information, to regulatory authorities for each therapeutic indication to establish the product candidate’s safety and efficacy. The FDA or other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w:t>
      </w:r>
    </w:p>
    <w:p>
      <w:pPr>
        <w:sectPr>
          <w:pgSz w:w="12240" w:h="15840" w:orient="portrait"/>
          <w:cols w:equalWidth="0" w:num="1">
            <w:col w:w="10200"/>
          </w:cols>
          <w:pgMar w:left="1020" w:top="1317" w:right="1020" w:bottom="574"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70</w:t>
      </w:r>
    </w:p>
    <w:p>
      <w:pPr>
        <w:sectPr>
          <w:pgSz w:w="12240" w:h="15840" w:orient="portrait"/>
          <w:cols w:equalWidth="0" w:num="1">
            <w:col w:w="10200"/>
          </w:cols>
          <w:pgMar w:left="1020" w:top="1317" w:right="1020" w:bottom="574" w:gutter="0" w:footer="0" w:header="0"/>
          <w:type w:val="continuous"/>
        </w:sectPr>
      </w:pPr>
    </w:p>
    <w:bookmarkStart w:id="73" w:name="page74"/>
    <w:bookmarkEnd w:id="73"/>
    <w:p>
      <w:pPr>
        <w:jc w:val="both"/>
        <w:spacing w:after="0" w:line="243" w:lineRule="auto"/>
        <w:rPr>
          <w:sz w:val="20"/>
          <w:szCs w:val="20"/>
          <w:color w:val="auto"/>
        </w:rPr>
      </w:pPr>
      <w:r>
        <w:rPr>
          <w:rFonts w:ascii="Times New Roman" w:cs="Times New Roman" w:eastAsia="Times New Roman" w:hAnsi="Times New Roman"/>
          <w:sz w:val="19"/>
          <w:szCs w:val="19"/>
          <w:color w:val="auto"/>
        </w:rPr>
        <w:t>Further, the FDA may determine that we must provide additional evidence and data before approving a BLA for our product candidates. For example, the FDA reviews an application to determine whether there is “substantial evidence” to support a finding of effectiveness for the proposed product for its intended use(s). The FDA has interpreted this evidentiary standard to generally require at least two adequate and well-controlled clinical trials to establish effectiveness of a new product. Under certain circumstances, however, the FDA has indicated that a single trial with certain characteristics and additional confirmatory evidence may satisfy this standard. The FDA issued draft guidance in September 2023 that outlines considerations for relying on confirmatory evidence in lieu of a second clinical trial to demonstrate effectiveness. In the event that we submit a BLA on the basis of one clinical trial and confirmatory evidence, the FDA could determine that such information is not sufficient to support approval of the application and the agency could require us to conduct an additional trial in support of the BLA.</w:t>
      </w:r>
    </w:p>
    <w:p>
      <w:pPr>
        <w:spacing w:after="0" w:line="19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color w:val="auto"/>
        </w:rPr>
        <w:t>Further, under the Pediatric Research Equity Act, or PREA, a BLA or supplement to a BLA for certain biological products must contain data to assess the safety and effectiveness of the biological product in all relevant pediatric subpopulations and to support dosing and administration for each pediatric subpopulation for which the product is safe and effective, unless the sponsor receives a deferral or waiver from the FDA. A deferral may be granted for several reasons, including a finding that the product or therapeutic candidate is ready for approval for use in adults before pediatric trials are complete or that additional safety or effectiveness data needs to be collected before the pediatric trials begin. The applicable legislation in the EU also requires sponsors to either conduct clinical trials in a pediatric population in accordance with a Pediatric Investigation Plan approved by the Pediatric Committee of the EMA or to obtain a waiver or deferral from the conduct of these studies by this Committee. For any of our product candidates for which we are seeking regulatory approval in the U.S. or the EU, we cannot guarantee that we will be able to obtain a waiver or alternatively complete any required studies and other requirements in a timely manner, or at all, which could result in associated reputational harm and subject us to enforcement action.</w:t>
      </w:r>
    </w:p>
    <w:p>
      <w:pPr>
        <w:spacing w:after="0" w:line="19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color w:val="auto"/>
        </w:rPr>
        <w:t>In addition,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 Regulatory authorities have substantial discretion in the approval process and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18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9"/>
          <w:szCs w:val="19"/>
          <w:color w:val="auto"/>
        </w:rPr>
        <w:t>Moreover, we may be required to report some of these relationships to the FDA or comparable foreign regulatory authorities. The FDA, or a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19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color w:val="auto"/>
        </w:rPr>
        <w:t>For example, in December 2022, with the passage of Food and Drug Omnibus Reform Act, or FDORA, Congress required sponsors to develop and submit a diversity action plan for each Phase 3 clinical trial or any other “pivotal study” of a new drug or biological product. These plans are meant to encourage the enrollment of more diverse patient populations in late-stage clinical trials of FDA-regulated products. In June 2024, the FDA issued draft guidance outlining the general requirements for diversity action plans, or DAPs. Unlike most guidance documents issued by the FDA, the DAP guidance, when finalized, will have the force of law, because FDORA specifically dictates that the form and manner for submission of DAPs are specified in FDA guidance. On January 27, 2025, in response to an executive order regarding diversity, equity and inclusion programs, the FDA removed this draft guidance from its website. That action, along with similar actions by the current administration to remove many other healthcare webpages, is the subject of ongoing litigation. In late July 2025, pursuant to a court order, the FDA restored the draft DAP guidance to its website with a statement that “information on this page may be modified and/or removed in the future subject to the terms of the court’s order and implemented consistent with applicable law.” Accordingly, in light of these ongoing actions, there is considerable uncertainty surrounding the draft DAP guidance and how the FDA will consider DAPs in connection with its review of BLAs.</w:t>
      </w:r>
    </w:p>
    <w:p>
      <w:pPr>
        <w:spacing w:after="0" w:line="19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color w:val="auto"/>
        </w:rPr>
        <w:t>Further, for our new clinical activities in the EU, we will need to navigate the Clinical Trials Regulation (EU) No 536/2014, which became effective in the EU and replaced the prior Clinical Trials Directive 2001/20/EC. This regulation aims at simplifying and streamlining the authorization, conduct and transparency of clinical trials in the EU. Under the coordinated procedure for the approval of clinical trials, the sponsor of a clinical trial to be conducted in more than one EU member state will only be required to submit a single application for approval. The submission will be made through the Clinical Trials Information System, a clinical trials portal overseen by the EMA and available to clinical trial sponsors, competent authorities of the EU member states and the public.</w:t>
      </w:r>
    </w:p>
    <w:p>
      <w:pPr>
        <w:sectPr>
          <w:pgSz w:w="12240" w:h="15840" w:orient="portrait"/>
          <w:cols w:equalWidth="0" w:num="1">
            <w:col w:w="10200"/>
          </w:cols>
          <w:pgMar w:left="1020" w:top="1317" w:right="102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71</w:t>
      </w:r>
    </w:p>
    <w:p>
      <w:pPr>
        <w:sectPr>
          <w:pgSz w:w="12240" w:h="15840" w:orient="portrait"/>
          <w:cols w:equalWidth="0" w:num="1">
            <w:col w:w="10200"/>
          </w:cols>
          <w:pgMar w:left="1020" w:top="1317" w:right="1020" w:bottom="574" w:gutter="0" w:footer="0" w:header="0"/>
          <w:type w:val="continuous"/>
        </w:sectPr>
      </w:pPr>
    </w:p>
    <w:bookmarkStart w:id="74" w:name="page75"/>
    <w:bookmarkEnd w:id="74"/>
    <w:p>
      <w:pPr>
        <w:jc w:val="both"/>
        <w:spacing w:after="0" w:line="257" w:lineRule="auto"/>
        <w:rPr>
          <w:sz w:val="20"/>
          <w:szCs w:val="20"/>
          <w:color w:val="auto"/>
        </w:rPr>
      </w:pPr>
      <w:r>
        <w:rPr>
          <w:rFonts w:ascii="Times New Roman" w:cs="Times New Roman" w:eastAsia="Times New Roman" w:hAnsi="Times New Roman"/>
          <w:sz w:val="19"/>
          <w:szCs w:val="19"/>
          <w:color w:val="auto"/>
        </w:rPr>
        <w:t>Accordingly, any delay in obtaining or failure to obtain required approvals could negatively affect our ability or that of any future collaborators to generate revenue from the particular product candidate, which likely would result in significant harm to our financial position and adversely impact our stock price.</w:t>
      </w:r>
    </w:p>
    <w:p>
      <w:pPr>
        <w:spacing w:after="0" w:line="161"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b w:val="1"/>
          <w:bCs w:val="1"/>
          <w:i w:val="1"/>
          <w:iCs w:val="1"/>
          <w:color w:val="auto"/>
        </w:rPr>
        <w:t>Disruptions at the FDA and other government agencies from funding cuts, personnel losses, regulatory reform, government shutdowns and other developments could hinder our ability to obtain guidance from the FDA regarding our clinical development program, progress development efficiently, and secure approval of our product candidates in a timely manner, which would negatively impact our business.</w:t>
      </w:r>
    </w:p>
    <w:p>
      <w:pPr>
        <w:jc w:val="both"/>
        <w:spacing w:after="0" w:line="244" w:lineRule="auto"/>
        <w:rPr>
          <w:sz w:val="20"/>
          <w:szCs w:val="20"/>
          <w:color w:val="auto"/>
        </w:rPr>
      </w:pPr>
      <w:r>
        <w:rPr>
          <w:rFonts w:ascii="Times New Roman" w:cs="Times New Roman" w:eastAsia="Times New Roman" w:hAnsi="Times New Roman"/>
          <w:sz w:val="19"/>
          <w:szCs w:val="19"/>
          <w:color w:val="auto"/>
        </w:rPr>
        <w:t>The FDA and comparable regulatory agencies in foreign jurisdictions, such as the EMA and Committee for Medicinal Products for Human Use, play an important role in the development of our product candidates by providing guidance on our clinical development programs and reviewing our regulatory submissions, including INDs, requests for special designations and marketing applications. If these oversight and review activities are disrupted, then correspondingly our ability to develop and secure timely approval of our product candidates could be impacted in a negative manner. For example, on July 14, 2025, following litigation reaching the U.S. Supreme Court, the current administration began to carry out layoffs across HHS, including at the FDA. The loss of FDA leadership and personnel could lead to disruptions and delays in FDA guidance, review, and approval of our product candidates.</w:t>
      </w:r>
    </w:p>
    <w:p>
      <w:pPr>
        <w:spacing w:after="0" w:line="19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In addition, while the FDA’s review of marketing applications and other activities for new drugs and biologics is largely funded through the user fee program established under the Prescription Drug User Fee Act, or PDUFA, it remains unclear how the current administration’s efforts to reduce the workforce of HHS and budget cuts will impact this program and the ability of the FDA to provide guidance and review our product candidates in a timely manner. For example, while the reduction in workforce reportedly did not specifically target FDA reviewers, many operations, administrative and policy staff that help support such reviews were affected, and those losses could lead to delays in PDUFA reviews and related activities. In addition, there is a risk that the reduction in workforce and budget cutbacks could threaten the integrity of the PDUFA program itself, because in order for the FDA to obligate user fees collected under PDUFA in the first place, a certain amount of non-user fee appropriations must be spent on the process for the review of applications plus certain other costs during the same fiscal year.</w:t>
      </w:r>
    </w:p>
    <w:p>
      <w:pPr>
        <w:spacing w:after="0" w:line="19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9"/>
          <w:szCs w:val="19"/>
          <w:color w:val="auto"/>
        </w:rPr>
        <w:t>There is also substantial uncertainty as to how regulatory reform measures being implemented by the current administration across the government will impact the FDA and other federal agencies with jurisdiction over our activities. For example, the administration has issued a number of executive orders that could have a significant impact on the manner in which the FDA conducts its operations and engages in regulatory and oversight activities. If these or other orders or executive actions impose constraints on the FDA’s ability to engage in oversight and implementation activities in the normal course, our business may be negatively impacted.</w:t>
      </w:r>
    </w:p>
    <w:p>
      <w:pPr>
        <w:spacing w:after="0" w:line="18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Similarly, actions by the U.S. government have significantly disrupted the operations of government agencies, such as the National Institutes of Health, the National Science Foundation, the Centers for Disease Control and Prevention, and the FDA, which have traditionally provided funding for basic research, research and development, and clinical testing. These government actions have included, among other things, suspending, terminating and withholding of disbursements of funds owed under ongoing contracts, grants, and other financial assistance agreements; declining to continue multi-year research projects for additional annual budget periods; canceling or delaying solicitations for new contract, grant and other financial assistance awards; canceling or delaying proposal evaluation processes and issuance of such new awards; substantially reducing federal agency staff responsible for managing contract and financial assistance programs; eliminating agency information and resources for facilitating research activity; delaying or terminating federal agency procedures for authorizing international transactions; initiating aggressive enforcement actions that may disrupt the operations of major research universities that are significant contributors to life sciences research in the United States, and threatening access to federal agency contracts and other funding awards based on companies’ otherwise lawful corporate policies and choice of counsel. These actions could, directly or indirectly, significantly disrupt, delay, prevent, or increase the costs of our research and product commercialization programs, including our ability to develop new product candidates, conduct clinical trials, implement research collaborations with other companies or institutions, and obtain approvals to market and sell new products.</w:t>
      </w:r>
    </w:p>
    <w:p>
      <w:pPr>
        <w:spacing w:after="0" w:line="19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In addition, government funding of government agencies on which our operations may rely, including those that fund research and development activities, is subject to the political process, which is inherently fluid and unpredictable. For example, the federal government shut down on October 1, 2025 and did not reopen for 43 days. With the shutdown, the FDA issued a public notice stating that FDA operations would continue to the extent permitted by law, such as activities necessary to address imminent threats to the safety of human life and activities funded by carryover user fee funds. The FDA declared that, during the shutdown period, it did not have legal authority to accept user fees assessed for fiscal year 2026 until a fiscal year 2026 appropriation or continuing resolution for the FDA was enacted. As a result, the FDA was not able to accept any regulatory submissions for fiscal year 2026 that required a fee payment and that was submitted during the lapse period. In addition, the FDA indicated that some of its regulatory science research, crucial for advancing product innovation, safety, and quality, would be curtailed during the lapse period.</w:t>
      </w:r>
    </w:p>
    <w:p>
      <w:pPr>
        <w:sectPr>
          <w:pgSz w:w="12240" w:h="15840" w:orient="portrait"/>
          <w:cols w:equalWidth="0" w:num="1">
            <w:col w:w="10200"/>
          </w:cols>
          <w:pgMar w:left="1020" w:top="1317" w:right="102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72</w:t>
      </w:r>
    </w:p>
    <w:p>
      <w:pPr>
        <w:sectPr>
          <w:pgSz w:w="12240" w:h="15840" w:orient="portrait"/>
          <w:cols w:equalWidth="0" w:num="1">
            <w:col w:w="10200"/>
          </w:cols>
          <w:pgMar w:left="1020" w:top="1317" w:right="1020" w:bottom="574" w:gutter="0" w:footer="0" w:header="0"/>
          <w:type w:val="continuous"/>
        </w:sectPr>
      </w:pPr>
    </w:p>
    <w:bookmarkStart w:id="75" w:name="page76"/>
    <w:bookmarkEnd w:id="75"/>
    <w:p>
      <w:pPr>
        <w:jc w:val="both"/>
        <w:spacing w:after="0" w:line="246" w:lineRule="auto"/>
        <w:rPr>
          <w:sz w:val="20"/>
          <w:szCs w:val="20"/>
          <w:color w:val="auto"/>
        </w:rPr>
      </w:pPr>
      <w:r>
        <w:rPr>
          <w:rFonts w:ascii="Times New Roman" w:cs="Times New Roman" w:eastAsia="Times New Roman" w:hAnsi="Times New Roman"/>
          <w:sz w:val="19"/>
          <w:szCs w:val="19"/>
          <w:color w:val="auto"/>
        </w:rPr>
        <w:t>At the same time, disruptions at the FDA and other government agencies may result from public health events similar to the COVID-19 pandemic. For example, during the COVID-19 pandemic, a number of companies announced receipt of complete response letters due to the FDA’s inability to complete required inspections for their applications. In the event of a similar public health emergency in the future, the FDA may not be able to continue its current pace and review timelines could be extended. Regulatory authorities outside the U.S. facing similar circumstances may adopt similar restrictions or other policy measures in response to a similar public health emergency and may also experience delays in their regulatory activities.</w:t>
      </w:r>
    </w:p>
    <w:p>
      <w:pPr>
        <w:spacing w:after="0" w:line="18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Accordingly, if any of the foregoing developments impact the ability of the FDA to provide us with guidance regarding our clinical development programs or delay the FDA’s review and processing of our regulatory submissions, including INDs and BLAs, our business would be negatively impacted. Further, any future government shutdown could impact our ability to access the public markets and obtain necessary capital in order to properly capitalize and continue our operations.</w:t>
      </w:r>
    </w:p>
    <w:p>
      <w:pPr>
        <w:spacing w:after="0" w:line="166"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b w:val="1"/>
          <w:bCs w:val="1"/>
          <w:i w:val="1"/>
          <w:iCs w:val="1"/>
          <w:color w:val="auto"/>
        </w:rPr>
        <w:t>Failure to obtain marketing approval in foreign jurisdictions would prevent our product candidates from being marketed abroad. Any approval we may be granted for our product candidates in the U.S. would not assure approval of our product candidates in foreign jurisdictions and any of our product candidates that may be approved for marketing in a foreign jurisdiction will be subject to risks associated with foreign operations.</w:t>
      </w:r>
    </w:p>
    <w:p>
      <w:pPr>
        <w:jc w:val="both"/>
        <w:spacing w:after="0" w:line="243" w:lineRule="auto"/>
        <w:rPr>
          <w:sz w:val="20"/>
          <w:szCs w:val="20"/>
          <w:color w:val="auto"/>
        </w:rPr>
      </w:pPr>
      <w:r>
        <w:rPr>
          <w:rFonts w:ascii="Times New Roman" w:cs="Times New Roman" w:eastAsia="Times New Roman" w:hAnsi="Times New Roman"/>
          <w:sz w:val="19"/>
          <w:szCs w:val="19"/>
          <w:color w:val="auto"/>
        </w:rPr>
        <w:t>In order to market and sell our products in the EU and other foreign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marketing approval process outside the U.S. generally includes all of the risks associated with obtaining FDA approval. We may not obtain approvals from regulatory authorities outside the U.S. on a timely basis, if at all. Approval by the FDA does not ensure approval by regulatory authorities in other countries or jurisdictions, and approval by one regulatory authority outside the U.S. does not ensure approval by regulatory authorities in other countries or jurisdictions or by the FDA. We may file for marketing approvals but not receive necessary approvals to commercialize our products in any market.</w:t>
      </w:r>
    </w:p>
    <w:p>
      <w:pPr>
        <w:spacing w:after="0" w:line="19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9"/>
          <w:szCs w:val="19"/>
          <w:color w:val="auto"/>
        </w:rPr>
        <w:t>In many countries outside the U.S., a product candidate must also be approved for reimbursement before it can be sold in that country. In some cases, the price that we intend to charge for our products, if approved, is also subject to approval. Obtaining non-U.S. regulatory approvals and compliance with non-U.S. regulatory requirements could result in significant delays, difficulties and costs for us and could delay or prevent the introduction of our product candidates in certain countries. In addition, if we fail to obtain the non-U.S. approvals required to market our product candidates outside the U.S. or if we fail to comply with applicable non-U.S. regulatory requirements, our target markets will be reduced and our ability to realize the full market potential of our product candidates will be harmed and our business, financial condition, results of operations and prospects may be adversely affected.</w:t>
      </w:r>
    </w:p>
    <w:p>
      <w:pPr>
        <w:spacing w:after="0" w:line="19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Additionally, we could face heightened risks with respect to obtaining marketing authorization in the United Kingdom, or the U.K., as a result of the withdrawal of the U.K. from the EU, commonly referred to as Brexit. The U.K. is no longer part of the European Single Market and EU Customs Union. As of January 1, 2025, the Medicines and Healthcare Products Regulatory Agency, or MHRA, is responsible for approving all medicinal products destined for the U.K. market (i.e., Great Britain and Northern Ireland). On April 28, 2025, the U.K. Parliament adopted amendments to improve and strengthen the U.K.’s clinical trials regulatory regime, which will take effect on April 28, 2026. These changes were needed since the current U.K. requirements are based upon the now-repealed EU Clinical Trials Directive (2001/20/EC), which has been replaced by the European Clinical Trials Regulation (Regulation EU No 536/2014). Since the U.K. left the EU prior to the date on which the EU Clinical Trials Regulation took effect, the U.K. legal framework did not benefit from the same revisions as occurred at EU level.</w:t>
      </w:r>
    </w:p>
    <w:p>
      <w:pPr>
        <w:spacing w:after="0" w:line="19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the same time, a new international recognition procedure, or IRP, will apply, which intends to facilitate approval of pharmaceutical products in the U.K. The IRP is open to applicants that have already received an authorization for the same product from one of the MHRA’s specified Reference Regulators. The Reference Regulators notably include EMA and regulators in the EU/European Economic Area, or EEA, member states for approvals in the EU centralized procedure and mutual recognition procedure as well as the FDA (for product approvals granted in the United States). However, the concrete functioning of the IRP is currently unclear. Any delay in obtaining, or an inability to obtain, any marketing approvals may force us or our collaborators to restrict or delay efforts to seek regulatory approval in the U.K. for our product candidates, which could significantly and materially harm our business.</w:t>
      </w:r>
    </w:p>
    <w:p>
      <w:pPr>
        <w:spacing w:after="0" w:line="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9"/>
          <w:szCs w:val="19"/>
          <w:color w:val="auto"/>
        </w:rPr>
        <w:t>In addition, foreign regulatory authorities may change their approval policies and new regulations may be enacted. For instance, the EU pharmaceutical legislation is currently undergoing a complete review process, in the context of the Pharmaceutical Strategy for Europe initiative, launched by the European Commission in November 2020. The European Commission’s proposal for revision of several legislative instruments related to medicinal products, which may reduce the duration of regulatory data protection and exclusivity periods for orphan drugs, and revise the eligibility for expedited pathways in addition to other changes, was published on April 26, 2023. On June 4, 2025, after almost two years of negotiations among the EU member states, the Council of the European Union adopted its position on the proposed overhaul of the EU general pharmaceutical legislative framework. Thereafter, on December 11, 2025, the European Parliament and Council reached a provisional political agreement on the legislation, which is</w:t>
      </w:r>
    </w:p>
    <w:p>
      <w:pPr>
        <w:sectPr>
          <w:pgSz w:w="12240" w:h="15840" w:orient="portrait"/>
          <w:cols w:equalWidth="0" w:num="1">
            <w:col w:w="10200"/>
          </w:cols>
          <w:pgMar w:left="1020" w:top="1317" w:right="1020" w:bottom="574" w:gutter="0" w:footer="0" w:header="0"/>
        </w:sect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73</w:t>
      </w:r>
    </w:p>
    <w:p>
      <w:pPr>
        <w:sectPr>
          <w:pgSz w:w="12240" w:h="15840" w:orient="portrait"/>
          <w:cols w:equalWidth="0" w:num="1">
            <w:col w:w="10200"/>
          </w:cols>
          <w:pgMar w:left="1020" w:top="1317" w:right="1020" w:bottom="574" w:gutter="0" w:footer="0" w:header="0"/>
          <w:type w:val="continuous"/>
        </w:sectPr>
      </w:pPr>
    </w:p>
    <w:bookmarkStart w:id="76" w:name="page77"/>
    <w:bookmarkEnd w:id="76"/>
    <w:p>
      <w:pPr>
        <w:jc w:val="both"/>
        <w:spacing w:after="0" w:line="251" w:lineRule="auto"/>
        <w:rPr>
          <w:sz w:val="20"/>
          <w:szCs w:val="20"/>
          <w:color w:val="auto"/>
        </w:rPr>
      </w:pPr>
      <w:r>
        <w:rPr>
          <w:rFonts w:ascii="Times New Roman" w:cs="Times New Roman" w:eastAsia="Times New Roman" w:hAnsi="Times New Roman"/>
          <w:sz w:val="19"/>
          <w:szCs w:val="19"/>
          <w:color w:val="auto"/>
        </w:rPr>
        <w:t>expected to be adopted by mid-2026. The revisions may have a significant impact on the pharmaceutical industry and our business. They would, among other things, set a baseline period of eight years of data exclusivity and one year of market exclusivity, with possible extensions for new indications up to a maximum of 11 years total. There will likely be a transition period of 24 months, with the changes taking effect in mid-2028.</w:t>
      </w:r>
    </w:p>
    <w:p>
      <w:pPr>
        <w:spacing w:after="0" w:line="17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9"/>
          <w:szCs w:val="19"/>
          <w:color w:val="auto"/>
        </w:rPr>
        <w:t>Any delay in obtaining, or an inability to obtain, any marketing approvals, as a result of Brexit or otherwise, may force us to restrict or delay efforts to seek regulatory approval in the United Kingdom for our product candidates, which could significantly and materially harm our business. We expect that we will be subject to additional risks in commercializing any of our product candidates that receive marketing approval outside the U.S., including tariffs, trade barriers and regulatory requirements; economic weakness, including inflation, or political instability in particular foreign economies and markets; compliance with tax, employment, immigration and labor laws for employees living or traveling abroad; foreign currency fluctuations, which could result in increased operating expenses and reduced revenue, and other obligations incident to doing business in another country; and workforce uncertainty in countries where labor unrest is more common than in the U.S.</w:t>
      </w:r>
    </w:p>
    <w:p>
      <w:pPr>
        <w:spacing w:after="0" w:line="177" w:lineRule="exact"/>
        <w:rPr>
          <w:sz w:val="20"/>
          <w:szCs w:val="20"/>
          <w:color w:val="auto"/>
        </w:rPr>
      </w:pPr>
    </w:p>
    <w:p>
      <w:pPr>
        <w:jc w:val="both"/>
        <w:spacing w:after="0" w:line="361" w:lineRule="auto"/>
        <w:rPr>
          <w:sz w:val="20"/>
          <w:szCs w:val="20"/>
          <w:color w:val="auto"/>
        </w:rPr>
      </w:pPr>
      <w:r>
        <w:rPr>
          <w:rFonts w:ascii="Times New Roman" w:cs="Times New Roman" w:eastAsia="Times New Roman" w:hAnsi="Times New Roman"/>
          <w:sz w:val="19"/>
          <w:szCs w:val="19"/>
          <w:b w:val="1"/>
          <w:bCs w:val="1"/>
          <w:i w:val="1"/>
          <w:iCs w:val="1"/>
          <w:color w:val="auto"/>
        </w:rPr>
        <w:t>We may not be able to obtain orphan drug designation or orphan drug exclusivity for our product candidates and, even if we do, that exclusivity may not prevent the FDA or the EMA from approving competing products.</w:t>
      </w:r>
    </w:p>
    <w:p>
      <w:pPr>
        <w:spacing w:after="0" w:line="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Regulatory authorities in some jurisdictions, including the U.S. and the EU,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annually in the U.S. Generally, a product with orphan drug designation only becomes entitled to orphan drug exclusivity if it receives the first marketing approval for the indication for which it has such designation, in which case the FDA or the EMA will be precluded from approving another marketing application for the same product for that indication for the applicable exclusivity period. The applicable exclusivity period is seven years in the U.S. and ten years in the EU. The European exclusivity period can be reduced to six years if a product no longer meets the criteria for orphan drug designation or if the product is sufficiently profitable so that market exclusivity is no longer justified.</w:t>
      </w:r>
    </w:p>
    <w:p>
      <w:pPr>
        <w:spacing w:after="0" w:line="18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9"/>
          <w:szCs w:val="19"/>
          <w:color w:val="auto"/>
        </w:rPr>
        <w:t>We may seek orphan drug designations for our product candidates and may be unable to obtain such designations. Even if we do secure such designations and orphan drug exclusivity for a product, that exclusivity may not effectively protect the product from competition because different products can be approved for the same condition. Further, the FDA can subsequently approve the same drug for the same condition if the FDA concludes that the later product is clinically superior in that it is shown to be safer, to be more effective or to make a major contribution to patient care. Finally, orphan drug exclusivity may be lost if the FDA or the EMA determines that the request for designation was materially defective or if the manufacturer is unable to assure sufficient quantity of the product to meet the needs of patients with the rare disease or condition.</w:t>
      </w:r>
    </w:p>
    <w:p>
      <w:pPr>
        <w:spacing w:after="0" w:line="18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 xml:space="preserve">The FDA and Congress may further reevaluate the Orphan Drug Act and its regulations and policies. This may be particularly true in light of a decision from the Court of Appeals for the 11th Circuit in September 2021. In </w:t>
      </w:r>
      <w:r>
        <w:rPr>
          <w:rFonts w:ascii="Times New Roman" w:cs="Times New Roman" w:eastAsia="Times New Roman" w:hAnsi="Times New Roman"/>
          <w:sz w:val="19"/>
          <w:szCs w:val="19"/>
          <w:i w:val="1"/>
          <w:iCs w:val="1"/>
          <w:color w:val="auto"/>
        </w:rPr>
        <w:t>Catalyst Pharms, Inc. v. Becerra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i w:val="1"/>
          <w:iCs w:val="1"/>
          <w:color w:val="auto"/>
        </w:rPr>
        <w:t>Catalyst</w:t>
      </w:r>
      <w:r>
        <w:rPr>
          <w:rFonts w:ascii="Times New Roman" w:cs="Times New Roman" w:eastAsia="Times New Roman" w:hAnsi="Times New Roman"/>
          <w:sz w:val="19"/>
          <w:szCs w:val="19"/>
          <w:color w:val="auto"/>
        </w:rPr>
        <w:t xml:space="preserve">, that court held that, for the purpose of determining the scope of orphan drug exclusivity, the term “same disease or condition” in the statute means the designated “rare disease or condition” and could not be interpreted by the FDA to mean the “indication or use.” Thus, the court concluded, orphan drug exclusivity applies to the entire designated disease or condition rather than the approved “indication or use.” Although there have been legislative proposals to overrule this decision, they have not been enacted into law. On January 23, 2023, the FDA announced that, in matters beyond the scope of the </w:t>
      </w:r>
      <w:r>
        <w:rPr>
          <w:rFonts w:ascii="Times New Roman" w:cs="Times New Roman" w:eastAsia="Times New Roman" w:hAnsi="Times New Roman"/>
          <w:sz w:val="19"/>
          <w:szCs w:val="19"/>
          <w:i w:val="1"/>
          <w:iCs w:val="1"/>
          <w:color w:val="auto"/>
        </w:rPr>
        <w:t>Catalyst</w:t>
      </w:r>
      <w:r>
        <w:rPr>
          <w:rFonts w:ascii="Times New Roman" w:cs="Times New Roman" w:eastAsia="Times New Roman" w:hAnsi="Times New Roman"/>
          <w:sz w:val="19"/>
          <w:szCs w:val="19"/>
          <w:color w:val="auto"/>
        </w:rPr>
        <w:t xml:space="preserve"> court order, the FDA will continue to apply its existing regulations tying orphan-drug exclusivity to the uses or indications for which the orphan drug is approved. More recently, however, on February 14, 2025, a federal district court in Washington, D.C., fully embraced the reasoning of the </w:t>
      </w:r>
      <w:r>
        <w:rPr>
          <w:rFonts w:ascii="Times New Roman" w:cs="Times New Roman" w:eastAsia="Times New Roman" w:hAnsi="Times New Roman"/>
          <w:sz w:val="19"/>
          <w:szCs w:val="19"/>
          <w:i w:val="1"/>
          <w:iCs w:val="1"/>
          <w:color w:val="auto"/>
        </w:rPr>
        <w:t>Catalyst</w:t>
      </w:r>
      <w:r>
        <w:rPr>
          <w:rFonts w:ascii="Times New Roman" w:cs="Times New Roman" w:eastAsia="Times New Roman" w:hAnsi="Times New Roman"/>
          <w:sz w:val="19"/>
          <w:szCs w:val="19"/>
          <w:color w:val="auto"/>
        </w:rPr>
        <w:t xml:space="preserve"> decision in another decision challenging the scope of orphan drug exclusivity. On April 17, 2025, the FDA appealed this decision to the U.S. Court of Appeals for the D.C. Circuit. The implications of this decision, and its impact on the FDA’s implementation of the Orphan Drug Act, are unclear at this point.</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color w:val="auto"/>
        </w:rPr>
        <w:t>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171"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9"/>
          <w:szCs w:val="19"/>
          <w:b w:val="1"/>
          <w:bCs w:val="1"/>
          <w:i w:val="1"/>
          <w:iCs w:val="1"/>
          <w:color w:val="auto"/>
        </w:rPr>
        <w:t>Any product candidate for which we obtain marketing approval is subject to ongoing regulation and could be subject to restrictions or withdrawal from the market, and we may be subject to substantial penalties if we fail to comply with regulatory requirements, when and if any of our product candidates are approved.</w:t>
      </w:r>
    </w:p>
    <w:p>
      <w:pPr>
        <w:jc w:val="both"/>
        <w:spacing w:after="0" w:line="251" w:lineRule="auto"/>
        <w:rPr>
          <w:sz w:val="20"/>
          <w:szCs w:val="20"/>
          <w:color w:val="auto"/>
        </w:rPr>
      </w:pPr>
      <w:r>
        <w:rPr>
          <w:rFonts w:ascii="Times New Roman" w:cs="Times New Roman" w:eastAsia="Times New Roman" w:hAnsi="Times New Roman"/>
          <w:sz w:val="19"/>
          <w:szCs w:val="19"/>
          <w:color w:val="auto"/>
        </w:rPr>
        <w:t>Any product candidate for which we obtain marketing approval will be subject to continual requirements of and review by the FDA and other regulatory authorities. These requirements include submissions of safety and other post-marketing information and reports, registration and listing requirements, cGMP requirements relating to quality control and manufacturing, quality assurance and corresponding maintenance of records and documents, and requirements regarding the distribution of samples to physicians and</w:t>
      </w:r>
    </w:p>
    <w:p>
      <w:pPr>
        <w:sectPr>
          <w:pgSz w:w="12240" w:h="15840" w:orient="portrait"/>
          <w:cols w:equalWidth="0" w:num="1">
            <w:col w:w="10200"/>
          </w:cols>
          <w:pgMar w:left="1020" w:top="1317" w:right="1020" w:bottom="574" w:gutter="0" w:footer="0" w:header="0"/>
        </w:sectPr>
      </w:pP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74</w:t>
      </w:r>
    </w:p>
    <w:p>
      <w:pPr>
        <w:sectPr>
          <w:pgSz w:w="12240" w:h="15840" w:orient="portrait"/>
          <w:cols w:equalWidth="0" w:num="1">
            <w:col w:w="10200"/>
          </w:cols>
          <w:pgMar w:left="1020" w:top="1317" w:right="1020" w:bottom="574" w:gutter="0" w:footer="0" w:header="0"/>
          <w:type w:val="continuous"/>
        </w:sectPr>
      </w:pPr>
    </w:p>
    <w:bookmarkStart w:id="77" w:name="page78"/>
    <w:bookmarkEnd w:id="77"/>
    <w:p>
      <w:pPr>
        <w:jc w:val="both"/>
        <w:spacing w:after="0" w:line="244" w:lineRule="auto"/>
        <w:rPr>
          <w:sz w:val="20"/>
          <w:szCs w:val="20"/>
          <w:color w:val="auto"/>
        </w:rPr>
      </w:pPr>
      <w:r>
        <w:rPr>
          <w:rFonts w:ascii="Times New Roman" w:cs="Times New Roman" w:eastAsia="Times New Roman" w:hAnsi="Times New Roman"/>
          <w:sz w:val="19"/>
          <w:szCs w:val="19"/>
          <w:color w:val="auto"/>
        </w:rPr>
        <w:t>recordkeeping. In addition, the approval may be subject to limitations on the indicated uses for which the product may be marketed or to the conditions of approval or contain requirements for costly post-marketing testing and surveillance to monitor the safety or efficacy of the medicine, including the requirement to implement a risk evaluation and mitigation strategy. Accordingly, if we receive marketing approval for one or more of our product candidates, we will continue to expend time, money and effort in all areas of regulatory compliance, including manufacturing, production, product surveillance and quality control. If we fail to comply with these requirements, we could have the marketing approvals for our products withdrawn by regulatory authorities and our ability to market any products could be limited, which could adversely affect our ability to achieve or sustain profitability.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Failure to comply with regulatory requirements, may yield various results, including:</w:t>
      </w:r>
    </w:p>
    <w:p>
      <w:pPr>
        <w:spacing w:after="0" w:line="121" w:lineRule="exact"/>
        <w:rPr>
          <w:sz w:val="20"/>
          <w:szCs w:val="20"/>
          <w:color w:val="auto"/>
        </w:rPr>
      </w:pPr>
    </w:p>
    <w:p>
      <w:pPr>
        <w:ind w:left="920" w:hanging="458"/>
        <w:spacing w:after="0"/>
        <w:tabs>
          <w:tab w:leader="none" w:pos="920" w:val="left"/>
        </w:tabs>
        <w:numPr>
          <w:ilvl w:val="0"/>
          <w:numId w:val="48"/>
        </w:numPr>
        <w:rPr>
          <w:rFonts w:ascii="Arial" w:cs="Arial" w:eastAsia="Arial" w:hAnsi="Arial"/>
          <w:sz w:val="19"/>
          <w:szCs w:val="19"/>
          <w:color w:val="auto"/>
        </w:rPr>
      </w:pPr>
      <w:r>
        <w:rPr>
          <w:rFonts w:ascii="Times New Roman" w:cs="Times New Roman" w:eastAsia="Times New Roman" w:hAnsi="Times New Roman"/>
          <w:sz w:val="19"/>
          <w:szCs w:val="19"/>
          <w:color w:val="auto"/>
        </w:rPr>
        <w:t>restrictions on such products, manufacturers or manufacturing processes;</w:t>
      </w:r>
    </w:p>
    <w:p>
      <w:pPr>
        <w:spacing w:after="0" w:line="120" w:lineRule="exact"/>
        <w:rPr>
          <w:rFonts w:ascii="Arial" w:cs="Arial" w:eastAsia="Arial" w:hAnsi="Arial"/>
          <w:sz w:val="19"/>
          <w:szCs w:val="19"/>
          <w:color w:val="auto"/>
        </w:rPr>
      </w:pPr>
    </w:p>
    <w:p>
      <w:pPr>
        <w:ind w:left="920" w:hanging="458"/>
        <w:spacing w:after="0"/>
        <w:tabs>
          <w:tab w:leader="none" w:pos="920" w:val="left"/>
        </w:tabs>
        <w:numPr>
          <w:ilvl w:val="0"/>
          <w:numId w:val="48"/>
        </w:numPr>
        <w:rPr>
          <w:rFonts w:ascii="Arial" w:cs="Arial" w:eastAsia="Arial" w:hAnsi="Arial"/>
          <w:sz w:val="19"/>
          <w:szCs w:val="19"/>
          <w:color w:val="auto"/>
        </w:rPr>
      </w:pPr>
      <w:r>
        <w:rPr>
          <w:rFonts w:ascii="Times New Roman" w:cs="Times New Roman" w:eastAsia="Times New Roman" w:hAnsi="Times New Roman"/>
          <w:sz w:val="19"/>
          <w:szCs w:val="19"/>
          <w:color w:val="auto"/>
        </w:rPr>
        <w:t>restrictions on the labeling or marketing of a product;</w:t>
      </w:r>
    </w:p>
    <w:p>
      <w:pPr>
        <w:spacing w:after="0" w:line="120" w:lineRule="exact"/>
        <w:rPr>
          <w:rFonts w:ascii="Arial" w:cs="Arial" w:eastAsia="Arial" w:hAnsi="Arial"/>
          <w:sz w:val="19"/>
          <w:szCs w:val="19"/>
          <w:color w:val="auto"/>
        </w:rPr>
      </w:pPr>
    </w:p>
    <w:p>
      <w:pPr>
        <w:ind w:left="920" w:hanging="458"/>
        <w:spacing w:after="0"/>
        <w:tabs>
          <w:tab w:leader="none" w:pos="920" w:val="left"/>
        </w:tabs>
        <w:numPr>
          <w:ilvl w:val="0"/>
          <w:numId w:val="48"/>
        </w:numPr>
        <w:rPr>
          <w:rFonts w:ascii="Arial" w:cs="Arial" w:eastAsia="Arial" w:hAnsi="Arial"/>
          <w:sz w:val="19"/>
          <w:szCs w:val="19"/>
          <w:color w:val="auto"/>
        </w:rPr>
      </w:pPr>
      <w:r>
        <w:rPr>
          <w:rFonts w:ascii="Times New Roman" w:cs="Times New Roman" w:eastAsia="Times New Roman" w:hAnsi="Times New Roman"/>
          <w:sz w:val="19"/>
          <w:szCs w:val="19"/>
          <w:color w:val="auto"/>
        </w:rPr>
        <w:t>restrictions on distribution or use of a product;</w:t>
      </w:r>
    </w:p>
    <w:p>
      <w:pPr>
        <w:spacing w:after="0" w:line="120" w:lineRule="exact"/>
        <w:rPr>
          <w:rFonts w:ascii="Arial" w:cs="Arial" w:eastAsia="Arial" w:hAnsi="Arial"/>
          <w:sz w:val="19"/>
          <w:szCs w:val="19"/>
          <w:color w:val="auto"/>
        </w:rPr>
      </w:pPr>
    </w:p>
    <w:p>
      <w:pPr>
        <w:ind w:left="920" w:hanging="458"/>
        <w:spacing w:after="0"/>
        <w:tabs>
          <w:tab w:leader="none" w:pos="920" w:val="left"/>
        </w:tabs>
        <w:numPr>
          <w:ilvl w:val="0"/>
          <w:numId w:val="48"/>
        </w:numPr>
        <w:rPr>
          <w:rFonts w:ascii="Arial" w:cs="Arial" w:eastAsia="Arial" w:hAnsi="Arial"/>
          <w:sz w:val="19"/>
          <w:szCs w:val="19"/>
          <w:color w:val="auto"/>
        </w:rPr>
      </w:pPr>
      <w:r>
        <w:rPr>
          <w:rFonts w:ascii="Times New Roman" w:cs="Times New Roman" w:eastAsia="Times New Roman" w:hAnsi="Times New Roman"/>
          <w:sz w:val="19"/>
          <w:szCs w:val="19"/>
          <w:color w:val="auto"/>
        </w:rPr>
        <w:t>requirements to conduct post-marketing studies or clinical trials;</w:t>
      </w:r>
    </w:p>
    <w:p>
      <w:pPr>
        <w:spacing w:after="0" w:line="120" w:lineRule="exact"/>
        <w:rPr>
          <w:rFonts w:ascii="Arial" w:cs="Arial" w:eastAsia="Arial" w:hAnsi="Arial"/>
          <w:sz w:val="19"/>
          <w:szCs w:val="19"/>
          <w:color w:val="auto"/>
        </w:rPr>
      </w:pPr>
    </w:p>
    <w:p>
      <w:pPr>
        <w:ind w:left="920" w:hanging="458"/>
        <w:spacing w:after="0"/>
        <w:tabs>
          <w:tab w:leader="none" w:pos="920" w:val="left"/>
        </w:tabs>
        <w:numPr>
          <w:ilvl w:val="0"/>
          <w:numId w:val="48"/>
        </w:numPr>
        <w:rPr>
          <w:rFonts w:ascii="Arial" w:cs="Arial" w:eastAsia="Arial" w:hAnsi="Arial"/>
          <w:sz w:val="19"/>
          <w:szCs w:val="19"/>
          <w:color w:val="auto"/>
        </w:rPr>
      </w:pPr>
      <w:r>
        <w:rPr>
          <w:rFonts w:ascii="Times New Roman" w:cs="Times New Roman" w:eastAsia="Times New Roman" w:hAnsi="Times New Roman"/>
          <w:sz w:val="19"/>
          <w:szCs w:val="19"/>
          <w:color w:val="auto"/>
        </w:rPr>
        <w:t>warning letters or untitled letters;</w:t>
      </w:r>
    </w:p>
    <w:p>
      <w:pPr>
        <w:spacing w:after="0" w:line="120" w:lineRule="exact"/>
        <w:rPr>
          <w:rFonts w:ascii="Arial" w:cs="Arial" w:eastAsia="Arial" w:hAnsi="Arial"/>
          <w:sz w:val="19"/>
          <w:szCs w:val="19"/>
          <w:color w:val="auto"/>
        </w:rPr>
      </w:pPr>
    </w:p>
    <w:p>
      <w:pPr>
        <w:ind w:left="920" w:hanging="458"/>
        <w:spacing w:after="0"/>
        <w:tabs>
          <w:tab w:leader="none" w:pos="920" w:val="left"/>
        </w:tabs>
        <w:numPr>
          <w:ilvl w:val="0"/>
          <w:numId w:val="48"/>
        </w:numPr>
        <w:rPr>
          <w:rFonts w:ascii="Arial" w:cs="Arial" w:eastAsia="Arial" w:hAnsi="Arial"/>
          <w:sz w:val="19"/>
          <w:szCs w:val="19"/>
          <w:color w:val="auto"/>
        </w:rPr>
      </w:pPr>
      <w:r>
        <w:rPr>
          <w:rFonts w:ascii="Times New Roman" w:cs="Times New Roman" w:eastAsia="Times New Roman" w:hAnsi="Times New Roman"/>
          <w:sz w:val="19"/>
          <w:szCs w:val="19"/>
          <w:color w:val="auto"/>
        </w:rPr>
        <w:t>withdrawal of the products from the market;</w:t>
      </w:r>
    </w:p>
    <w:p>
      <w:pPr>
        <w:spacing w:after="0" w:line="120" w:lineRule="exact"/>
        <w:rPr>
          <w:rFonts w:ascii="Arial" w:cs="Arial" w:eastAsia="Arial" w:hAnsi="Arial"/>
          <w:sz w:val="19"/>
          <w:szCs w:val="19"/>
          <w:color w:val="auto"/>
        </w:rPr>
      </w:pPr>
    </w:p>
    <w:p>
      <w:pPr>
        <w:ind w:left="920" w:hanging="458"/>
        <w:spacing w:after="0"/>
        <w:tabs>
          <w:tab w:leader="none" w:pos="920" w:val="left"/>
        </w:tabs>
        <w:numPr>
          <w:ilvl w:val="0"/>
          <w:numId w:val="48"/>
        </w:numPr>
        <w:rPr>
          <w:rFonts w:ascii="Arial" w:cs="Arial" w:eastAsia="Arial" w:hAnsi="Arial"/>
          <w:sz w:val="19"/>
          <w:szCs w:val="19"/>
          <w:color w:val="auto"/>
        </w:rPr>
      </w:pPr>
      <w:r>
        <w:rPr>
          <w:rFonts w:ascii="Times New Roman" w:cs="Times New Roman" w:eastAsia="Times New Roman" w:hAnsi="Times New Roman"/>
          <w:sz w:val="19"/>
          <w:szCs w:val="19"/>
          <w:color w:val="auto"/>
        </w:rPr>
        <w:t>refusal to approve pending applications or supplements to approved applications that we submit;</w:t>
      </w:r>
    </w:p>
    <w:p>
      <w:pPr>
        <w:spacing w:after="0" w:line="120" w:lineRule="exact"/>
        <w:rPr>
          <w:rFonts w:ascii="Arial" w:cs="Arial" w:eastAsia="Arial" w:hAnsi="Arial"/>
          <w:sz w:val="19"/>
          <w:szCs w:val="19"/>
          <w:color w:val="auto"/>
        </w:rPr>
      </w:pPr>
    </w:p>
    <w:p>
      <w:pPr>
        <w:ind w:left="920" w:hanging="458"/>
        <w:spacing w:after="0"/>
        <w:tabs>
          <w:tab w:leader="none" w:pos="920" w:val="left"/>
        </w:tabs>
        <w:numPr>
          <w:ilvl w:val="0"/>
          <w:numId w:val="48"/>
        </w:numPr>
        <w:rPr>
          <w:rFonts w:ascii="Arial" w:cs="Arial" w:eastAsia="Arial" w:hAnsi="Arial"/>
          <w:sz w:val="19"/>
          <w:szCs w:val="19"/>
          <w:color w:val="auto"/>
        </w:rPr>
      </w:pPr>
      <w:r>
        <w:rPr>
          <w:rFonts w:ascii="Times New Roman" w:cs="Times New Roman" w:eastAsia="Times New Roman" w:hAnsi="Times New Roman"/>
          <w:sz w:val="19"/>
          <w:szCs w:val="19"/>
          <w:color w:val="auto"/>
        </w:rPr>
        <w:t>recall of products;</w:t>
      </w:r>
    </w:p>
    <w:p>
      <w:pPr>
        <w:spacing w:after="0" w:line="120" w:lineRule="exact"/>
        <w:rPr>
          <w:rFonts w:ascii="Arial" w:cs="Arial" w:eastAsia="Arial" w:hAnsi="Arial"/>
          <w:sz w:val="19"/>
          <w:szCs w:val="19"/>
          <w:color w:val="auto"/>
        </w:rPr>
      </w:pPr>
    </w:p>
    <w:p>
      <w:pPr>
        <w:ind w:left="920" w:hanging="458"/>
        <w:spacing w:after="0"/>
        <w:tabs>
          <w:tab w:leader="none" w:pos="920" w:val="left"/>
        </w:tabs>
        <w:numPr>
          <w:ilvl w:val="0"/>
          <w:numId w:val="48"/>
        </w:numPr>
        <w:rPr>
          <w:rFonts w:ascii="Arial" w:cs="Arial" w:eastAsia="Arial" w:hAnsi="Arial"/>
          <w:sz w:val="19"/>
          <w:szCs w:val="19"/>
          <w:color w:val="auto"/>
        </w:rPr>
      </w:pPr>
      <w:r>
        <w:rPr>
          <w:rFonts w:ascii="Times New Roman" w:cs="Times New Roman" w:eastAsia="Times New Roman" w:hAnsi="Times New Roman"/>
          <w:sz w:val="19"/>
          <w:szCs w:val="19"/>
          <w:color w:val="auto"/>
        </w:rPr>
        <w:t>damage to relationships with collaborators;</w:t>
      </w:r>
    </w:p>
    <w:p>
      <w:pPr>
        <w:spacing w:after="0" w:line="120" w:lineRule="exact"/>
        <w:rPr>
          <w:rFonts w:ascii="Arial" w:cs="Arial" w:eastAsia="Arial" w:hAnsi="Arial"/>
          <w:sz w:val="19"/>
          <w:szCs w:val="19"/>
          <w:color w:val="auto"/>
        </w:rPr>
      </w:pPr>
    </w:p>
    <w:p>
      <w:pPr>
        <w:ind w:left="920" w:hanging="458"/>
        <w:spacing w:after="0"/>
        <w:tabs>
          <w:tab w:leader="none" w:pos="920" w:val="left"/>
        </w:tabs>
        <w:numPr>
          <w:ilvl w:val="0"/>
          <w:numId w:val="48"/>
        </w:numPr>
        <w:rPr>
          <w:rFonts w:ascii="Arial" w:cs="Arial" w:eastAsia="Arial" w:hAnsi="Arial"/>
          <w:sz w:val="19"/>
          <w:szCs w:val="19"/>
          <w:color w:val="auto"/>
        </w:rPr>
      </w:pPr>
      <w:r>
        <w:rPr>
          <w:rFonts w:ascii="Times New Roman" w:cs="Times New Roman" w:eastAsia="Times New Roman" w:hAnsi="Times New Roman"/>
          <w:sz w:val="19"/>
          <w:szCs w:val="19"/>
          <w:color w:val="auto"/>
        </w:rPr>
        <w:t>unfavorable press coverage and damage to our reputation;</w:t>
      </w:r>
    </w:p>
    <w:p>
      <w:pPr>
        <w:spacing w:after="0" w:line="120" w:lineRule="exact"/>
        <w:rPr>
          <w:rFonts w:ascii="Arial" w:cs="Arial" w:eastAsia="Arial" w:hAnsi="Arial"/>
          <w:sz w:val="19"/>
          <w:szCs w:val="19"/>
          <w:color w:val="auto"/>
        </w:rPr>
      </w:pPr>
    </w:p>
    <w:p>
      <w:pPr>
        <w:ind w:left="920" w:hanging="458"/>
        <w:spacing w:after="0"/>
        <w:tabs>
          <w:tab w:leader="none" w:pos="920" w:val="left"/>
        </w:tabs>
        <w:numPr>
          <w:ilvl w:val="0"/>
          <w:numId w:val="48"/>
        </w:numPr>
        <w:rPr>
          <w:rFonts w:ascii="Arial" w:cs="Arial" w:eastAsia="Arial" w:hAnsi="Arial"/>
          <w:sz w:val="19"/>
          <w:szCs w:val="19"/>
          <w:color w:val="auto"/>
        </w:rPr>
      </w:pPr>
      <w:r>
        <w:rPr>
          <w:rFonts w:ascii="Times New Roman" w:cs="Times New Roman" w:eastAsia="Times New Roman" w:hAnsi="Times New Roman"/>
          <w:sz w:val="19"/>
          <w:szCs w:val="19"/>
          <w:color w:val="auto"/>
        </w:rPr>
        <w:t>fines, restitution or disgorgement of profits or revenues;</w:t>
      </w:r>
    </w:p>
    <w:p>
      <w:pPr>
        <w:spacing w:after="0" w:line="120" w:lineRule="exact"/>
        <w:rPr>
          <w:rFonts w:ascii="Arial" w:cs="Arial" w:eastAsia="Arial" w:hAnsi="Arial"/>
          <w:sz w:val="19"/>
          <w:szCs w:val="19"/>
          <w:color w:val="auto"/>
        </w:rPr>
      </w:pPr>
    </w:p>
    <w:p>
      <w:pPr>
        <w:ind w:left="920" w:hanging="458"/>
        <w:spacing w:after="0"/>
        <w:tabs>
          <w:tab w:leader="none" w:pos="920" w:val="left"/>
        </w:tabs>
        <w:numPr>
          <w:ilvl w:val="0"/>
          <w:numId w:val="48"/>
        </w:numPr>
        <w:rPr>
          <w:rFonts w:ascii="Arial" w:cs="Arial" w:eastAsia="Arial" w:hAnsi="Arial"/>
          <w:sz w:val="19"/>
          <w:szCs w:val="19"/>
          <w:color w:val="auto"/>
        </w:rPr>
      </w:pPr>
      <w:r>
        <w:rPr>
          <w:rFonts w:ascii="Times New Roman" w:cs="Times New Roman" w:eastAsia="Times New Roman" w:hAnsi="Times New Roman"/>
          <w:sz w:val="19"/>
          <w:szCs w:val="19"/>
          <w:color w:val="auto"/>
        </w:rPr>
        <w:t>suspension or withdrawal of marketing approvals;</w:t>
      </w:r>
    </w:p>
    <w:p>
      <w:pPr>
        <w:spacing w:after="0" w:line="120" w:lineRule="exact"/>
        <w:rPr>
          <w:rFonts w:ascii="Arial" w:cs="Arial" w:eastAsia="Arial" w:hAnsi="Arial"/>
          <w:sz w:val="19"/>
          <w:szCs w:val="19"/>
          <w:color w:val="auto"/>
        </w:rPr>
      </w:pPr>
    </w:p>
    <w:p>
      <w:pPr>
        <w:ind w:left="920" w:hanging="458"/>
        <w:spacing w:after="0"/>
        <w:tabs>
          <w:tab w:leader="none" w:pos="920" w:val="left"/>
        </w:tabs>
        <w:numPr>
          <w:ilvl w:val="0"/>
          <w:numId w:val="48"/>
        </w:numPr>
        <w:rPr>
          <w:rFonts w:ascii="Arial" w:cs="Arial" w:eastAsia="Arial" w:hAnsi="Arial"/>
          <w:sz w:val="19"/>
          <w:szCs w:val="19"/>
          <w:color w:val="auto"/>
        </w:rPr>
      </w:pPr>
      <w:r>
        <w:rPr>
          <w:rFonts w:ascii="Times New Roman" w:cs="Times New Roman" w:eastAsia="Times New Roman" w:hAnsi="Times New Roman"/>
          <w:sz w:val="19"/>
          <w:szCs w:val="19"/>
          <w:color w:val="auto"/>
        </w:rPr>
        <w:t>refusal to permit the import or export of our products;</w:t>
      </w:r>
    </w:p>
    <w:p>
      <w:pPr>
        <w:spacing w:after="0" w:line="120" w:lineRule="exact"/>
        <w:rPr>
          <w:rFonts w:ascii="Arial" w:cs="Arial" w:eastAsia="Arial" w:hAnsi="Arial"/>
          <w:sz w:val="19"/>
          <w:szCs w:val="19"/>
          <w:color w:val="auto"/>
        </w:rPr>
      </w:pPr>
    </w:p>
    <w:p>
      <w:pPr>
        <w:ind w:left="920" w:hanging="458"/>
        <w:spacing w:after="0"/>
        <w:tabs>
          <w:tab w:leader="none" w:pos="920" w:val="left"/>
        </w:tabs>
        <w:numPr>
          <w:ilvl w:val="0"/>
          <w:numId w:val="48"/>
        </w:numPr>
        <w:rPr>
          <w:rFonts w:ascii="Arial" w:cs="Arial" w:eastAsia="Arial" w:hAnsi="Arial"/>
          <w:sz w:val="19"/>
          <w:szCs w:val="19"/>
          <w:color w:val="auto"/>
        </w:rPr>
      </w:pPr>
      <w:r>
        <w:rPr>
          <w:rFonts w:ascii="Times New Roman" w:cs="Times New Roman" w:eastAsia="Times New Roman" w:hAnsi="Times New Roman"/>
          <w:sz w:val="19"/>
          <w:szCs w:val="19"/>
          <w:color w:val="auto"/>
        </w:rPr>
        <w:t>product seizure;</w:t>
      </w:r>
    </w:p>
    <w:p>
      <w:pPr>
        <w:spacing w:after="0" w:line="120" w:lineRule="exact"/>
        <w:rPr>
          <w:rFonts w:ascii="Arial" w:cs="Arial" w:eastAsia="Arial" w:hAnsi="Arial"/>
          <w:sz w:val="19"/>
          <w:szCs w:val="19"/>
          <w:color w:val="auto"/>
        </w:rPr>
      </w:pPr>
    </w:p>
    <w:p>
      <w:pPr>
        <w:ind w:left="920" w:hanging="458"/>
        <w:spacing w:after="0"/>
        <w:tabs>
          <w:tab w:leader="none" w:pos="920" w:val="left"/>
        </w:tabs>
        <w:numPr>
          <w:ilvl w:val="0"/>
          <w:numId w:val="48"/>
        </w:numPr>
        <w:rPr>
          <w:rFonts w:ascii="Arial" w:cs="Arial" w:eastAsia="Arial" w:hAnsi="Arial"/>
          <w:sz w:val="19"/>
          <w:szCs w:val="19"/>
          <w:color w:val="auto"/>
        </w:rPr>
      </w:pPr>
      <w:r>
        <w:rPr>
          <w:rFonts w:ascii="Times New Roman" w:cs="Times New Roman" w:eastAsia="Times New Roman" w:hAnsi="Times New Roman"/>
          <w:sz w:val="19"/>
          <w:szCs w:val="19"/>
          <w:color w:val="auto"/>
        </w:rPr>
        <w:t>injunctions or the imposition of civil or criminal penalties; and</w:t>
      </w:r>
    </w:p>
    <w:p>
      <w:pPr>
        <w:spacing w:after="0" w:line="120" w:lineRule="exact"/>
        <w:rPr>
          <w:rFonts w:ascii="Arial" w:cs="Arial" w:eastAsia="Arial" w:hAnsi="Arial"/>
          <w:sz w:val="19"/>
          <w:szCs w:val="19"/>
          <w:color w:val="auto"/>
        </w:rPr>
      </w:pPr>
    </w:p>
    <w:p>
      <w:pPr>
        <w:ind w:left="920" w:hanging="458"/>
        <w:spacing w:after="0"/>
        <w:tabs>
          <w:tab w:leader="none" w:pos="920" w:val="left"/>
        </w:tabs>
        <w:numPr>
          <w:ilvl w:val="0"/>
          <w:numId w:val="48"/>
        </w:numPr>
        <w:rPr>
          <w:rFonts w:ascii="Arial" w:cs="Arial" w:eastAsia="Arial" w:hAnsi="Arial"/>
          <w:sz w:val="19"/>
          <w:szCs w:val="19"/>
          <w:color w:val="auto"/>
        </w:rPr>
      </w:pPr>
      <w:r>
        <w:rPr>
          <w:rFonts w:ascii="Times New Roman" w:cs="Times New Roman" w:eastAsia="Times New Roman" w:hAnsi="Times New Roman"/>
          <w:sz w:val="19"/>
          <w:szCs w:val="19"/>
          <w:color w:val="auto"/>
        </w:rPr>
        <w:t>litigation involving patients using our products.</w:t>
      </w:r>
    </w:p>
    <w:p>
      <w:pPr>
        <w:spacing w:after="0" w:line="22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9"/>
          <w:szCs w:val="19"/>
          <w:color w:val="auto"/>
        </w:rPr>
        <w:t>Non-compliance with EU requirements regarding safety monitoring or pharmacovigilance, and with requirements related to the development of products for the pediatric population, can also result in significant financial penalties. Similarly, failure to comply with the EU’s requirements regarding the protection of personal information can also lead to significant penalties and sanctions. Further, the marketing and promotion of authorized drugs, including industry-sponsored continuing medical education and advertising directed toward the prescribers of drugs and/or the general public, are strictly regulated in the EU notably under Directive 2001/83EC, as amended, and are also subject to EU member state laws. Direct-to-consumer advertising of prescription medicines is prohibited across the EU.</w:t>
      </w:r>
    </w:p>
    <w:p>
      <w:pPr>
        <w:spacing w:after="0" w:line="19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color w:val="auto"/>
        </w:rPr>
        <w:t>Accordingly, assuming we, or our collaborators, receive marketing approval for one or more of our product candidates, we, and our collaborators, and our and their contract manufacturers will continue to expend time, money and effort in all areas of regulatory compliance, including manufacturing, production, product surveillance and quality control. If we, and our collaborators, are not able to comply with post-approval regulatory requirements, our or our collaborators’ ability to market any future products could be limited, which could adversely affect our ability to achieve or sustain profitability. Further, the cost of compliance with post-approval regulations may have a negative effect on our operating results and financial condition.</w:t>
      </w:r>
    </w:p>
    <w:p>
      <w:pPr>
        <w:spacing w:after="0" w:line="171"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9"/>
          <w:szCs w:val="19"/>
          <w:b w:val="1"/>
          <w:bCs w:val="1"/>
          <w:i w:val="1"/>
          <w:iCs w:val="1"/>
          <w:color w:val="auto"/>
        </w:rPr>
        <w:t>Any regulatory approval to market any of our products candidates for which we obtain approval will be limited by indication. If we fail to comply or are found to be in violation of FDA regulations restricting the promotion of any of our product candidates for unapproved uses, we could be subject to criminal penalties, substantial fines or other sanctions and damage awards.</w:t>
      </w:r>
    </w:p>
    <w:p>
      <w:pPr>
        <w:spacing w:after="0" w:line="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9"/>
          <w:szCs w:val="19"/>
          <w:color w:val="auto"/>
        </w:rPr>
        <w:t>The regulations relating to the promotion of products for unapproved uses are complex and subject to substantial interpretation by the FDA, EMA, MHRA and other government agencies. In September 2021, the FDA published final regulations which describe the types of evidence that the agency will consider in determining the intended use of a drug product. Physicians may nevertheless prescribe products off-label to their patients in a manner that is inconsistent with the approved label. Prior to the approval of any of our product candidates, we intend to implement compliance and training programs designed to ensure that any future sales and</w:t>
      </w:r>
    </w:p>
    <w:p>
      <w:pPr>
        <w:sectPr>
          <w:pgSz w:w="12240" w:h="15840" w:orient="portrait"/>
          <w:cols w:equalWidth="0" w:num="1">
            <w:col w:w="10200"/>
          </w:cols>
          <w:pgMar w:left="1020" w:top="1317" w:right="1020" w:bottom="574" w:gutter="0" w:footer="0" w:header="0"/>
        </w:sect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75</w:t>
      </w:r>
    </w:p>
    <w:p>
      <w:pPr>
        <w:sectPr>
          <w:pgSz w:w="12240" w:h="15840" w:orient="portrait"/>
          <w:cols w:equalWidth="0" w:num="1">
            <w:col w:w="10200"/>
          </w:cols>
          <w:pgMar w:left="1020" w:top="1317" w:right="1020" w:bottom="574" w:gutter="0" w:footer="0" w:header="0"/>
          <w:type w:val="continuous"/>
        </w:sectPr>
      </w:pPr>
    </w:p>
    <w:bookmarkStart w:id="78" w:name="page79"/>
    <w:bookmarkEnd w:id="78"/>
    <w:p>
      <w:pPr>
        <w:jc w:val="both"/>
        <w:spacing w:after="0" w:line="278" w:lineRule="auto"/>
        <w:rPr>
          <w:sz w:val="20"/>
          <w:szCs w:val="20"/>
          <w:color w:val="auto"/>
        </w:rPr>
      </w:pPr>
      <w:r>
        <w:rPr>
          <w:rFonts w:ascii="Times New Roman" w:cs="Times New Roman" w:eastAsia="Times New Roman" w:hAnsi="Times New Roman"/>
          <w:sz w:val="18"/>
          <w:szCs w:val="18"/>
          <w:color w:val="auto"/>
        </w:rPr>
        <w:t>marketing practices comply with applicable regulations. Notwithstanding these programs, the FDA or other government agencies may allege or find that our practices constitute prohibited promotion of our products for unapproved uses. We also cannot be sure that our employees will comply with company policies and applicable regulations regarding the promotion of products for unapproved uses.</w:t>
      </w:r>
    </w:p>
    <w:p>
      <w:pPr>
        <w:spacing w:after="0" w:line="15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For example, on September 9, 2025, the current administration issued a memorandum directing HHS to “ensure transparency and accuracy in direct-to-consumer, or DTC, prescription drug advertising, including by increasing the amount of information regarding any risks associated with the use of any such prescription drug required to be provided in prescription drug advertisements.” To that end, the FDA announced that it is initiating a rulemaking process “to eliminate the ‘adequate provision’ loophole that allows pharmaceutical advertisements to hide safety information by placing it in another format or location.” In this context, the FDA declared that it will no longer tolerate what it characterized as “deceptive practices” in prescription drug advertising and that the FDA would “aggressively deploy” its available enforcement tools, with “heightened scrutiny” of fair balance and disclosures in social media promotions. The FDA also issued a generic “notice letter” directing companies to “remove any noncompliant advertising and bring all promotional communications into compliance.”</w:t>
      </w:r>
    </w:p>
    <w:p>
      <w:pPr>
        <w:spacing w:after="0" w:line="18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Notwithstanding the regulatory restrictions on off-label promotion, the FDA and other regulatory authorities allow companies to engage in truthful, non-misleading, and non-promotional scientific communications concerning their products in certain circumstances. For example, in January 2025, the FDA published final guidance outlining its policies governing the distribution of scientific information to healthcare providers about unapproved uses of approved products. The final guidance calls for such communications to be non-promotional, truthful, non-misleading, and scientifically sound and to include all information necessary for healthcare providers to interpret the strengths and weaknesses and validity and utility of the information about the unapproved use of the approved product. If a company engages in such communications consistent with the guidance’s recommendations, the FDA indicated that it will not treat such communications as evidence of unlawful promotion of a new intended use for the approved product.</w:t>
      </w:r>
    </w:p>
    <w:p>
      <w:pPr>
        <w:spacing w:after="0" w:line="19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In recent years, a significant number of pharmaceutical and biotechnology companies have been the target of inquiries and investigations by various federal and state regulatory, investigative, prosecutorial and administrative entities in connection with the promotion of products for unapproved uses and other sales practices, including the Department of Justice and various U.S. Attorneys’ Offices, the Office of Inspector General of the Department of Health and Human Services, the FDA, the Federal Trade Commission, or the FTC, and various state Attorneys General offices. These investigations have alleged violations of various federal and state laws and regulations, including claims asserting antitrust violations, violations of the FDCA, the False Claims Act, the Prescription Drug Marketing Act and anti-kickback laws and other alleged violations in connection with the promotion of products for unapproved uses, pricing and Medicare and/or Medicaid reimbursement. Many of these investigations originate as “qui tam” actions under the False Claims Act. Under the False Claims Act, any individual can bring a claim on behalf of the government alleging that a person or entity has presented a false claim or caused a false claim to be submitted to the government for payment. The person bringing a qui tam suit is entitled to a share of any recovery or settlement. Qui tam suits, also commonly referred to as “whistleblower suits,” are often brought by current or former employees. In a qui tam suit, the government must decide whether to intervene and prosecute the case. If it declines, the individual may pursue the case alone.</w:t>
      </w:r>
    </w:p>
    <w:p>
      <w:pPr>
        <w:spacing w:after="0" w:line="19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color w:val="auto"/>
        </w:rPr>
        <w:t>If the FDA or any other governmental agency initiates an enforcement action against us or if we are the subject of a qui tam suit and it is determined that we violated prohibitions relating to the promotion of products for unapproved uses, we could be subject to substantial civil or criminal fines or damage awards and other sanctions such as consent decrees and corporate integrity agreements pursuant to which our activities would be subject to ongoing scrutiny and monitoring to ensure compliance with applicable laws and regulations. Any such fines, awards or other sanctions would have an adverse effect on our revenue, business, financial prospects and reputation.</w:t>
      </w:r>
    </w:p>
    <w:p>
      <w:pPr>
        <w:spacing w:after="0" w:line="171"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9"/>
          <w:szCs w:val="19"/>
          <w:b w:val="1"/>
          <w:bCs w:val="1"/>
          <w:i w:val="1"/>
          <w:iCs w:val="1"/>
          <w:color w:val="auto"/>
        </w:rPr>
        <w:t>We may seek certain designations for our product candidates, including Breakthrough Therapy, Fast Track and Priority Review designations in the U.S. and PRIME Designation in the EU, but we might not receive such designations, and even if we do, such designations may not lead to a faster development or regulatory review or approval process.</w:t>
      </w:r>
    </w:p>
    <w:p>
      <w:pPr>
        <w:spacing w:after="0" w:line="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9"/>
          <w:szCs w:val="19"/>
          <w:color w:val="auto"/>
        </w:rPr>
        <w:t>We may seek certain designations for one or more of our product candidates that could expedite review and approval by the FDA. A Breakthrough Therapy product is defined as a product that is intended, alone or in combination with one or more other products, to treat a serious condition, and preliminary clinical evidence indicates that the product may demonstrate substantial improvement over existing therapies on one or more clinically significant endpoints, such as substantial treatment effects observed early in clinical development. For products that have been designated as Breakthrough Therapies, interaction and communication between the FDA and the sponsor of the trial can help to identify the most efficient path for clinical development while minimizing the number of patients placed in ineffective control regimens.</w:t>
      </w:r>
    </w:p>
    <w:p>
      <w:pPr>
        <w:spacing w:after="0" w:line="192"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8"/>
          <w:szCs w:val="18"/>
          <w:color w:val="auto"/>
        </w:rPr>
        <w:t>The FDA may also designate a product for Fast Track review if it is intended, whether alone or in combination with one or more other products, for the treatment of a serious or life-threatening disease or condition, and it demonstrates the potential to address unmet</w:t>
      </w:r>
    </w:p>
    <w:p>
      <w:pPr>
        <w:sectPr>
          <w:pgSz w:w="12240" w:h="15840" w:orient="portrait"/>
          <w:cols w:equalWidth="0" w:num="1">
            <w:col w:w="10200"/>
          </w:cols>
          <w:pgMar w:left="1020" w:top="1317" w:right="1020" w:bottom="574" w:gutter="0" w:footer="0" w:header="0"/>
        </w:sect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76</w:t>
      </w:r>
    </w:p>
    <w:p>
      <w:pPr>
        <w:sectPr>
          <w:pgSz w:w="12240" w:h="15840" w:orient="portrait"/>
          <w:cols w:equalWidth="0" w:num="1">
            <w:col w:w="10200"/>
          </w:cols>
          <w:pgMar w:left="1020" w:top="1317" w:right="1020" w:bottom="574" w:gutter="0" w:footer="0" w:header="0"/>
          <w:type w:val="continuous"/>
        </w:sectPr>
      </w:pPr>
    </w:p>
    <w:bookmarkStart w:id="79" w:name="page80"/>
    <w:bookmarkEnd w:id="79"/>
    <w:p>
      <w:pPr>
        <w:jc w:val="both"/>
        <w:spacing w:after="0" w:line="251" w:lineRule="auto"/>
        <w:rPr>
          <w:sz w:val="20"/>
          <w:szCs w:val="20"/>
          <w:color w:val="auto"/>
        </w:rPr>
      </w:pPr>
      <w:r>
        <w:rPr>
          <w:rFonts w:ascii="Times New Roman" w:cs="Times New Roman" w:eastAsia="Times New Roman" w:hAnsi="Times New Roman"/>
          <w:sz w:val="19"/>
          <w:szCs w:val="19"/>
          <w:color w:val="auto"/>
        </w:rPr>
        <w:t>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w:t>
      </w:r>
    </w:p>
    <w:p>
      <w:pPr>
        <w:spacing w:after="0" w:line="18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9"/>
          <w:szCs w:val="19"/>
          <w:color w:val="auto"/>
        </w:rPr>
        <w:t>We may also seek a priority review designation for one or more of our product candidates. If the FDA determines that a product candidate is intended to treat a serious condition and, if approved, offers a significant improvement in safety or effectiveness, the FDA may designate the product candidate for priority review. Significant improvement may be illustrated by evidence of increased effectiveness in the treatment of a condition, elimination or substantial reduction of a treatment-limiting product reaction, documented enhancement of patient compliance that may lead to improvement in serious outcomes, and evidence of safety and effectiveness in a new subpopulation. A priority review designation means that the goal for the FDA to review an application is six months, rather than the standard review period of ten months.</w:t>
      </w:r>
    </w:p>
    <w:p>
      <w:pPr>
        <w:spacing w:after="0" w:line="19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9"/>
          <w:szCs w:val="19"/>
          <w:color w:val="auto"/>
        </w:rPr>
        <w:t>These designations are within the discretion of the FDA. Accordingly, even if we believe that one of our product candidates meets the criteria for these designations, the FDA may disagree and instead determine not to make such designation. Further, even if we receive a designation, the receipt of such designation for a product candidate may not result in a faster development or regulatory review or approval process compared to products considered for approval under conventional FDA procedures and does not assure ultimate approval by the FDA. In addition, even if one or more of our product candidates qualifies for these designations, the FDA may later decide that the product candidates no longer meet the conditions for qualification or decide that the time period for FDA review or approval will not be shortened.</w:t>
      </w:r>
    </w:p>
    <w:p>
      <w:pPr>
        <w:spacing w:after="0" w:line="19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In the EU, we may seek PRIME designation for some of our product candidates in the future. PRIME is a voluntary program aimed at enhancing the EMA’s role to reinforce scientific and regulatory support in order to optimize development and enable accelerated assessment of new medicines that are of major public health interest with the potential to address unmet medical needs. The program focuses on medicines that target conditions for which there exists no satisfactory method of treatment in the EU or even if such a method exists, it may offer a major therapeutic advantage over existing treatments. PRIME is limited to medicines under development and not authorized in the EU and the applicant intends to apply for an initial marketing authorization application through the centralized procedure. To be accepted for PRIME, a product candidate must meet the eligibility criteria in respect of its major public health interest and therapeutic innovation based on information that is capable of substantiating the claims. The benefits of a PRIME designation include the appointment of a CHMP rapporteur to provide continued support and help to build knowledge ahead of a marketing authorization application, early dialogue and scientific advice at key development milestones, and the potential to qualify products for accelerated review, meaning reduction in the review time for an opinion on approvability to be issued earlier in the application process. PRIME enables an applicant to request parallel EMA scientific advice and health technology assessment advice to facilitate timely market access. Even if we receive PRIME designation for any of our product candidates, the designation may not result in a materially faster development process, review or approval compared to conventional EMA procedures. Further, obtaining PRIME designation does not assure or increase the likelihood of EMA’s grant of a marketing authorization.</w:t>
      </w:r>
    </w:p>
    <w:p>
      <w:pPr>
        <w:spacing w:after="0" w:line="179"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9"/>
          <w:szCs w:val="19"/>
          <w:b w:val="1"/>
          <w:bCs w:val="1"/>
          <w:i w:val="1"/>
          <w:iCs w:val="1"/>
          <w:color w:val="auto"/>
        </w:rPr>
        <w:t>Accelerated approval by the FDA, even if granted for any of our current or future product candidates, may not lead to a faster development or regulatory review or approval process and it does not increase the likelihood that our product candidates will receive marketing approval.</w:t>
      </w:r>
    </w:p>
    <w:p>
      <w:pPr>
        <w:spacing w:after="0" w:line="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9"/>
          <w:szCs w:val="19"/>
          <w:color w:val="auto"/>
        </w:rPr>
        <w:t>We may seek approval of any of our current and future product candidates using the FDA’s accelerated approval pathway. A product may be eligible for accelerated approval if it treats a serious or life-threatening condition, generally provides a meaningful advantage over available therapies, and demonstrates an effect on a surrogate endpoint that is reasonably likely to predict clinical benefit. The FDA or other applicable regulatory agency makes the determination regarding whether a surrogate endpoint is reasonably likely to predict long-term clinical benefit.</w:t>
      </w:r>
    </w:p>
    <w:p>
      <w:pPr>
        <w:spacing w:after="0" w:line="18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Prior to seeking such accelerated approval, we will seek feedback from the FDA and otherwise evaluate our ability to seek and receive such accelerated approval. As a condition of approval, the FDA requires that a sponsor of a product receiving accelerated approval perform an adequate and well-controlled post-marketing confirmatory clinical trial or trials. These confirmatory trials must be completed with due diligence and we may be required to evaluate different or additional endpoints in these post-marketing confirmatory trials. These confirmatory trials may require enrollment of more patients than we currently anticipate and will result in additional costs, which may be greater than the estimated costs we currently anticipate. In addition, the FDA currently requires as a condition for accelerated approval preapproval of promotional materials, which could adversely impact the timing of the commercial launch of the product.</w:t>
      </w:r>
    </w:p>
    <w:p>
      <w:pPr>
        <w:spacing w:after="0" w:line="19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There can be no assurance that the FDA will agree with any proposed surrogate endpoints or that we will decide to pursue or submit a BLA for accelerated approval or any other form of expedited development, review or approval for any of our current or future product candidates. Similarly, there can be no assurance that, after feedback from FDA, we will continue to pursue or apply for accelerated</w:t>
      </w:r>
    </w:p>
    <w:p>
      <w:pPr>
        <w:sectPr>
          <w:pgSz w:w="12240" w:h="15840" w:orient="portrait"/>
          <w:cols w:equalWidth="0" w:num="1">
            <w:col w:w="10200"/>
          </w:cols>
          <w:pgMar w:left="1020" w:top="1317" w:right="1020" w:bottom="574" w:gutter="0" w:footer="0" w:header="0"/>
        </w:sect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77</w:t>
      </w:r>
    </w:p>
    <w:p>
      <w:pPr>
        <w:sectPr>
          <w:pgSz w:w="12240" w:h="15840" w:orient="portrait"/>
          <w:cols w:equalWidth="0" w:num="1">
            <w:col w:w="10200"/>
          </w:cols>
          <w:pgMar w:left="1020" w:top="1317" w:right="1020" w:bottom="574" w:gutter="0" w:footer="0" w:header="0"/>
          <w:type w:val="continuous"/>
        </w:sectPr>
      </w:pPr>
    </w:p>
    <w:bookmarkStart w:id="80" w:name="page81"/>
    <w:bookmarkEnd w:id="80"/>
    <w:p>
      <w:pPr>
        <w:jc w:val="both"/>
        <w:spacing w:after="0" w:line="251" w:lineRule="auto"/>
        <w:rPr>
          <w:sz w:val="20"/>
          <w:szCs w:val="20"/>
          <w:color w:val="auto"/>
        </w:rPr>
      </w:pPr>
      <w:r>
        <w:rPr>
          <w:rFonts w:ascii="Times New Roman" w:cs="Times New Roman" w:eastAsia="Times New Roman" w:hAnsi="Times New Roman"/>
          <w:sz w:val="19"/>
          <w:szCs w:val="19"/>
          <w:color w:val="auto"/>
        </w:rPr>
        <w:t>approval or any other form of expedited development, review or approval, even if we initially decide to do so. Furthermore, if we decide to submit an application for accelerated approval or under another expedited regulatory designation, there can be no assurance that such submission or application will be accepted or that any expedited review or approval will be granted on a timely basis, or at all.</w:t>
      </w:r>
    </w:p>
    <w:p>
      <w:pPr>
        <w:spacing w:after="0" w:line="18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The FDA may withdraw approval of a product candidate approved under the accelerated approval pathway if, for example, the trial required to verify the predicted clinical benefit of our product candidate fails to verify such benefit or does not demonstrate sufficient clinical benefit to justify the risks associated with the drug. The FDA may also withdraw approval if other evidence demonstrates that our product candidate is not shown to be safe or effective under the conditions of use, we fail to conduct any required post approval trial of our product candidate with due diligence or we disseminate false or misleading promotional materials relating to our product candidate. A failure to obtain accelerated approval or any other form of expedited development, review or approval for our product candidates, or withdrawal of a product candidate, would result in a longer time period for commercialization of such product candidate, could increase the cost of development of such product candidate and could harm our competitive position in the marketplace.</w:t>
      </w:r>
    </w:p>
    <w:p>
      <w:pPr>
        <w:spacing w:after="0" w:line="19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Further, there can be no assurance that we will satisfy all FDA requirements, including new provisions that govern accelerated approval. For example, with the passage of FDORA in December 2022, Congress modified certain provisions governing accelerated approval of drug and biologic products. Specifically, the new legislation authorized the FDA to require a sponsor to have its confirmatory clinical trial underway before accelerated approval is awarded and to submit progress reports on its post-approval studies to the FDA every six months until the study is completed. Moreover, FDORA established expedited procedures authorizing FDA to withdraw an accelerated approval if certain conditions are met, including where a required confirmatory trial fails to verify and describe the product’s predicted clinical benefit or where evidence demonstrates the product is not shown to be safe or effective under the conditions of use. The FDA may also use such procedures to withdraw an accelerated approval if a sponsor fails to conduct any required post-approval study of the product with due diligence, including with respect to “conditions specified by the Secretary.” The new procedures include the provision of due notice and an explanation for a proposed withdrawal, and opportunities for a meeting with the FDA commissioner or the FDA commissioner’s designee and a written appeal, among other things. We will need to fully comply with these and other requirements in connection with the development and approval of any product candidate that qualifies for accelerated approval.</w:t>
      </w:r>
    </w:p>
    <w:p>
      <w:pPr>
        <w:spacing w:after="0" w:line="19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More recently, in March 2023, the FDA issued draft guidance that outlines its current thinking and approach to accelerated approval. The FDA indicated that the accelerated approval pathway is commonly used for approval of oncology drugs due to the serious and life-threatening nature of cancer. Although single-arm trials have been commonly used to support accelerated approval, a randomized controlled trial is the preferred approach as it provides a more robust efficacy and safety assessment and allows for direct comparisons to an available therapy. To that end, the FDA outlined considerations for designing, conducting, and analyzing data for trials intended to support accelerated approvals of oncology therapeutics. Subsequently, in December 2024 and January 2025, the FDA issued additional draft guidance relating to accelerated approval. The guidance describes the FDA’s views on what it means to conduct a confirmatory trial with due diligence and how the agency plans to interpret whether such a study needs to be underway at the time of approval. While the guidance is currently only in draft form and will ultimately not be legally binding even when finalized, sponsors typically observe the FDA’s guidance closely to ensure that their investigational products qualify for accelerated approval.</w:t>
      </w:r>
    </w:p>
    <w:p>
      <w:pPr>
        <w:spacing w:after="0" w:line="18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color w:val="auto"/>
        </w:rPr>
        <w:t>In the EU, a “conditional” marketing authorization may be granted in cases where all the required safety and efficacy data are not yet available. A conditional marketing authorization is subject to conditions to be fulfilled for generating missing data or ensuring increased safety measures. A conditional marketing authorization is valid for one year and has to be renewed annually until fulfillment of all relevant conditions. Once the applicable pending studies are provided, a conditional marketing authorization can become a “standard” marketing authorization. However, if the conditions are not fulfilled within the timeframe set by the EMA, the marketing authorization will cease to be renewed.</w:t>
      </w:r>
    </w:p>
    <w:p>
      <w:pPr>
        <w:spacing w:after="0" w:line="171"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9"/>
          <w:szCs w:val="19"/>
          <w:b w:val="1"/>
          <w:bCs w:val="1"/>
          <w:i w:val="1"/>
          <w:iCs w:val="1"/>
          <w:color w:val="auto"/>
        </w:rPr>
        <w:t>Recently enacted and future legislation may increase the difficulty and cost for us to obtain marketing approval of and commercialize our drug product candidates and affect the prices we may obtain for any products that are approved in the United States or foreign jurisdictions.</w:t>
      </w:r>
    </w:p>
    <w:p>
      <w:pPr>
        <w:spacing w:after="0" w:line="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color w:val="auto"/>
        </w:rPr>
        <w:t>In the U.S. and some foreign jurisdictions, there have been a number of legislative and regulatory changes and proposed changes regarding the healthcare system that could prevent or delay marketing approval of our drug product candidates, restrict or regulate post-approval activities and affect our ability to profitably sell any drug product candidates for which we obtain marketing approval. The pharmaceutical industry has been a particular focus of these efforts and has been significantly affected by legislative initiatives. Current laws, as well as other healthcare reform measures that may be adopted in the future, may result in more rigorous coverage criteria and in additional downward pressure on the price that we receive for any FDA approved product.</w:t>
      </w:r>
    </w:p>
    <w:p>
      <w:pPr>
        <w:sectPr>
          <w:pgSz w:w="12240" w:h="15840" w:orient="portrait"/>
          <w:cols w:equalWidth="0" w:num="1">
            <w:col w:w="10200"/>
          </w:cols>
          <w:pgMar w:left="1020" w:top="1317" w:right="102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78</w:t>
      </w:r>
    </w:p>
    <w:p>
      <w:pPr>
        <w:sectPr>
          <w:pgSz w:w="12240" w:h="15840" w:orient="portrait"/>
          <w:cols w:equalWidth="0" w:num="1">
            <w:col w:w="10200"/>
          </w:cols>
          <w:pgMar w:left="1020" w:top="1317" w:right="1020" w:bottom="574" w:gutter="0" w:footer="0" w:header="0"/>
          <w:type w:val="continuous"/>
        </w:sectPr>
      </w:pPr>
    </w:p>
    <w:bookmarkStart w:id="81" w:name="page82"/>
    <w:bookmarkEnd w:id="81"/>
    <w:p>
      <w:pPr>
        <w:jc w:val="both"/>
        <w:spacing w:after="0" w:line="243" w:lineRule="auto"/>
        <w:rPr>
          <w:sz w:val="20"/>
          <w:szCs w:val="20"/>
          <w:color w:val="auto"/>
        </w:rPr>
      </w:pPr>
      <w:r>
        <w:rPr>
          <w:rFonts w:ascii="Times New Roman" w:cs="Times New Roman" w:eastAsia="Times New Roman" w:hAnsi="Times New Roman"/>
          <w:sz w:val="19"/>
          <w:szCs w:val="19"/>
          <w:color w:val="auto"/>
        </w:rPr>
        <w:t>In the U.S., the Medicare Prescription Drug, Improvement, and Modernization Act of 2003, or the MMA, changed the way Medicare covers and pays for pharmaceutical products. The legislation expanded Medicare coverage for drug purchases by the elderly and introduced a new reimbursement methodology based on average sales prices for physician-administered drugs. In addition, this legislation provided authority for limiting the number of drugs that will be covered in any therapeutic class. Cost reduction initiatives and other provisions of this legislation could decrease the coverage and price that we receive for any approved products. While the MMA applies only to drug benefits for Medicare beneficiaries, private payors often follow Medicare coverage policy and payment limitations in setting their own reimbursement rates. Therefore, any reduction in reimbursement that results from the MMA may result in a similar reduction in payments from private payors.</w:t>
      </w:r>
    </w:p>
    <w:p>
      <w:pPr>
        <w:spacing w:after="0" w:line="18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color w:val="auto"/>
        </w:rPr>
        <w:t>In March 2010, the PPACA was signed into law. In addition, other legislative changes have been proposed and adopted since the PPACA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These changes included aggregate reductions to Medicare payments to providers of up to 2% per fiscal year, which went into effect in April 2013 and will remain in effect through 2031 pursuant to the CARES Act.</w:t>
      </w:r>
    </w:p>
    <w:p>
      <w:pPr>
        <w:spacing w:after="0" w:line="17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9"/>
          <w:szCs w:val="19"/>
          <w:color w:val="auto"/>
        </w:rPr>
        <w:t>The American Taxpayer Relief Act of 2012,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and otherwise affect the prices we may obtain for any of our drug product candidates for which we may obtain regulatory approval or the frequency with which any such product candidate is prescribed or used. For example, under current legislation, the actual reductions in Medicare payments may vary by up to 4%.</w:t>
      </w:r>
    </w:p>
    <w:p>
      <w:pPr>
        <w:spacing w:after="0" w:line="18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color w:val="auto"/>
        </w:rPr>
        <w:t>Since enactment of the PPACA, there have been, and continue to be, numerous legal challenges and Congressional actions to repeal and replace provisions of the law. For example, with enactment of the Tax Cuts and Jobs Act of 2017, or the TCJA, Congress repealed the “individual mandate.” The repeal of this provision, which required most Americans to carry a minimal level of health insurance, became effective in 2019. Further, on June 17, 2021, the U.S. Supreme Court dismissed an action challenging the PPACA after finding that the plaintiffs did not have standing to challenge the constitutionality of the law. Litigation and legislation over the PPACA are likely to continue, with unpredictable and uncertain results.</w:t>
      </w:r>
    </w:p>
    <w:p>
      <w:pPr>
        <w:spacing w:after="0" w:line="18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color w:val="auto"/>
        </w:rPr>
        <w:t>In the EU, on December 13, 2021, Regulation No 2021/2282 on Health Technology Assessment, or HTA, amending Directive 2011/24/EU, was adopted. The HTA entered into force in January 2022 and began to apply in January 2025, with a phased implementation depending on the concerned products. The HTA intends to boost cooperation among EU member states in assessing health technologies, including new medicinal products as well as certain high-risk medical devices, and provide the basis for cooperation at the EU level for joint clinical assessments in these areas. It permits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continue to be responsible for assessing non-clinical (e.g., economic, social, ethical) aspects of health technology, and making decisions on pricing and reimbursement.</w:t>
      </w:r>
    </w:p>
    <w:p>
      <w:pPr>
        <w:spacing w:after="0" w:line="19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We expect that 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 Accordingly, such reforms, if enacted, could have an adverse effect on anticipated revenue from product candidates that we may successfully develop and for which we may obtain marketing approval and may affect our overall financial condition and ability to develop or commercialize product candidates.</w:t>
      </w:r>
    </w:p>
    <w:p>
      <w:pPr>
        <w:spacing w:after="0" w:line="185" w:lineRule="exact"/>
        <w:rPr>
          <w:sz w:val="20"/>
          <w:szCs w:val="20"/>
          <w:color w:val="auto"/>
        </w:rPr>
      </w:pPr>
    </w:p>
    <w:p>
      <w:pPr>
        <w:jc w:val="both"/>
        <w:spacing w:after="0" w:line="434" w:lineRule="auto"/>
        <w:rPr>
          <w:sz w:val="20"/>
          <w:szCs w:val="20"/>
          <w:color w:val="auto"/>
        </w:rPr>
      </w:pPr>
      <w:r>
        <w:rPr>
          <w:rFonts w:ascii="Times New Roman" w:cs="Times New Roman" w:eastAsia="Times New Roman" w:hAnsi="Times New Roman"/>
          <w:sz w:val="19"/>
          <w:szCs w:val="19"/>
          <w:b w:val="1"/>
          <w:bCs w:val="1"/>
          <w:i w:val="1"/>
          <w:iCs w:val="1"/>
          <w:color w:val="auto"/>
        </w:rPr>
        <w:t>Current and future legislative efforts may limit the prices for our products, if and when they are licensed for marketing, and that could materially impact our ability to generate revenues.</w:t>
      </w:r>
    </w:p>
    <w:p>
      <w:pPr>
        <w:sectPr>
          <w:pgSz w:w="12240" w:h="15840" w:orient="portrait"/>
          <w:cols w:equalWidth="0" w:num="1">
            <w:col w:w="10200"/>
          </w:cols>
          <w:pgMar w:left="1020" w:top="1317" w:right="102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79</w:t>
      </w:r>
    </w:p>
    <w:p>
      <w:pPr>
        <w:sectPr>
          <w:pgSz w:w="12240" w:h="15840" w:orient="portrait"/>
          <w:cols w:equalWidth="0" w:num="1">
            <w:col w:w="10200"/>
          </w:cols>
          <w:pgMar w:left="1020" w:top="1317" w:right="1020" w:bottom="574" w:gutter="0" w:footer="0" w:header="0"/>
          <w:type w:val="continuous"/>
        </w:sectPr>
      </w:pPr>
    </w:p>
    <w:bookmarkStart w:id="82" w:name="page83"/>
    <w:bookmarkEnd w:id="82"/>
    <w:p>
      <w:pPr>
        <w:spacing w:after="0" w:line="9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The prices of prescription pharmaceuticals have been the subject of considerable legislative and executive actions in the United States. There have been U.S. congressional inquiries, as well as proposed and enacted state and federal legislation designed to, among other things, bring more transparency to pharmaceutical pricing, review the relationship between pricing and manufacturer patient programs, and reduce the costs of pharmaceuticals under Medicare and Medicaid.</w:t>
      </w:r>
    </w:p>
    <w:p>
      <w:pPr>
        <w:spacing w:after="0" w:line="18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For example, in October 2020, HHS and the FDA published a final rule allowing states and other entities to develop a Section 804 Importation Program, or SIP, to import certain prescription drugs from Canada into the U.S. That regulation was challenged in a lawsuit by the Pharmaceutical Research and Manufacturers of America, or PhRMA, but the case was dismissed by a federal district court in February 2023 after the court found that PhRMA did not have standing to sue HHS. Several states have passed laws allowing for the importation of drugs from Canada. On May 21, 2025, the FDA announced that it would offer individual states the opportunity to submit a draft proposal for pre-review and meet with the FDA to obtain its initial feedback prior to formally submitting SIP proposals. The intent of these meetings is to assist states in developing their proposals by further clarifying requirements, enhancing the quality of proposals submitted to the FDA and ultimately shortening the review timeline.</w:t>
      </w:r>
    </w:p>
    <w:p>
      <w:pPr>
        <w:spacing w:after="0" w:line="19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9"/>
          <w:szCs w:val="19"/>
          <w:color w:val="auto"/>
        </w:rPr>
        <w:t>On August 16, 2022, the Inflation Reduction Act of 2022, or the IRA, was signed into law. The new legislation has implications for Medicare Part D, which is a program available to individuals who are entitled to Medicare Part A or enrolled in Medicare Part B, to give them the option of paying a monthly premium for outpatient prescription drug coverage.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HHS to implement many of these provisions through guidance, as opposed to regulation, for the initial years.</w:t>
      </w:r>
    </w:p>
    <w:p>
      <w:pPr>
        <w:spacing w:after="0" w:line="19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color w:val="auto"/>
        </w:rPr>
        <w:t>Specifically, with respect to price negotiations, Congress authorized Medicare to negotiate lower prices for certain costly single-source drug and biologic products that do not have competing generics or biosimilars and are reimbursed under Medicare Part B and Part D. CMS may negotiate prices for ten high-cost drugs paid for by Medicare Part D starting in 2026, followed by 15 Part D drugs in 2027, 15 Part B or Part D drugs in 2028, and 20 Part B or Part D drugs in 2029 and beyond. This provision applies to drug products that have been approved for at least nine years and biologics that have been licensed for 13 years, but it did not originally apply to drugs and biologics that had been approved for a single rare disease or condition. With passage of the One Big Beautiful Bill Act, or OBBBA, on July 3, 2025, which was signed into law on July 4, 2025, Congress extended this exemption to drugs and biologics with multiple orphan drug designations. Nonetheless, since CMS may establish a maximum price for these products in price negotiations, we would be fully at risk of government action if our products are the subject of Medicare price negotiations. Moreover, given the risk that could be the case, these provisions of the IRA may also further heighten the risk that we would not be able to achieve the expected return on our drug products or full value of our patents protecting our products if prices are set after such products have been on the market for nine years.</w:t>
      </w:r>
    </w:p>
    <w:p>
      <w:pPr>
        <w:spacing w:after="0" w:line="19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9"/>
          <w:szCs w:val="19"/>
          <w:color w:val="auto"/>
        </w:rPr>
        <w:t>Further, the legislation subjects drug manufacturers to civil monetary penalties and a potential excise tax for failing to comply with the legislation by offering a price that is not equal to or less than the negotiated “maximum fair price” under the law or for taking price increases that exceed inflation. The legislation also requires manufacturers to pay rebates for drugs in Medicare Part D whose price increases exceed inflation. The new law also caps Medicare out-of-pocket drug costs at an estimated $4,000 a year in 2024 and, thereafter beginning in 2025, at $2,000 a year.</w:t>
      </w:r>
    </w:p>
    <w:p>
      <w:pPr>
        <w:spacing w:after="0" w:line="18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9"/>
          <w:szCs w:val="19"/>
          <w:color w:val="auto"/>
        </w:rPr>
        <w:t>In addition, the IRA potentially raises legal risks with respect to individuals participating in a Medicare Part D prescription drug plan who may experience a gap in coverage if they required coverage above their initial annual coverage limit before they reached the higher threshold, or “catastrophic period” of the plan. Individuals requiring services exceeding the initial annual coverage limit and below the catastrophic period must pay 100% of the cost of their prescriptions until they reach the catastrophic period. Among other things, the IRA contains many provisions aimed at reducing this financial burden on individuals by reducing the co-insurance and co-payment costs, expanding eligibility for lower income subsidy plans, and placing price caps on annual out-of-pocket expenses, each of which could have potential pricing and reporting implications.</w:t>
      </w:r>
    </w:p>
    <w:p>
      <w:pPr>
        <w:spacing w:after="0" w:line="19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9"/>
          <w:szCs w:val="19"/>
          <w:color w:val="auto"/>
        </w:rPr>
        <w:t>The first cycle of negotiations for the Medicare Drug Price Negotiation Program commenced in the summer of 2023, with the negotiated prices for ten selected drug products becoming effective on January 1, 2026. The second cycle of negotiations with participating drug companies occurred during 2025, and the negotiated prices for this second set of fifteen drugs will become effective on January 1, 2027. On January 27, 2026, CMS published the list of fifteen drugs selected for the third cycle of negotiations. These negotiated prices will become effective on January 1, 2028.</w:t>
      </w:r>
    </w:p>
    <w:p>
      <w:pPr>
        <w:spacing w:after="0" w:line="18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On June 6, 2023, Merck &amp; Co., or Merck, filed a lawsuit against the HHS and CMS asserting that, among other things, the IRA’s Drug Price Negotiation Program for Medicare constitutes an uncompensated taking in violation of the Fifth Amendment of the Constitution. Subsequently, a number of other parties, including the U.S. Chamber of Commerce, Bristol Myers Squibb Company, the</w:t>
      </w:r>
    </w:p>
    <w:p>
      <w:pPr>
        <w:sectPr>
          <w:pgSz w:w="12240" w:h="15840" w:orient="portrait"/>
          <w:cols w:equalWidth="0" w:num="1">
            <w:col w:w="10200"/>
          </w:cols>
          <w:pgMar w:left="1020" w:top="1440" w:right="1020" w:bottom="574" w:gutter="0" w:footer="0" w:header="0"/>
        </w:sect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80</w:t>
      </w:r>
    </w:p>
    <w:p>
      <w:pPr>
        <w:sectPr>
          <w:pgSz w:w="12240" w:h="15840" w:orient="portrait"/>
          <w:cols w:equalWidth="0" w:num="1">
            <w:col w:w="10200"/>
          </w:cols>
          <w:pgMar w:left="1020" w:top="1440" w:right="1020" w:bottom="574" w:gutter="0" w:footer="0" w:header="0"/>
          <w:type w:val="continuous"/>
        </w:sectPr>
      </w:pPr>
    </w:p>
    <w:bookmarkStart w:id="83" w:name="page84"/>
    <w:bookmarkEnd w:id="83"/>
    <w:p>
      <w:pPr>
        <w:jc w:val="both"/>
        <w:spacing w:after="0" w:line="247" w:lineRule="auto"/>
        <w:rPr>
          <w:sz w:val="20"/>
          <w:szCs w:val="20"/>
          <w:color w:val="auto"/>
        </w:rPr>
      </w:pPr>
      <w:r>
        <w:rPr>
          <w:rFonts w:ascii="Times New Roman" w:cs="Times New Roman" w:eastAsia="Times New Roman" w:hAnsi="Times New Roman"/>
          <w:sz w:val="19"/>
          <w:szCs w:val="19"/>
          <w:color w:val="auto"/>
        </w:rPr>
        <w:t>PhRMA, Astellas, Novo Nordisk, Janssen Pharmaceuticals, Novartis, AstraZeneca and Boehringer Ingelheim, also filed lawsuits in various courts with similar constitutional claims against the HHS and CMS. The HHS has generally won the substantive disputes in these cases, or succeeded in getting claims dismissed for lack of standing. We expect that current or future litigation involving provisions of the IRA will have unpredictable and uncertain results on the implementation and impact of the IRA on the biotechnology industry generally, as well as our business and current or future products.</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color w:val="auto"/>
        </w:rPr>
        <w:t>In addition, since adoption of the IRA, the current administration has taken a number of actions to reduce the costs of pharmaceutical products. For example, an April 2025 executive order directed HHS to take steps to reduce the prices of pharmaceutical products, and a May 2025 executive order called on pharmaceutical manufacturers to voluntarily reduce the prices of medicines in the United States. The May 2025 executive order provides that if such actions do not lower the costs of pharmaceuticals, the Secretary of HHS would pursue other actions, including proposing a rulemaking that imposes most favored nation, or MFN, pricing in the United States. Thereafter, on July 31, 2025, 17 pharmaceutical companies were issued letters reiterating the requirements of the May 2025 executive order and demanding that such companies extend MFN pricing to Medicaid patients. Virtually all of these pharmaceutical companies have entered into agreements with the administration to provide for lower prices on certain pharmaceuticals. On February 5, 2026, the administration launched a website that directs individuals to pharmaceutical manufacturer websites that are offering price discounts based on the administration’s pricing agreements with pharmaceutical manufacturers.</w:t>
      </w:r>
    </w:p>
    <w:p>
      <w:pPr>
        <w:spacing w:after="0" w:line="19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Separately, on December 23, 2025, CMS, through its Center for Medicare and Medicaid Innovation, or CMMI, proposed two five-year pilot programs to implement a “reference pricing” regime for drugs paid for under Medicare for 25% of covered beneficiaries. The programs are referred to as the Global Benchmark for Efficient Drug Pricing Model for Medicare Part B drugs, or GLOBE, and the Guarding U.S. Medicare Against Rising Drug Costs for Medicare Part D drugs, or GUARD. Under the proposed pilot programs, a manufacturer would owe rebates to Medicare if prices for its drugs exceeded the prices paid by other economically comparable reference countries, defined in the proposed regulations as Organisation for Economic Co-Operation and Development countries with a gross domestic product, or GDP, of $400 billion and a per capita GDP that is at least 60% of the U.S. per capita GDP (an initial list of 19 reference countries is included in the proposed rule). These pilot programs are proposed to go into effect beginning October 1, 2026.</w:t>
      </w:r>
    </w:p>
    <w:p>
      <w:pPr>
        <w:spacing w:after="0" w:line="19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organizations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 This may be increasingly true with respect to products approved pursuant to the accelerated approval pathway. State Medicaid programs and other payers are developing strategies and implementing significant coverage barriers, or refusing to cover these products outright, arguing that accelerated approval drugs have insufficient or limited evidence despite meeting the FDA’s standards for accelerated approval.</w:t>
      </w:r>
    </w:p>
    <w:p>
      <w:pPr>
        <w:spacing w:after="0" w:line="18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Finally, outside the U.S., in some nations, including those of the EU, the pricing of prescription pharmaceuticals is subject to governmental control and access. In these countries, pricing negotiations with governmental authorities can take considerable time after the receipt of marketing approval for a product. To obtain reimbursement or pricing approval in some countries, we or our collaborators may be required to conduct a clinical trial that compares the cost-effectiveness of our product to other available therapies. If reimbursement of our products is unavailable or limited in scope or amount, or if pricing is set at unsatisfactory levels, our business could be materially harmed.</w:t>
      </w:r>
    </w:p>
    <w:p>
      <w:pPr>
        <w:spacing w:after="0" w:line="180"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9"/>
          <w:szCs w:val="19"/>
          <w:b w:val="1"/>
          <w:bCs w:val="1"/>
          <w:i w:val="1"/>
          <w:iCs w:val="1"/>
          <w:color w:val="auto"/>
        </w:rPr>
        <w:t>We may be subject to certain healthcare laws and regulations, which could expose us to criminal sanctions, civil penalties, contractual damages, reputational harm, fines, disgorgement, exclusion from participation in government healthcare programs, curtailment or restricting of our operations, and diminished future profits and earnings, if any.</w:t>
      </w:r>
    </w:p>
    <w:p>
      <w:pPr>
        <w:spacing w:after="0" w:line="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9"/>
          <w:szCs w:val="19"/>
          <w:color w:val="auto"/>
        </w:rPr>
        <w:t>Healthcare providers, third-party payors and others will play a primary role in the recommendation and prescription of any products for which we obtain marketing approval. Our current and future arrangements with healthcare providers and third-party payors will expose us to broadly applicable fraud and abuse and other healthcare laws and regulations that may constrain the business or financial arrangements and relationships through which we research as well as market, sell and distribute any products for which we obtain marketing approval. Potentially applicable U.S. federal and state healthcare laws and regulations include the following:</w:t>
      </w:r>
    </w:p>
    <w:p>
      <w:pPr>
        <w:spacing w:after="0" w:line="83" w:lineRule="exact"/>
        <w:rPr>
          <w:sz w:val="20"/>
          <w:szCs w:val="20"/>
          <w:color w:val="auto"/>
        </w:rPr>
      </w:pPr>
    </w:p>
    <w:p>
      <w:pPr>
        <w:jc w:val="both"/>
        <w:ind w:left="920" w:hanging="457"/>
        <w:spacing w:after="0" w:line="268" w:lineRule="auto"/>
        <w:tabs>
          <w:tab w:leader="none" w:pos="920" w:val="left"/>
        </w:tabs>
        <w:numPr>
          <w:ilvl w:val="0"/>
          <w:numId w:val="49"/>
        </w:numPr>
        <w:rPr>
          <w:rFonts w:ascii="Arial" w:cs="Arial" w:eastAsia="Arial" w:hAnsi="Arial"/>
          <w:sz w:val="19"/>
          <w:szCs w:val="19"/>
          <w:color w:val="auto"/>
        </w:rPr>
      </w:pPr>
      <w:r>
        <w:rPr>
          <w:rFonts w:ascii="Times New Roman" w:cs="Times New Roman" w:eastAsia="Times New Roman" w:hAnsi="Times New Roman"/>
          <w:sz w:val="19"/>
          <w:szCs w:val="19"/>
          <w:color w:val="auto"/>
        </w:rPr>
        <w:t>the U.S. federal Anti-Kickback Statute, which prohibits, among other things, persons and entities from knowingly and willfully soliciting, offering, paying, receiving, or providing remuneration, directly or indirectly, in cash or in kind, to</w:t>
      </w:r>
    </w:p>
    <w:p>
      <w:pPr>
        <w:sectPr>
          <w:pgSz w:w="12240" w:h="15840" w:orient="portrait"/>
          <w:cols w:equalWidth="0" w:num="1">
            <w:col w:w="10200"/>
          </w:cols>
          <w:pgMar w:left="1020" w:top="1317" w:right="1020" w:bottom="574" w:gutter="0" w:footer="0" w:header="0"/>
        </w:sect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81</w:t>
      </w:r>
    </w:p>
    <w:p>
      <w:pPr>
        <w:sectPr>
          <w:pgSz w:w="12240" w:h="15840" w:orient="portrait"/>
          <w:cols w:equalWidth="0" w:num="1">
            <w:col w:w="10200"/>
          </w:cols>
          <w:pgMar w:left="1020" w:top="1317" w:right="1020" w:bottom="574" w:gutter="0" w:footer="0" w:header="0"/>
          <w:type w:val="continuous"/>
        </w:sectPr>
      </w:pPr>
    </w:p>
    <w:bookmarkStart w:id="84" w:name="page85"/>
    <w:bookmarkEnd w:id="84"/>
    <w:p>
      <w:pPr>
        <w:ind w:left="920"/>
        <w:spacing w:after="0" w:line="296" w:lineRule="auto"/>
        <w:rPr>
          <w:sz w:val="20"/>
          <w:szCs w:val="20"/>
          <w:color w:val="auto"/>
        </w:rPr>
      </w:pPr>
      <w:r>
        <w:rPr>
          <w:rFonts w:ascii="Times New Roman" w:cs="Times New Roman" w:eastAsia="Times New Roman" w:hAnsi="Times New Roman"/>
          <w:sz w:val="18"/>
          <w:szCs w:val="18"/>
          <w:color w:val="auto"/>
        </w:rPr>
        <w:t>induce or reward either the referral of an individual for, or the purchase, order or recommendation of, any good or service, for which payment may be made, in whole or in part, under a federal healthcare program such as Medicare and Medicaid;</w:t>
      </w:r>
    </w:p>
    <w:p>
      <w:pPr>
        <w:spacing w:after="0" w:line="43" w:lineRule="exact"/>
        <w:rPr>
          <w:sz w:val="20"/>
          <w:szCs w:val="20"/>
          <w:color w:val="auto"/>
        </w:rPr>
      </w:pPr>
    </w:p>
    <w:p>
      <w:pPr>
        <w:ind w:left="920" w:right="140" w:hanging="458"/>
        <w:spacing w:after="0" w:line="247" w:lineRule="auto"/>
        <w:tabs>
          <w:tab w:leader="none" w:pos="920" w:val="left"/>
        </w:tabs>
        <w:numPr>
          <w:ilvl w:val="0"/>
          <w:numId w:val="50"/>
        </w:numPr>
        <w:rPr>
          <w:rFonts w:ascii="Arial" w:cs="Arial" w:eastAsia="Arial" w:hAnsi="Arial"/>
          <w:sz w:val="19"/>
          <w:szCs w:val="19"/>
          <w:color w:val="auto"/>
        </w:rPr>
      </w:pPr>
      <w:r>
        <w:rPr>
          <w:rFonts w:ascii="Times New Roman" w:cs="Times New Roman" w:eastAsia="Times New Roman" w:hAnsi="Times New Roman"/>
          <w:sz w:val="19"/>
          <w:szCs w:val="19"/>
          <w:color w:val="auto"/>
        </w:rPr>
        <w:t>the federal civil and criminal false claims laws, including the civil False Claims Act, and civil monetary penalties laws, which prohibit individuals or entities from, among other things, knowingly presenting, or causing to be presented, to the federal government, claims for payment that are false, fictitious, or fraudulent or knowingly making, using, or causing to made or used a false record or statement to avoid, decrease, or conceal an obligation to pay money to the federal government;</w:t>
      </w:r>
    </w:p>
    <w:p>
      <w:pPr>
        <w:spacing w:after="0" w:line="82" w:lineRule="exact"/>
        <w:rPr>
          <w:rFonts w:ascii="Arial" w:cs="Arial" w:eastAsia="Arial" w:hAnsi="Arial"/>
          <w:sz w:val="19"/>
          <w:szCs w:val="19"/>
          <w:color w:val="auto"/>
        </w:rPr>
      </w:pPr>
    </w:p>
    <w:p>
      <w:pPr>
        <w:jc w:val="both"/>
        <w:ind w:left="920" w:hanging="458"/>
        <w:spacing w:after="0" w:line="249" w:lineRule="auto"/>
        <w:tabs>
          <w:tab w:leader="none" w:pos="920" w:val="left"/>
        </w:tabs>
        <w:numPr>
          <w:ilvl w:val="0"/>
          <w:numId w:val="50"/>
        </w:numPr>
        <w:rPr>
          <w:rFonts w:ascii="Arial" w:cs="Arial" w:eastAsia="Arial" w:hAnsi="Arial"/>
          <w:sz w:val="19"/>
          <w:szCs w:val="19"/>
          <w:color w:val="auto"/>
        </w:rPr>
      </w:pPr>
      <w:r>
        <w:rPr>
          <w:rFonts w:ascii="Times New Roman" w:cs="Times New Roman" w:eastAsia="Times New Roman" w:hAnsi="Times New Roman"/>
          <w:sz w:val="19"/>
          <w:szCs w:val="19"/>
          <w:color w:val="auto"/>
        </w:rPr>
        <w:t>the federal civil monetary penalty and false statement laws and regulations relating to pricing and submission of pricing information for government programs, including penalties for knowingly and intentionally overcharging 340b eligible entities and the submission of false or fraudulent pricing information to government entities</w:t>
      </w:r>
    </w:p>
    <w:p>
      <w:pPr>
        <w:spacing w:after="0" w:line="78" w:lineRule="exact"/>
        <w:rPr>
          <w:rFonts w:ascii="Arial" w:cs="Arial" w:eastAsia="Arial" w:hAnsi="Arial"/>
          <w:sz w:val="19"/>
          <w:szCs w:val="19"/>
          <w:color w:val="auto"/>
        </w:rPr>
      </w:pPr>
    </w:p>
    <w:p>
      <w:pPr>
        <w:jc w:val="both"/>
        <w:ind w:left="920" w:hanging="458"/>
        <w:spacing w:after="0" w:line="249" w:lineRule="auto"/>
        <w:tabs>
          <w:tab w:leader="none" w:pos="920" w:val="left"/>
        </w:tabs>
        <w:numPr>
          <w:ilvl w:val="0"/>
          <w:numId w:val="50"/>
        </w:numPr>
        <w:rPr>
          <w:rFonts w:ascii="Arial" w:cs="Arial" w:eastAsia="Arial" w:hAnsi="Arial"/>
          <w:sz w:val="19"/>
          <w:szCs w:val="19"/>
          <w:color w:val="auto"/>
        </w:rPr>
      </w:pPr>
      <w:r>
        <w:rPr>
          <w:rFonts w:ascii="Times New Roman" w:cs="Times New Roman" w:eastAsia="Times New Roman" w:hAnsi="Times New Roman"/>
          <w:sz w:val="19"/>
          <w:szCs w:val="19"/>
          <w:color w:val="auto"/>
        </w:rPr>
        <w:t>HIPAA, which created additional federal criminal laws that prohibit, among other things, knowingly and willfully executing, or attempting to execute, a scheme to defraud any healthcare benefit program or making false statements relating to healthcare matters;</w:t>
      </w:r>
    </w:p>
    <w:p>
      <w:pPr>
        <w:spacing w:after="0" w:line="78" w:lineRule="exact"/>
        <w:rPr>
          <w:rFonts w:ascii="Arial" w:cs="Arial" w:eastAsia="Arial" w:hAnsi="Arial"/>
          <w:sz w:val="19"/>
          <w:szCs w:val="19"/>
          <w:color w:val="auto"/>
        </w:rPr>
      </w:pPr>
    </w:p>
    <w:p>
      <w:pPr>
        <w:jc w:val="both"/>
        <w:ind w:left="920" w:hanging="458"/>
        <w:spacing w:after="0" w:line="243" w:lineRule="auto"/>
        <w:tabs>
          <w:tab w:leader="none" w:pos="920" w:val="left"/>
        </w:tabs>
        <w:numPr>
          <w:ilvl w:val="0"/>
          <w:numId w:val="50"/>
        </w:numPr>
        <w:rPr>
          <w:rFonts w:ascii="Arial" w:cs="Arial" w:eastAsia="Arial" w:hAnsi="Arial"/>
          <w:sz w:val="19"/>
          <w:szCs w:val="19"/>
          <w:color w:val="auto"/>
        </w:rPr>
      </w:pPr>
      <w:r>
        <w:rPr>
          <w:rFonts w:ascii="Times New Roman" w:cs="Times New Roman" w:eastAsia="Times New Roman" w:hAnsi="Times New Roman"/>
          <w:sz w:val="19"/>
          <w:szCs w:val="19"/>
          <w:color w:val="auto"/>
        </w:rPr>
        <w:t>HIPAA, as amended by the Health Information Technology for Economic and Clinical Health Act, and their respective implementing regulations, including the Final Omnibus Rule published in January 2013, which impose obligations, including mandatory contractual terms, with respect to safeguarding the privacy, security, and transmission of individually identifiable health information;</w:t>
      </w:r>
    </w:p>
    <w:p>
      <w:pPr>
        <w:spacing w:after="0" w:line="84" w:lineRule="exact"/>
        <w:rPr>
          <w:rFonts w:ascii="Arial" w:cs="Arial" w:eastAsia="Arial" w:hAnsi="Arial"/>
          <w:sz w:val="19"/>
          <w:szCs w:val="19"/>
          <w:color w:val="auto"/>
        </w:rPr>
      </w:pPr>
    </w:p>
    <w:p>
      <w:pPr>
        <w:jc w:val="both"/>
        <w:ind w:left="920" w:hanging="458"/>
        <w:spacing w:after="0" w:line="249" w:lineRule="auto"/>
        <w:tabs>
          <w:tab w:leader="none" w:pos="920" w:val="left"/>
        </w:tabs>
        <w:numPr>
          <w:ilvl w:val="0"/>
          <w:numId w:val="50"/>
        </w:numPr>
        <w:rPr>
          <w:rFonts w:ascii="Arial" w:cs="Arial" w:eastAsia="Arial" w:hAnsi="Arial"/>
          <w:sz w:val="19"/>
          <w:szCs w:val="19"/>
          <w:color w:val="auto"/>
        </w:rPr>
      </w:pPr>
      <w:r>
        <w:rPr>
          <w:rFonts w:ascii="Times New Roman" w:cs="Times New Roman" w:eastAsia="Times New Roman" w:hAnsi="Times New Roman"/>
          <w:sz w:val="19"/>
          <w:szCs w:val="19"/>
          <w:color w:val="auto"/>
        </w:rPr>
        <w:t>the federal false statements statute, which prohibits knowingly and willfully falsifying, concealing or covering up a material fact or making any materially false statement in connection with the delivery of or payment for health care benefits, items or services;</w:t>
      </w:r>
    </w:p>
    <w:p>
      <w:pPr>
        <w:spacing w:after="0" w:line="78" w:lineRule="exact"/>
        <w:rPr>
          <w:rFonts w:ascii="Arial" w:cs="Arial" w:eastAsia="Arial" w:hAnsi="Arial"/>
          <w:sz w:val="19"/>
          <w:szCs w:val="19"/>
          <w:color w:val="auto"/>
        </w:rPr>
      </w:pPr>
    </w:p>
    <w:p>
      <w:pPr>
        <w:jc w:val="both"/>
        <w:ind w:left="920" w:hanging="458"/>
        <w:spacing w:after="0" w:line="249" w:lineRule="auto"/>
        <w:tabs>
          <w:tab w:leader="none" w:pos="920" w:val="left"/>
        </w:tabs>
        <w:numPr>
          <w:ilvl w:val="0"/>
          <w:numId w:val="50"/>
        </w:numPr>
        <w:rPr>
          <w:rFonts w:ascii="Arial" w:cs="Arial" w:eastAsia="Arial" w:hAnsi="Arial"/>
          <w:sz w:val="19"/>
          <w:szCs w:val="19"/>
          <w:color w:val="auto"/>
        </w:rPr>
      </w:pPr>
      <w:r>
        <w:rPr>
          <w:rFonts w:ascii="Times New Roman" w:cs="Times New Roman" w:eastAsia="Times New Roman" w:hAnsi="Times New Roman"/>
          <w:sz w:val="19"/>
          <w:szCs w:val="19"/>
          <w:color w:val="auto"/>
        </w:rPr>
        <w:t>the Foreign Corrupt Practices Act, which prohibits companies and their intermediaries from making, or offering or promising to make, improper payments to non-U.S. officials for the purpose of obtaining or retaining business or otherwise seeking favorable treatment;</w:t>
      </w:r>
    </w:p>
    <w:p>
      <w:pPr>
        <w:spacing w:after="0" w:line="83" w:lineRule="exact"/>
        <w:rPr>
          <w:rFonts w:ascii="Arial" w:cs="Arial" w:eastAsia="Arial" w:hAnsi="Arial"/>
          <w:sz w:val="19"/>
          <w:szCs w:val="19"/>
          <w:color w:val="auto"/>
        </w:rPr>
      </w:pPr>
    </w:p>
    <w:p>
      <w:pPr>
        <w:jc w:val="both"/>
        <w:ind w:left="920" w:hanging="458"/>
        <w:spacing w:after="0" w:line="245" w:lineRule="auto"/>
        <w:tabs>
          <w:tab w:leader="none" w:pos="920" w:val="left"/>
        </w:tabs>
        <w:numPr>
          <w:ilvl w:val="0"/>
          <w:numId w:val="50"/>
        </w:numPr>
        <w:rPr>
          <w:rFonts w:ascii="Arial" w:cs="Arial" w:eastAsia="Arial" w:hAnsi="Arial"/>
          <w:sz w:val="19"/>
          <w:szCs w:val="19"/>
          <w:color w:val="auto"/>
        </w:rPr>
      </w:pPr>
      <w:r>
        <w:rPr>
          <w:rFonts w:ascii="Times New Roman" w:cs="Times New Roman" w:eastAsia="Times New Roman" w:hAnsi="Times New Roman"/>
          <w:sz w:val="19"/>
          <w:szCs w:val="19"/>
          <w:color w:val="auto"/>
        </w:rPr>
        <w:t>the federal transparency requirements known as the federal Physician Payments Sunshine Act, under the Patient Protection and Affordable Care Act, or PPACA, as amended by the Health Care Education Reconciliation Act, which requires certain manufacturers of drugs, devices, biologics and medical supplies to report annually to the Centers for Medicare &amp; Medicaid Services, or CMS, within HHS, information related to payments and other transfers of value made by that entity to physicians, other healthcare providers and teaching hospitals, as well as ownership and investment interests held by physicians and their immediate family members; and</w:t>
      </w:r>
    </w:p>
    <w:p>
      <w:pPr>
        <w:spacing w:after="0" w:line="92" w:lineRule="exact"/>
        <w:rPr>
          <w:rFonts w:ascii="Arial" w:cs="Arial" w:eastAsia="Arial" w:hAnsi="Arial"/>
          <w:sz w:val="19"/>
          <w:szCs w:val="19"/>
          <w:color w:val="auto"/>
        </w:rPr>
      </w:pPr>
    </w:p>
    <w:p>
      <w:pPr>
        <w:ind w:left="920" w:hanging="458"/>
        <w:spacing w:after="0" w:line="304" w:lineRule="auto"/>
        <w:tabs>
          <w:tab w:leader="none" w:pos="920" w:val="left"/>
        </w:tabs>
        <w:numPr>
          <w:ilvl w:val="0"/>
          <w:numId w:val="50"/>
        </w:numPr>
        <w:rPr>
          <w:rFonts w:ascii="Arial" w:cs="Arial" w:eastAsia="Arial" w:hAnsi="Arial"/>
          <w:sz w:val="19"/>
          <w:szCs w:val="19"/>
          <w:color w:val="auto"/>
        </w:rPr>
      </w:pPr>
      <w:r>
        <w:rPr>
          <w:rFonts w:ascii="Times New Roman" w:cs="Times New Roman" w:eastAsia="Times New Roman" w:hAnsi="Times New Roman"/>
          <w:sz w:val="19"/>
          <w:szCs w:val="19"/>
          <w:color w:val="auto"/>
        </w:rPr>
        <w:t>analogous state and foreign laws and regulations, such as state anti</w:t>
      </w:r>
      <w:r>
        <w:rPr>
          <w:rFonts w:ascii="Arial" w:cs="Arial" w:eastAsia="Arial" w:hAnsi="Arial"/>
          <w:sz w:val="19"/>
          <w:szCs w:val="19"/>
          <w:color w:val="auto"/>
        </w:rPr>
        <w:t>̻</w:t>
      </w:r>
      <w:r>
        <w:rPr>
          <w:rFonts w:ascii="Times New Roman" w:cs="Times New Roman" w:eastAsia="Times New Roman" w:hAnsi="Times New Roman"/>
          <w:sz w:val="19"/>
          <w:szCs w:val="19"/>
          <w:color w:val="auto"/>
        </w:rPr>
        <w:t>kickback and false claims laws, which may apply to healthcare items or services that are reimbursed by non</w:t>
      </w:r>
      <w:r>
        <w:rPr>
          <w:rFonts w:ascii="Arial" w:cs="Arial" w:eastAsia="Arial" w:hAnsi="Arial"/>
          <w:sz w:val="19"/>
          <w:szCs w:val="19"/>
          <w:color w:val="auto"/>
        </w:rPr>
        <w:t>̻</w:t>
      </w:r>
      <w:r>
        <w:rPr>
          <w:rFonts w:ascii="Times New Roman" w:cs="Times New Roman" w:eastAsia="Times New Roman" w:hAnsi="Times New Roman"/>
          <w:sz w:val="19"/>
          <w:szCs w:val="19"/>
          <w:color w:val="auto"/>
        </w:rPr>
        <w:t>governmental third</w:t>
      </w:r>
      <w:r>
        <w:rPr>
          <w:rFonts w:ascii="Arial" w:cs="Arial" w:eastAsia="Arial" w:hAnsi="Arial"/>
          <w:sz w:val="19"/>
          <w:szCs w:val="19"/>
          <w:color w:val="auto"/>
        </w:rPr>
        <w:t>̻</w:t>
      </w:r>
      <w:r>
        <w:rPr>
          <w:rFonts w:ascii="Times New Roman" w:cs="Times New Roman" w:eastAsia="Times New Roman" w:hAnsi="Times New Roman"/>
          <w:sz w:val="19"/>
          <w:szCs w:val="19"/>
          <w:color w:val="auto"/>
        </w:rPr>
        <w:t>party payors, including private insurers.</w:t>
      </w:r>
    </w:p>
    <w:p>
      <w:pPr>
        <w:spacing w:after="0" w:line="14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9"/>
          <w:szCs w:val="19"/>
          <w:color w:val="auto"/>
        </w:rPr>
        <w:t>The provision of benefits or advantages to physicians to induce or encourage the prescription, recommendation, endorsement, purchase, supply, order or use of medicinal products is prohibited in the EU. 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19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Efforts to ensure that our business arrangements with third parties, and our business generally,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of products from government funded healthcare programs, such as Medicare and Medicaid, disgorgement, contractual damages, and reputational harm, any of which could substantially disrupt our operations. If any of the physicians or other providers or entities with whom we expect to do business is found not to be in compliance with applicable laws, they may be subject to criminal, civil or administrative sanctions, including exclusions from government funded healthcare programs.</w:t>
      </w:r>
    </w:p>
    <w:p>
      <w:pPr>
        <w:sectPr>
          <w:pgSz w:w="12240" w:h="15840" w:orient="portrait"/>
          <w:cols w:equalWidth="0" w:num="1">
            <w:col w:w="10200"/>
          </w:cols>
          <w:pgMar w:left="1020" w:top="1311" w:right="102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82</w:t>
      </w:r>
    </w:p>
    <w:p>
      <w:pPr>
        <w:sectPr>
          <w:pgSz w:w="12240" w:h="15840" w:orient="portrait"/>
          <w:cols w:equalWidth="0" w:num="1">
            <w:col w:w="10200"/>
          </w:cols>
          <w:pgMar w:left="1020" w:top="1311" w:right="1020" w:bottom="574" w:gutter="0" w:footer="0" w:header="0"/>
          <w:type w:val="continuous"/>
        </w:sectPr>
      </w:pPr>
    </w:p>
    <w:bookmarkStart w:id="85" w:name="page86"/>
    <w:bookmarkEnd w:id="85"/>
    <w:p>
      <w:pPr>
        <w:jc w:val="both"/>
        <w:spacing w:after="0" w:line="300" w:lineRule="auto"/>
        <w:rPr>
          <w:sz w:val="20"/>
          <w:szCs w:val="20"/>
          <w:color w:val="auto"/>
        </w:rPr>
      </w:pPr>
      <w:r>
        <w:rPr>
          <w:rFonts w:ascii="Times New Roman" w:cs="Times New Roman" w:eastAsia="Times New Roman" w:hAnsi="Times New Roman"/>
          <w:sz w:val="19"/>
          <w:szCs w:val="19"/>
          <w:b w:val="1"/>
          <w:bCs w:val="1"/>
          <w:i w:val="1"/>
          <w:iCs w:val="1"/>
          <w:color w:val="auto"/>
        </w:rPr>
        <w:t>We are subject to stringent privacy laws, information security laws, regulations, policies and contractual obligations related to data privacy and security and changes in such laws, regulations, policies, contractual obligations and failure to comply with such requirements could subject us to significant fines and penalties, which may have a material adverse effect on our business, financial condition or results of operations.</w:t>
      </w:r>
    </w:p>
    <w:p>
      <w:pPr>
        <w:jc w:val="both"/>
        <w:spacing w:after="0" w:line="243" w:lineRule="auto"/>
        <w:rPr>
          <w:sz w:val="20"/>
          <w:szCs w:val="20"/>
          <w:color w:val="auto"/>
        </w:rPr>
      </w:pPr>
      <w:r>
        <w:rPr>
          <w:rFonts w:ascii="Times New Roman" w:cs="Times New Roman" w:eastAsia="Times New Roman" w:hAnsi="Times New Roman"/>
          <w:sz w:val="19"/>
          <w:szCs w:val="19"/>
          <w:color w:val="auto"/>
        </w:rPr>
        <w:t>We are subject to data privacy and protection laws and regulations that apply to the collection, transmission, storage and use of personally identifiable information, which among other things, impose certain requirements relating to the privacy, security and transmission of personal information, including comprehensive regulatory systems in the U.S., EU and United Kingdom. The legislative and regulatory landscape for privacy and data protection continues to evolve in jurisdictions worldwide, and there has been an increasing focus on privacy and data protection issues with the potential to affect our business. Failure to comply with any of these laws and regulations could result in enforcement action against us, including fines, claims for damages by affected individuals, damage to our reputation and loss of goodwill, any of which could have a material adverse effect on our business, financial condition, results of operations or prospects.</w:t>
      </w:r>
    </w:p>
    <w:p>
      <w:pPr>
        <w:spacing w:after="0" w:line="19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9"/>
          <w:szCs w:val="19"/>
          <w:color w:val="auto"/>
        </w:rPr>
        <w:t>There are numerous U.S. federal and state laws and regulations related to the privacy and security of personal information. In particular, regulations promulgated pursuant to HIPAA establish privacy and security standards that limit the use and disclosure of individually identifiable health information, or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be complex and may be subject to changing interpretation. These obligations may be applicable to some or all of our business activities now or in the future.</w:t>
      </w:r>
    </w:p>
    <w:p>
      <w:pPr>
        <w:spacing w:after="0" w:line="19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If we are unable to properly protect the privacy and security of protected health information, we could be found to have breached our contracts. Further, if we fail to comply with applicable privacy laws, including applicable HIPAA privacy and security standards, we could face civil and criminal penalties. HHS enforcement activity can result in financial liability and reputational harm, and responses to such enforcement activity can consume significant internal resources. In addition, state attorneys general are authorized to bring civil actions seeking either injunctions or damages in response to violations that threaten the privacy of state residents. We cannot be sure how these regulations will be interpreted, enforced or applied to our operations. 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w:t>
      </w:r>
    </w:p>
    <w:p>
      <w:pPr>
        <w:spacing w:after="0" w:line="19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9"/>
          <w:szCs w:val="19"/>
          <w:color w:val="auto"/>
        </w:rPr>
        <w:t>There are a broad variety of data protection laws that are applicable to our activities, and a wide range of enforcement agencies at both the state and federal levels that can review companies for privacy and data security concerns based on general consumer protection laws. The Federal Trade Commission, or FTC, and state attorneys general all are aggressive in reviewing privacy and data security protections for consumers. There are also increased restrictions at the federal level relating to transferring sensitive data outside of the United States to certain foreign countries. For example, in 2024, Congress passed H.B. 815, which included the Protecting Americans’ Data from Foreign Adversaries Act of 2024. This law creates certain restrictions for entities that disclose sensitive data, including potential health data, to countries such as China. Failure to comply with these rules can lead to a potential FTC enforcement action. Additionally, the Department of Justice recently finalized a rule implementing Executive Order 14117, which creates similar restrictions related to the transfer of sensitive U.S. data to countries such as China. These data protection laws and transfer restrictions, and others that may pass in the future, may create operational challenges and legal risks for our business. As a result, we will need to seek to ensure our business practices comply with evolving rules and guidance at the federal and state level related to privacy and data security in order to mitigate our risk for any potential enforcement action, which may be costly. In addition, if we are subject to an enforcement action and settlement order, we may be required to adhere to very specific privacy and data security practices or pay fines and adhere to specified compliance requirements, all of which could be costly and adversely impact our business. For example, the FTC has been particularly focused on the unpermitted processing of health and genetic data through its recent enforcement actions and is expanding the types of privacy violations that it interprets to be “unfair” under Section 5 of the FTC Act, as well as the types of activities it views to trigger the Health Breach Notification Rule, which the FTC also has the authority to enforce, and is in the process of developing rules related to commercial surveillance and data security.</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Similarly, in 2018, California passed into law the California Consumer Privacy Act, or the CCPA, which took effect on January 1, 2020 and imposed many requirements on businesses that process the personal information of California residents. Many of the CCPA’s requirements are similar to those found in the General Data Protection Regulation, or the GDPR, including requiring businesses to provide notice to data subjects regarding the information collected about them and how such information is used and shared, and providing data subjects the right to request access to such personal information and, in certain cases, request the erasure of such personal information. The CCPA also affords California residents the right to opt-out of “sales” of their personal information. The CCPA contains significant penalties for companies that violate its requirements. In addition, the California Privacy Rights Act, or the CPRA, went into effect on January 1, 2023 and significantly expanded the CCPA to incorporate additional GDPR-like provisions including requiring that the use, retention, and sharing of personal information of California residents be reasonably necessary and</w:t>
      </w:r>
    </w:p>
    <w:p>
      <w:pPr>
        <w:sectPr>
          <w:pgSz w:w="12240" w:h="15840" w:orient="portrait"/>
          <w:cols w:equalWidth="0" w:num="1">
            <w:col w:w="10200"/>
          </w:cols>
          <w:pgMar w:left="1020" w:top="1310" w:right="1020" w:bottom="574" w:gutter="0" w:footer="0" w:header="0"/>
        </w:sect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83</w:t>
      </w:r>
    </w:p>
    <w:p>
      <w:pPr>
        <w:sectPr>
          <w:pgSz w:w="12240" w:h="15840" w:orient="portrait"/>
          <w:cols w:equalWidth="0" w:num="1">
            <w:col w:w="10200"/>
          </w:cols>
          <w:pgMar w:left="1020" w:top="1310" w:right="1020" w:bottom="574" w:gutter="0" w:footer="0" w:header="0"/>
          <w:type w:val="continuous"/>
        </w:sectPr>
      </w:pPr>
    </w:p>
    <w:bookmarkStart w:id="86" w:name="page87"/>
    <w:bookmarkEnd w:id="86"/>
    <w:p>
      <w:pPr>
        <w:jc w:val="both"/>
        <w:spacing w:after="0" w:line="251" w:lineRule="auto"/>
        <w:rPr>
          <w:sz w:val="20"/>
          <w:szCs w:val="20"/>
          <w:color w:val="auto"/>
        </w:rPr>
      </w:pPr>
      <w:r>
        <w:rPr>
          <w:rFonts w:ascii="Times New Roman" w:cs="Times New Roman" w:eastAsia="Times New Roman" w:hAnsi="Times New Roman"/>
          <w:sz w:val="19"/>
          <w:szCs w:val="19"/>
          <w:color w:val="auto"/>
        </w:rPr>
        <w:t>proportionate to the purposes of collection or processing, granting additional protections for sensitive personal information, and requiring greater disclosures related to notice to residents regarding retention of information. The CPRA also created the California Privacy Protection Agency, a new enforcement agency whose sole responsibility is to enforce the CPRA, which will further increase compliance risk.</w:t>
      </w:r>
    </w:p>
    <w:p>
      <w:pPr>
        <w:spacing w:after="0" w:line="18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color w:val="auto"/>
        </w:rPr>
        <w:t>In addition to California, a number of other states have passed comprehensive privacy laws similar to the CCPA and CPRA. These laws are either in effect or will go into effect sometime before the end of 2026, with other states likely to consider or pass similar laws in the future. Like the CCPA and CPRA, these laws create obligations related to the processing of personal information, as well as special obligations for the processing of “sensitive” data, which includes health data in some cases. Some of the provisions of these laws may apply to our business activities. Congress has also been debating passing a federal privacy law. There are also states that are specifically regulating health information that may affect our business. For example, the State of Washington passed the My Health My Data Act in 2023 which specifically regulated health information that is not otherwise regulated by the HIPAA rules, and the law also has a private right of action, which further increases the relevant compliance risk. Connecticut and Nevada have also passed similar laws regulating consumer health data, and more states are considering such legislation. These laws may impact our business activities, including our identification of research subjects, relationships with business partners and ultimately the marketing and distribution of our products.</w:t>
      </w:r>
    </w:p>
    <w:p>
      <w:pPr>
        <w:spacing w:after="0" w:line="19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color w:val="auto"/>
        </w:rPr>
        <w:t>Similar to the laws in the United States, there are significant privacy and data security laws that apply in Europe and other countries. The collection, use, disclosure, transfer, or other processing of personal data, including personal health data, regarding individuals who are located in the European Economic Area, or the EEA, and the processing of personal data that takes place in the EEA, is regulated by the GDPR, which went into effect in May 2018 and which imposes obligations on companies that operate in our industry with respect to the processing of personal data and the cross-border transfer of such data. The GDPR imposes onerous accountability obligations requiring data controllers and processors to maintain a record of their data processing and policies. If our or our partners’ or service providers’ privacy or data security measures fail to comply with the GDPR requirements, we may be subject to litigation, regulatory investigations, enforcement notices requiring us to change the way we use personal data and/or fines of up to 20 million Euros or up to 4% of the total worldwide annual turnover of the preceding financial year, whichever is higher, as well as compensation claims by affected individuals, negative publicity, reputational harm and a potential loss of business and goodwill.</w:t>
      </w:r>
    </w:p>
    <w:p>
      <w:pPr>
        <w:spacing w:after="0" w:line="19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color w:val="auto"/>
        </w:rPr>
        <w:t>Given the breadth and depth of changes in data protection obligations, complying with the GDPR’s requirements is rigorous and time intensive and requires significant resources and a review of our technologies, systems and practices, as well as those of any third-party collaborators, service providers, contractors or consultants that process or transfer personal data collected in the European Union. The GDPR and other changes in laws or regulations associated with the enhanced protection of certain types of sensitive data, such as healthcare data or other personal information from our clinical trials, could require us to change our business practices and put in place additional compliance mechanisms, may interrupt or delay our development, regulatory and commercialization activities, and could lead to government enforcement actions, private litigation and significant fines and penalties against us, all of which could increase our cost of doing business and have a material adverse effect on our business, financial condition or results of operations. Similarly, failure to comply with federal and state laws regarding privacy and security of personal information could expose us to fines and penalties under such laws. Even if we are not determined to have violated these laws, government investigations into these issues typically require the expenditure of significant resources and generate negative publicity, which could harm our reputation and our business.</w:t>
      </w:r>
    </w:p>
    <w:p>
      <w:pPr>
        <w:spacing w:after="0" w:line="19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The GDPR places restrictions on the cross-border transfer of personal data from the EU to countries that have not been found by the European Commission, or EC, to offer adequate data protection legislation, such as the U.S. There are ongoing concerns about the ability of companies to transfer personal data from the EU to other countries. In July 2020, the Court of Justice of the European Union, or the CJEU, invalidated the EU-U.S. Privacy Shield, one of the mechanisms used to legitimize the transfer of personal data from the EEA to the U.S. The CJEU decision also drew into question the long-term viability of an alternative means of data transfer, the standard contractual clauses, for transfers of personal data from the EEA to the U.S. While we were not self-certified under the privacy shield, this CJEU decision may lead to increased scrutiny on data transfers from the EEA to the U.S. generally and increase our costs of compliance with data privacy legislation, as well as our costs of negotiating appropriate privacy and security agreements with our vendors and business partners.</w:t>
      </w:r>
    </w:p>
    <w:p>
      <w:pPr>
        <w:spacing w:after="0" w:line="19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Beyond GDPR, there are privacy and data security laws in a growing number of countries around the world. While many loosely follow GDPR as a model, other laws contain different or conflicting provisions. These laws will impact our ability to conduct our business activities, including both our clinical trials and the sale and distribution of commercial products, through increased compliance costs, costs associated with contracting and potential enforcement actions.</w:t>
      </w:r>
    </w:p>
    <w:p>
      <w:pPr>
        <w:spacing w:after="0" w:line="18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While we continue to address the implications of the recent changes to data privacy regulations, data privacy remains an evolving landscape at both the domestic and international level, with new regulations coming into effect and continued legal challenges, and our efforts to comply with the evolving data protection rules may be unsuccessful. It is possible that these laws may be interpreted and</w:t>
      </w:r>
    </w:p>
    <w:p>
      <w:pPr>
        <w:sectPr>
          <w:pgSz w:w="12240" w:h="15840" w:orient="portrait"/>
          <w:cols w:equalWidth="0" w:num="1">
            <w:col w:w="10200"/>
          </w:cols>
          <w:pgMar w:left="1020" w:top="1317" w:right="1020" w:bottom="574"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84</w:t>
      </w:r>
    </w:p>
    <w:p>
      <w:pPr>
        <w:sectPr>
          <w:pgSz w:w="12240" w:h="15840" w:orient="portrait"/>
          <w:cols w:equalWidth="0" w:num="1">
            <w:col w:w="10200"/>
          </w:cols>
          <w:pgMar w:left="1020" w:top="1317" w:right="1020" w:bottom="574" w:gutter="0" w:footer="0" w:header="0"/>
          <w:type w:val="continuous"/>
        </w:sectPr>
      </w:pPr>
    </w:p>
    <w:bookmarkStart w:id="87" w:name="page88"/>
    <w:bookmarkEnd w:id="87"/>
    <w:p>
      <w:pPr>
        <w:jc w:val="both"/>
        <w:spacing w:after="0" w:line="241" w:lineRule="auto"/>
        <w:rPr>
          <w:sz w:val="20"/>
          <w:szCs w:val="20"/>
          <w:color w:val="auto"/>
        </w:rPr>
      </w:pPr>
      <w:r>
        <w:rPr>
          <w:rFonts w:ascii="Times New Roman" w:cs="Times New Roman" w:eastAsia="Times New Roman" w:hAnsi="Times New Roman"/>
          <w:sz w:val="19"/>
          <w:szCs w:val="19"/>
          <w:color w:val="auto"/>
        </w:rPr>
        <w:t>applied in a manner that is inconsistent with our practices. We must devote significant resources to understanding and complying with this changing landscape. Failure to comply with laws regarding data protection would expose us to risk of enforcement actions taken by data protection authorities in the EEA and elsewhere and carries with it the potential for significant penalties if we are found to be non-compliant. Similarly, failure to comply with federal and state laws in the U.S. regarding privacy and security of personal information could expose us to penalties under such laws. Any such failure to comply with data protection and privacy laws could result in government-imposed fines or orders requiring that we change our practices, claims for damages or other liabilities, regulatory investigations and enforcement action, litigation and significant costs for remediation, any of which could adversely affect our business. Even if we are not determined to have violated these laws, government investigations into these issues typically require the expenditure of significant resources and generate negative publicity, which could harm our business, financial condition, results of operations or prospects. Further, we cannot assure you that our third-party service providers with access to our or our customers’, suppliers’, trial patients’ and employees’ personally identifiable and other sensitive or confidential information in relation to which we are responsible will not breach contractual obligations imposed by us, or that they will not experience data security breaches or attempts thereof, which could have a corresponding effect on our business, including putting us in breach of our obligations under privacy laws and regulations and/or which could in turn adversely affect our business, results of operations and financial condition. We cannot assure you that our contractual measures and our own privacy and security-related safeguards will protect us from the risks associated with the third-party processing, storage and transmission of such information.</w:t>
      </w:r>
    </w:p>
    <w:p>
      <w:pPr>
        <w:spacing w:after="0" w:line="176"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9"/>
          <w:szCs w:val="19"/>
          <w:b w:val="1"/>
          <w:bCs w:val="1"/>
          <w:i w:val="1"/>
          <w:iCs w:val="1"/>
          <w:color w:val="auto"/>
        </w:rPr>
        <w:t>We are subject to U.S. and certain foreign export control, import, sanctions, anti-corruption, and anti-money laundering laws and regulations with respect to our operations and non-compliance with such laws can subject us to criminal and/or civil liability and harm our business.</w:t>
      </w:r>
    </w:p>
    <w:p>
      <w:pPr>
        <w:spacing w:after="0" w:line="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 the U.S. Foreign Corrupt Practices Act of 1977, as amended, or the FCPA, the U.S. domestic bribery statute contained in 18 U.S.C. § 201, the U.S. Travel Act, the USA PATRIOT Act, and other state and national anti-bribery and anti-money laundering laws in countries in which we conduct activities. Anti-corruption laws are interpreted broadly and prohibit companies and their employees, agents, third-party intermediaries, joint venture partners and collaborators from authorizing, promising, offering or providing, directly or indirectly, improper payments or benefits to recipients in the public or private sector. We may have direct or indirect interactions with officials and employees of government agencies or government-affiliated hospitals, universities and other organizations. In addition, we may engage third-party intermediaries to promote our clinical research activities abroad and/or to obtain necessary permits, licenses, and other regulatory approvals. We can be held liable for the corrupt or other illegal activities of these third-party intermediaries, our employees, representatives, contractors, partners and agents, even if we do not explicitly authorize or have actual knowledge of such activities.</w:t>
      </w:r>
    </w:p>
    <w:p>
      <w:pPr>
        <w:spacing w:after="0" w:line="19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Noncompliance with the laws and regulations described above could subject us to whistleblower complaints, investigations, sanctions, settlements, prosecution, other enforcement actions, disgorgement of profits, significant fines, damages, other civil and criminal penalties or injunctions, suspension and/or debarment from contracting with certain persons, the loss of export privileges, reputational harm, adverse media coverage and other collateral consequences. If any subpoenas, investigations or other enforcement actions are launched, or governmental or other sanctions are imposed, or if we do not prevail in any possible civil or criminal litigation, our business, results of operations and financial condition could be materially harmed. In addition, responding to any such action will likely result in a materially significant diversion of management’s attention and resources and significant defense and compliance costs and other professional fees. In certain cases, enforcement authorities may even cause us to appoint an independent compliance monitor which can result in added costs and administrative burdens.</w:t>
      </w:r>
    </w:p>
    <w:p>
      <w:pPr>
        <w:spacing w:after="0" w:line="175" w:lineRule="exact"/>
        <w:rPr>
          <w:sz w:val="20"/>
          <w:szCs w:val="20"/>
          <w:color w:val="auto"/>
        </w:rPr>
      </w:pPr>
    </w:p>
    <w:p>
      <w:pPr>
        <w:jc w:val="both"/>
        <w:spacing w:after="0" w:line="361" w:lineRule="auto"/>
        <w:rPr>
          <w:sz w:val="20"/>
          <w:szCs w:val="20"/>
          <w:color w:val="auto"/>
        </w:rPr>
      </w:pPr>
      <w:r>
        <w:rPr>
          <w:rFonts w:ascii="Times New Roman" w:cs="Times New Roman" w:eastAsia="Times New Roman" w:hAnsi="Times New Roman"/>
          <w:sz w:val="19"/>
          <w:szCs w:val="19"/>
          <w:b w:val="1"/>
          <w:bCs w:val="1"/>
          <w:i w:val="1"/>
          <w:iCs w:val="1"/>
          <w:color w:val="auto"/>
        </w:rPr>
        <w:t>Changes in and uncertainty surrounding U.S. and international trade policies may adversely impact our business and operating results.</w:t>
      </w:r>
    </w:p>
    <w:p>
      <w:pPr>
        <w:spacing w:after="0" w:line="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color w:val="auto"/>
        </w:rPr>
        <w:t>In 2025, the U.S. government initiated a series of tariff-related actions against U.S. trading partners, which included a number of reciprocal and country-specific tariffs under the International Emergency Economic Powers Act, or the IEEPA. In February 2026, the U.S. Supreme Court held that the IEEPA does not authorize the President to impose tariffs, invalidating both the “reciprocal” tariffs and certain country-specific tariffs. The President subsequently invoked Section 122 of the Trade Act of 1974 to impose a 10% tariff, which could be raised to 15%, on nearly all foreign imports. The tariffs imposed under Section 122 are temporary and valid for 150 days without congressional approval. Multiple states have challenged these tariffs in court.</w:t>
      </w:r>
    </w:p>
    <w:p>
      <w:pPr>
        <w:spacing w:after="0" w:line="186"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Separately, in 2025, the Department of Commerce initiated an investigation under Section 232 of the Trade Expansion Act of 1962 into the impact on U.S. national security of the imports of pharmaceuticals and pharmaceutical ingredients, including finished drug products, medical countermeasures, critical inputs such as active pharmaceutical ingredients, and key starting materials, and derivative products of those items. On September 25, 2025, the U.S. administration announced that, beginning October 1, 2025, all branded or patented drugs imported in the U.S. would face a 100% tariff. At the same time, the administration indicated that these tariffs could be</w:t>
      </w:r>
    </w:p>
    <w:p>
      <w:pPr>
        <w:sectPr>
          <w:pgSz w:w="12240" w:h="15840" w:orient="portrait"/>
          <w:cols w:equalWidth="0" w:num="1">
            <w:col w:w="10200"/>
          </w:cols>
          <w:pgMar w:left="1020" w:top="1317" w:right="1020" w:bottom="574" w:gutter="0" w:footer="0" w:header="0"/>
        </w:sect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85</w:t>
      </w:r>
    </w:p>
    <w:p>
      <w:pPr>
        <w:sectPr>
          <w:pgSz w:w="12240" w:h="15840" w:orient="portrait"/>
          <w:cols w:equalWidth="0" w:num="1">
            <w:col w:w="10200"/>
          </w:cols>
          <w:pgMar w:left="1020" w:top="1317" w:right="1020" w:bottom="574" w:gutter="0" w:footer="0" w:header="0"/>
          <w:type w:val="continuous"/>
        </w:sectPr>
      </w:pPr>
    </w:p>
    <w:bookmarkStart w:id="88" w:name="page89"/>
    <w:bookmarkEnd w:id="88"/>
    <w:p>
      <w:pPr>
        <w:ind w:right="220"/>
        <w:spacing w:after="0" w:line="251" w:lineRule="auto"/>
        <w:rPr>
          <w:sz w:val="20"/>
          <w:szCs w:val="20"/>
          <w:color w:val="auto"/>
        </w:rPr>
      </w:pPr>
      <w:r>
        <w:rPr>
          <w:rFonts w:ascii="Times New Roman" w:cs="Times New Roman" w:eastAsia="Times New Roman" w:hAnsi="Times New Roman"/>
          <w:sz w:val="19"/>
          <w:szCs w:val="19"/>
          <w:color w:val="auto"/>
        </w:rPr>
        <w:t>avoided by building pharmaceutical manufacturing facilities in the U.S. Thereafter, the administration delayed the October 1, 2025 effective date of the tariffs on branded or patented pharmaceutical products announcing that the administration had now “begun preparing” tariffs on manufacturers that do not build in the U.S. or enter into a most-favored-nation drug pricing agreement with the administration. Significant uncertainty surrounding trade policy and tariff activity continues.</w:t>
      </w:r>
    </w:p>
    <w:p>
      <w:pPr>
        <w:spacing w:after="0" w:line="182"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9"/>
          <w:szCs w:val="19"/>
          <w:color w:val="auto"/>
        </w:rPr>
        <w:t>The changes in tariffs that have been announced and/or implemented and the underlying uncertainty currently surrounding international trade, could have a negative impact on our costs of materials and production processes, or could cause supply chain disruptions and delays due to new tariff policies or trade restrictions. If we are unable to obtain necessary raw materials or product components in sufficient quantities and in a timely manner, the research, development, testing and clinical trials of our product candidates may be delayed or infeasible, and regulatory approval or commercial launch of any resulting product may be delayed or not obtained, which could significantly harm our business. Further, sustained uncertainty about, or the further escalation of, trade and political tensions between the U.S. and China could result in a disadvantageous research and manufacturing environment in China, particularly for U.S.-based companies, including retaliatory restrictions that hinder or potentially inhibit our ability to rely on CMOs and other service providers that operate in China. We cannot yet predict the effect of the U.S. tariffs on imports, or the extent to which other countries will impose quotas, duties, tariffs, taxes or other similar restrictions upon imports or exports in the future, nor can we predict future trade policy or the terms of any renegotiated trade agreements and their impact on our business.</w:t>
      </w:r>
    </w:p>
    <w:p>
      <w:pPr>
        <w:spacing w:after="0" w:line="187" w:lineRule="exact"/>
        <w:rPr>
          <w:sz w:val="20"/>
          <w:szCs w:val="20"/>
          <w:color w:val="auto"/>
        </w:rPr>
      </w:pPr>
    </w:p>
    <w:p>
      <w:pPr>
        <w:jc w:val="both"/>
        <w:spacing w:after="0" w:line="361" w:lineRule="auto"/>
        <w:rPr>
          <w:sz w:val="20"/>
          <w:szCs w:val="20"/>
          <w:color w:val="auto"/>
        </w:rPr>
      </w:pPr>
      <w:r>
        <w:rPr>
          <w:rFonts w:ascii="Times New Roman" w:cs="Times New Roman" w:eastAsia="Times New Roman" w:hAnsi="Times New Roman"/>
          <w:sz w:val="19"/>
          <w:szCs w:val="19"/>
          <w:b w:val="1"/>
          <w:bCs w:val="1"/>
          <w:i w:val="1"/>
          <w:iCs w:val="1"/>
          <w:color w:val="auto"/>
        </w:rPr>
        <w:t>If we fail to comply with environmental, health and safety laws and regulations, we could become subject to fines or penalties or incur costs that could harm our business.</w:t>
      </w:r>
    </w:p>
    <w:p>
      <w:pPr>
        <w:spacing w:after="0" w:line="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We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9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We maintain workers’ compensation insurance to cover us for costs and expenses we may incur due to injuries to our employees resulting from the use of hazardous materials, however this insurance may not provide adequate coverage against potential liabilities. We do not maintain insurance for environmental liability or toxic tort claims that may be asserted against us.</w:t>
      </w:r>
    </w:p>
    <w:p>
      <w:pPr>
        <w:spacing w:after="0" w:line="17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In addition, we may incur substantial costs in order to comply with current or future environmental, health and safety laws and regulations. Current or future environmental laws and regulations may impair our research, development or production efforts. In addition, failure to comply with these laws and regulations may result in substantial fines, penalties or other sanctions.</w:t>
      </w:r>
    </w:p>
    <w:p>
      <w:pPr>
        <w:spacing w:after="0" w:line="161" w:lineRule="exact"/>
        <w:rPr>
          <w:sz w:val="20"/>
          <w:szCs w:val="20"/>
          <w:color w:val="auto"/>
        </w:rPr>
      </w:pPr>
    </w:p>
    <w:p>
      <w:pPr>
        <w:jc w:val="both"/>
        <w:spacing w:after="0" w:line="361" w:lineRule="auto"/>
        <w:rPr>
          <w:sz w:val="20"/>
          <w:szCs w:val="20"/>
          <w:color w:val="auto"/>
        </w:rPr>
      </w:pPr>
      <w:r>
        <w:rPr>
          <w:rFonts w:ascii="Times New Roman" w:cs="Times New Roman" w:eastAsia="Times New Roman" w:hAnsi="Times New Roman"/>
          <w:sz w:val="19"/>
          <w:szCs w:val="19"/>
          <w:b w:val="1"/>
          <w:bCs w:val="1"/>
          <w:i w:val="1"/>
          <w:iCs w:val="1"/>
          <w:color w:val="auto"/>
        </w:rPr>
        <w:t>Our employees, independent contractors, CROs, consultants, commercial partners, vendors and principal investigators may engage in misconduct or other improper activities, including non-compliance with regulatory standards and requirements.</w:t>
      </w:r>
    </w:p>
    <w:p>
      <w:pPr>
        <w:spacing w:after="0" w:line="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We are exposed to the risk of fraud or other misconduct by our employees, independent contractors, CROs, consultants, commercial partners, vendors and our principal investigators. Misconduct by these parties could include intentional failures to comply with FDA regulations or the regulations applicable in the EU and other jurisdictions, provide accurate information to the FDA, the EC and other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w:t>
      </w:r>
    </w:p>
    <w:p>
      <w:pPr>
        <w:spacing w:after="0" w:line="19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Such misconduct also could involve the improper use of information obtained in the course of clinical trials or interactions with the FDA or other regulatory authorities, which could result in regulatory sanctions and cause serious harm to our reputation. Even with appropriate policies and procedures, it is not always possible to identify and deter misconduct, and the precautions we take to detect and prevent such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financial condition, results of operations and prospects, including the imposition of significant fines or other sanctions.</w:t>
      </w:r>
    </w:p>
    <w:p>
      <w:pPr>
        <w:sectPr>
          <w:pgSz w:w="12240" w:h="15840" w:orient="portrait"/>
          <w:cols w:equalWidth="0" w:num="1">
            <w:col w:w="10200"/>
          </w:cols>
          <w:pgMar w:left="1020" w:top="1317" w:right="102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86</w:t>
      </w:r>
    </w:p>
    <w:p>
      <w:pPr>
        <w:sectPr>
          <w:pgSz w:w="12240" w:h="15840" w:orient="portrait"/>
          <w:cols w:equalWidth="0" w:num="1">
            <w:col w:w="10200"/>
          </w:cols>
          <w:pgMar w:left="1020" w:top="1317" w:right="1020" w:bottom="574" w:gutter="0" w:footer="0" w:header="0"/>
          <w:type w:val="continuous"/>
        </w:sectPr>
      </w:pPr>
    </w:p>
    <w:bookmarkStart w:id="89" w:name="page90"/>
    <w:bookmarkEnd w:id="89"/>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Risks Related to Our Business Operations, Employee Matters and Managing Growth</w:t>
      </w:r>
    </w:p>
    <w:p>
      <w:pPr>
        <w:spacing w:after="0" w:line="192" w:lineRule="exact"/>
        <w:rPr>
          <w:sz w:val="20"/>
          <w:szCs w:val="20"/>
          <w:color w:val="auto"/>
        </w:rPr>
      </w:pPr>
    </w:p>
    <w:p>
      <w:pPr>
        <w:jc w:val="both"/>
        <w:spacing w:after="0" w:line="361" w:lineRule="auto"/>
        <w:rPr>
          <w:sz w:val="20"/>
          <w:szCs w:val="20"/>
          <w:color w:val="auto"/>
        </w:rPr>
      </w:pPr>
      <w:r>
        <w:rPr>
          <w:rFonts w:ascii="Times New Roman" w:cs="Times New Roman" w:eastAsia="Times New Roman" w:hAnsi="Times New Roman"/>
          <w:sz w:val="19"/>
          <w:szCs w:val="19"/>
          <w:b w:val="1"/>
          <w:bCs w:val="1"/>
          <w:i w:val="1"/>
          <w:iCs w:val="1"/>
          <w:color w:val="auto"/>
        </w:rPr>
        <w:t>Our future success depends on our ability to retain key employees, consultants and advisors and to attract, retain and motivate qualified personnel.</w:t>
      </w:r>
    </w:p>
    <w:p>
      <w:pPr>
        <w:spacing w:after="0" w:line="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We are highly dependent on the management, research and development, clinical, financial and business development expertise of our executive officers, as well as the other members of our scientific and clinical teams. Although we have employment agreements that outline the terms of employment with each of our executive officers, each of them may terminate their employment with us at any time. As such, these employment agreements do not guarantee our retention of our executive officers for any period of time. In addition, at our 2025 annual meeting of stockholders, our stockholders approved a certificate of amendment to our restated certificate of incorporation to provide for the exculpation of our executive officers, as permitted under Delaware law, which amendment became effective on June 10, 2025. Despite this, we may have difficulty retaining key personnel, which could adversely affect our business and further development of our product candidates. Furthermore, the cost of directors’ and officers’ liability insurance, or D&amp;O insurance, is subject to change, which could result in D&amp;O insurance becoming significantly more expensive for us to maintain or require us to accept coverage terms or policy limits that are less favorable. Accordingly, there is no guarantee that we will be able to maintain D&amp;O insurance at a reasonable cost or in an amount adequate to satisfy any liability that may arise. An inability to secure and maintain D&amp;O insurance may make it difficult for us to retain and attract talented and skilled directors and officers to serve our company, which could adversely affect our business. We do not maintain “key person” insurance for any of our employees.</w:t>
      </w:r>
    </w:p>
    <w:p>
      <w:pPr>
        <w:spacing w:after="0" w:line="19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9"/>
          <w:szCs w:val="19"/>
          <w:color w:val="auto"/>
        </w:rPr>
        <w:t>Recruiting and retaining qualified scientific and clinical personnel and, if we are successful in obtaining marketing approval for our product candidates, sales and marketing personnel, is and will be critical to our success. The loss of the services of our executive officers or other key employees could impede, delay or prevent the achievement of our research, development and commercialization objectives and seriously harm our ability to successfully implement our business strategy. Furthermore, replacing executive officers and other key employees may be difficult and may take an extended period of time because of the limited number of individuals in our industry with the breadth of skills and experience required to successfully develop, gain regulatory approval for and commercialize products in the life sciences industry, and specifically our product candidates. We are based in Massachusetts, a state that is home to many other biopharmaceutical companies as well as many academic and research institutions, resulting in fierce competition for qualified personnel. Furthermore, to the extent we hire personnel from competitors, we may be subject to allegations that they have been improperly solicited or that they have divulged proprietary or other confidential information, or that their former employers own their research output. We also experience competition for the hiring of scientific and clinical personnel from universities and research institutions. In addition, we rely on consultants and advisors, including scientific and clinical advisors, to assist us in formulating our research and development strategy. Our consultants and advisors may be employed by employers other than us and may have commitments under consulting or advisory contracts with other entities that may limit their availability to us. Additionally, the biotechnology industry generally has continued to experience a competitive wage environment, which is likely to further exacerbate the foregoing risks and may impact our ability to retain our executive officers or other key employees. If we are unable to continue to attract and retain high quality personnel, our ability to pursue our growth strategy will be limited and could adversely affect our business, prospects, financial condition and results of operations.</w:t>
      </w:r>
    </w:p>
    <w:p>
      <w:pPr>
        <w:spacing w:after="0" w:line="188"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b w:val="1"/>
          <w:bCs w:val="1"/>
          <w:i w:val="1"/>
          <w:iCs w:val="1"/>
          <w:color w:val="auto"/>
        </w:rPr>
        <w:t>We depend on our information technology systems and those of our third-party service providers, and any failure of these systems could harm our business. Security breaches, loss of data, inability to access systems, and other disruptions could compromise sensitive information related to our business or prevent us from accessing critical information and expose us to liability or competitive or reputational harm, which could adversely affect our business, results of operations and financial condition.</w:t>
      </w:r>
    </w:p>
    <w:p>
      <w:pPr>
        <w:jc w:val="both"/>
        <w:spacing w:after="0" w:line="242" w:lineRule="auto"/>
        <w:rPr>
          <w:sz w:val="20"/>
          <w:szCs w:val="20"/>
          <w:color w:val="auto"/>
        </w:rPr>
      </w:pPr>
      <w:r>
        <w:rPr>
          <w:rFonts w:ascii="Times New Roman" w:cs="Times New Roman" w:eastAsia="Times New Roman" w:hAnsi="Times New Roman"/>
          <w:sz w:val="19"/>
          <w:szCs w:val="19"/>
          <w:color w:val="auto"/>
        </w:rPr>
        <w:t>We collect and maintain information in digital and other forms that is necessary to conduct our business, and we are increasingly dependent on information technology systems and infrastructure to operate our business. In the ordinary course of our business, we collect, store and transmit large amounts of confidential information, including intellectual property, proprietary business information and personal information. It is critical that we do so in a secure manner to maintain the privacy, security, confidentiality, availability and integrity of such confidential information. Our internal information technology systems and infrastructure, and those of our contractors, consultants, vendors, service providers and other third parties on which we rely, are vulnerable to damage or unauthorized access or use resulting from computer viruses, malware, natural disasters, terrorism, war, telecommunication and electrical failures, cyber-attacks or cyber-intrusions over the Internet, denial or degradation of service attacks, ransomware, hacking, phishing and other social engineering attacks, attachments to emails, intentional or accidental actions or inactions by persons inside our organization or by persons with access to systems inside our organization.</w:t>
      </w:r>
    </w:p>
    <w:p>
      <w:pPr>
        <w:spacing w:after="0" w:line="19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The risk of a security breach or disruption or data loss, particularly through cyber-attacks or cyber intrusion, including by computer hackers, supply chain attacks, foreign governments and cyber terrorists, has generally increased as the number, intensity and sophistication of attempted attacks and intrusions from around the world have increased. Additionally, attackers may use artificial intelligence and machine learning to launch more automated, targeted and coordinated attacks against targets. In addition, the</w:t>
      </w:r>
    </w:p>
    <w:p>
      <w:pPr>
        <w:sectPr>
          <w:pgSz w:w="12240" w:h="15840" w:orient="portrait"/>
          <w:cols w:equalWidth="0" w:num="1">
            <w:col w:w="10200"/>
          </w:cols>
          <w:pgMar w:left="1020" w:top="1440" w:right="1020" w:bottom="574" w:gutter="0" w:footer="0" w:header="0"/>
        </w:sect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87</w:t>
      </w:r>
    </w:p>
    <w:p>
      <w:pPr>
        <w:sectPr>
          <w:pgSz w:w="12240" w:h="15840" w:orient="portrait"/>
          <w:cols w:equalWidth="0" w:num="1">
            <w:col w:w="10200"/>
          </w:cols>
          <w:pgMar w:left="1020" w:top="1440" w:right="1020" w:bottom="574" w:gutter="0" w:footer="0" w:header="0"/>
          <w:type w:val="continuous"/>
        </w:sectPr>
      </w:pPr>
    </w:p>
    <w:bookmarkStart w:id="90" w:name="page91"/>
    <w:bookmarkEnd w:id="90"/>
    <w:p>
      <w:pPr>
        <w:jc w:val="both"/>
        <w:spacing w:after="0" w:line="243" w:lineRule="auto"/>
        <w:rPr>
          <w:sz w:val="20"/>
          <w:szCs w:val="20"/>
          <w:color w:val="auto"/>
        </w:rPr>
      </w:pPr>
      <w:r>
        <w:rPr>
          <w:rFonts w:ascii="Times New Roman" w:cs="Times New Roman" w:eastAsia="Times New Roman" w:hAnsi="Times New Roman"/>
          <w:sz w:val="19"/>
          <w:szCs w:val="19"/>
          <w:color w:val="auto"/>
        </w:rPr>
        <w:t>prevalent use of mobile devices that access confidential information increases the risk of lost or stolen devices, security incidents and data security breaches, which could lead to the loss of confidential information or other intellectual property. We also may face increased risks of a security breach or disruption due to our reliance on internet technology and the number of our employees who are working remotely, which may create additional opportunities for cybercriminals to exploit vulnerabilities. The costs to us to mitigate network security problems, bugs, viruses, worms, malicious software programs and security vulnerabilities could be significant, and while we have implemented security measures to protect our data security and information technology systems, our efforts to address these problems may not be successful, and these problems could result in unexpected interruptions, delays, cessation of service, negative publicity and other harm to our business and our competitive position. If such an event were to occur and cause interruptions in our operations, it could result in a material disruption of our product development programs.</w:t>
      </w:r>
    </w:p>
    <w:p>
      <w:pPr>
        <w:spacing w:after="0" w:line="19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Any security compromise affecting us, our partners, our service providers or our industry, whether real or perceived, could harm our reputation, erode confidence in the effectiveness of our security measures and lead to regulatory scrutiny. If such an event were to occur and cause interruptions in our operations or result in the unauthorized acquisition of or access to personally identifiable information or individually identifiable health information (violating certain privacy laws, as applicable, such as HIPAA, CCPA, HITECH and GDPR), it could result in a material disruption of our discovery and development programs and our business operations, whether due to a loss of our trade secrets or other similar disruptions. Some of the federal, state and foreign government requirements include obligations of companies to notify individuals of security breaches involving particular personally identifiable information, which could result from breaches experienced by us or by our vendors, contractors, or organizations with which we have formed strategic relationships. Notifications and follow-up actions related to a security breach could impact our reputation, cause us to incur significant costs, including legal expenses and remediation costs. For example, the loss of clinical trial data from completed or future clinical trials could result in delays in our regulatory approval efforts and significantly increase our costs to recover or reproduce the lost data. We would also be exposed to a risk of loss, governmental investigations or enforcement, or litigation and potential liability, any of which could materially adversely affect our business, results of operations and financial condition. While we do maintain cyber liability insurance, our insurance coverages may not be sufficient in type or amount to cover us against any such losses, claims, or liabilities related to security breaches, cyber-attacks, cyber intrusion, or other related breaches or disruptions.</w:t>
      </w:r>
    </w:p>
    <w:p>
      <w:pPr>
        <w:spacing w:after="0" w:line="19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We also face emerging risks associated with the use of generative artificial intelligence and related technologies, including algorithmic error, vendor dependency, potential infringement of third-party intellectual property rights through agent-generated outputs, and an uncertain and rapidly evolving regulatory environment at the state, federal, and international levels, any of which could adversely impact our business, results of operations and financial condition.</w:t>
      </w:r>
    </w:p>
    <w:p>
      <w:pPr>
        <w:spacing w:after="0" w:line="166" w:lineRule="exact"/>
        <w:rPr>
          <w:sz w:val="20"/>
          <w:szCs w:val="20"/>
          <w:color w:val="auto"/>
        </w:rPr>
      </w:pPr>
    </w:p>
    <w:p>
      <w:pPr>
        <w:jc w:val="both"/>
        <w:spacing w:after="0" w:line="361" w:lineRule="auto"/>
        <w:rPr>
          <w:sz w:val="20"/>
          <w:szCs w:val="20"/>
          <w:color w:val="auto"/>
        </w:rPr>
      </w:pPr>
      <w:r>
        <w:rPr>
          <w:rFonts w:ascii="Times New Roman" w:cs="Times New Roman" w:eastAsia="Times New Roman" w:hAnsi="Times New Roman"/>
          <w:sz w:val="19"/>
          <w:szCs w:val="19"/>
          <w:b w:val="1"/>
          <w:bCs w:val="1"/>
          <w:i w:val="1"/>
          <w:iCs w:val="1"/>
          <w:color w:val="auto"/>
        </w:rPr>
        <w:t>A variety of risks associated with marketing our product candidates internationally, if approved, could materially adversely affect our business.</w:t>
      </w:r>
    </w:p>
    <w:p>
      <w:pPr>
        <w:spacing w:after="0" w:line="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We also plan to seek regulatory approval of our product candidates outside of the U.S. and, accordingly, we expect that we will be subject to additional risks related to operating, including conducting marketing and sales activities, in international jurisdictions if we obtain the necessary approvals, including:</w:t>
      </w:r>
    </w:p>
    <w:p>
      <w:pPr>
        <w:spacing w:after="0" w:line="77" w:lineRule="exact"/>
        <w:rPr>
          <w:sz w:val="20"/>
          <w:szCs w:val="20"/>
          <w:color w:val="auto"/>
        </w:rPr>
      </w:pPr>
    </w:p>
    <w:p>
      <w:pPr>
        <w:ind w:left="920" w:hanging="458"/>
        <w:spacing w:after="0"/>
        <w:tabs>
          <w:tab w:leader="none" w:pos="920" w:val="left"/>
        </w:tabs>
        <w:numPr>
          <w:ilvl w:val="0"/>
          <w:numId w:val="51"/>
        </w:numPr>
        <w:rPr>
          <w:rFonts w:ascii="Arial" w:cs="Arial" w:eastAsia="Arial" w:hAnsi="Arial"/>
          <w:sz w:val="19"/>
          <w:szCs w:val="19"/>
          <w:color w:val="auto"/>
        </w:rPr>
      </w:pPr>
      <w:r>
        <w:rPr>
          <w:rFonts w:ascii="Times New Roman" w:cs="Times New Roman" w:eastAsia="Times New Roman" w:hAnsi="Times New Roman"/>
          <w:sz w:val="19"/>
          <w:szCs w:val="19"/>
          <w:color w:val="auto"/>
        </w:rPr>
        <w:t>regulatory requirements in foreign countries that differ from those in the U.S.;</w:t>
      </w:r>
    </w:p>
    <w:p>
      <w:pPr>
        <w:spacing w:after="0" w:line="124" w:lineRule="exact"/>
        <w:rPr>
          <w:rFonts w:ascii="Arial" w:cs="Arial" w:eastAsia="Arial" w:hAnsi="Arial"/>
          <w:sz w:val="19"/>
          <w:szCs w:val="19"/>
          <w:color w:val="auto"/>
        </w:rPr>
      </w:pPr>
    </w:p>
    <w:p>
      <w:pPr>
        <w:ind w:left="920" w:hanging="458"/>
        <w:spacing w:after="0"/>
        <w:tabs>
          <w:tab w:leader="none" w:pos="920" w:val="left"/>
        </w:tabs>
        <w:numPr>
          <w:ilvl w:val="0"/>
          <w:numId w:val="51"/>
        </w:numPr>
        <w:rPr>
          <w:rFonts w:ascii="Arial" w:cs="Arial" w:eastAsia="Arial" w:hAnsi="Arial"/>
          <w:sz w:val="19"/>
          <w:szCs w:val="19"/>
          <w:color w:val="auto"/>
        </w:rPr>
      </w:pPr>
      <w:r>
        <w:rPr>
          <w:rFonts w:ascii="Times New Roman" w:cs="Times New Roman" w:eastAsia="Times New Roman" w:hAnsi="Times New Roman"/>
          <w:sz w:val="19"/>
          <w:szCs w:val="19"/>
          <w:color w:val="auto"/>
        </w:rPr>
        <w:t>unexpected changes in tariffs, trade barriers, price and exchange controls and other regulatory requirements;</w:t>
      </w:r>
    </w:p>
    <w:p>
      <w:pPr>
        <w:spacing w:after="0" w:line="124" w:lineRule="exact"/>
        <w:rPr>
          <w:rFonts w:ascii="Arial" w:cs="Arial" w:eastAsia="Arial" w:hAnsi="Arial"/>
          <w:sz w:val="19"/>
          <w:szCs w:val="19"/>
          <w:color w:val="auto"/>
        </w:rPr>
      </w:pPr>
    </w:p>
    <w:p>
      <w:pPr>
        <w:ind w:left="920" w:hanging="458"/>
        <w:spacing w:after="0"/>
        <w:tabs>
          <w:tab w:leader="none" w:pos="920" w:val="left"/>
        </w:tabs>
        <w:numPr>
          <w:ilvl w:val="0"/>
          <w:numId w:val="51"/>
        </w:numPr>
        <w:rPr>
          <w:rFonts w:ascii="Arial" w:cs="Arial" w:eastAsia="Arial" w:hAnsi="Arial"/>
          <w:sz w:val="19"/>
          <w:szCs w:val="19"/>
          <w:color w:val="auto"/>
        </w:rPr>
      </w:pPr>
      <w:r>
        <w:rPr>
          <w:rFonts w:ascii="Times New Roman" w:cs="Times New Roman" w:eastAsia="Times New Roman" w:hAnsi="Times New Roman"/>
          <w:sz w:val="19"/>
          <w:szCs w:val="19"/>
          <w:color w:val="auto"/>
        </w:rPr>
        <w:t>economic weakness, including inflation, or political instability in particular foreign economies and markets;</w:t>
      </w:r>
    </w:p>
    <w:p>
      <w:pPr>
        <w:spacing w:after="0" w:line="124" w:lineRule="exact"/>
        <w:rPr>
          <w:rFonts w:ascii="Arial" w:cs="Arial" w:eastAsia="Arial" w:hAnsi="Arial"/>
          <w:sz w:val="19"/>
          <w:szCs w:val="19"/>
          <w:color w:val="auto"/>
        </w:rPr>
      </w:pPr>
    </w:p>
    <w:p>
      <w:pPr>
        <w:ind w:left="920" w:hanging="458"/>
        <w:spacing w:after="0"/>
        <w:tabs>
          <w:tab w:leader="none" w:pos="920" w:val="left"/>
        </w:tabs>
        <w:numPr>
          <w:ilvl w:val="0"/>
          <w:numId w:val="51"/>
        </w:numPr>
        <w:rPr>
          <w:rFonts w:ascii="Arial" w:cs="Arial" w:eastAsia="Arial" w:hAnsi="Arial"/>
          <w:sz w:val="19"/>
          <w:szCs w:val="19"/>
          <w:color w:val="auto"/>
        </w:rPr>
      </w:pPr>
      <w:r>
        <w:rPr>
          <w:rFonts w:ascii="Times New Roman" w:cs="Times New Roman" w:eastAsia="Times New Roman" w:hAnsi="Times New Roman"/>
          <w:sz w:val="19"/>
          <w:szCs w:val="19"/>
          <w:color w:val="auto"/>
        </w:rPr>
        <w:t>compliance with tax, employment, immigration and labor laws for employees living or traveling abroad;</w:t>
      </w:r>
    </w:p>
    <w:p>
      <w:pPr>
        <w:spacing w:after="0" w:line="124" w:lineRule="exact"/>
        <w:rPr>
          <w:rFonts w:ascii="Arial" w:cs="Arial" w:eastAsia="Arial" w:hAnsi="Arial"/>
          <w:sz w:val="19"/>
          <w:szCs w:val="19"/>
          <w:color w:val="auto"/>
        </w:rPr>
      </w:pPr>
    </w:p>
    <w:p>
      <w:pPr>
        <w:ind w:left="920" w:hanging="458"/>
        <w:spacing w:after="0"/>
        <w:tabs>
          <w:tab w:leader="none" w:pos="920" w:val="left"/>
        </w:tabs>
        <w:numPr>
          <w:ilvl w:val="0"/>
          <w:numId w:val="51"/>
        </w:numPr>
        <w:rPr>
          <w:rFonts w:ascii="Arial" w:cs="Arial" w:eastAsia="Arial" w:hAnsi="Arial"/>
          <w:sz w:val="19"/>
          <w:szCs w:val="19"/>
          <w:color w:val="auto"/>
        </w:rPr>
      </w:pPr>
      <w:r>
        <w:rPr>
          <w:rFonts w:ascii="Times New Roman" w:cs="Times New Roman" w:eastAsia="Times New Roman" w:hAnsi="Times New Roman"/>
          <w:sz w:val="19"/>
          <w:szCs w:val="19"/>
          <w:color w:val="auto"/>
        </w:rPr>
        <w:t>foreign taxes, including withholding of payroll taxes;</w:t>
      </w:r>
    </w:p>
    <w:p>
      <w:pPr>
        <w:spacing w:after="0" w:line="124"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51"/>
        </w:numPr>
        <w:rPr>
          <w:rFonts w:ascii="Arial" w:cs="Arial" w:eastAsia="Arial" w:hAnsi="Arial"/>
          <w:sz w:val="19"/>
          <w:szCs w:val="19"/>
          <w:color w:val="auto"/>
        </w:rPr>
      </w:pPr>
      <w:r>
        <w:rPr>
          <w:rFonts w:ascii="Times New Roman" w:cs="Times New Roman" w:eastAsia="Times New Roman" w:hAnsi="Times New Roman"/>
          <w:sz w:val="19"/>
          <w:szCs w:val="19"/>
          <w:color w:val="auto"/>
        </w:rPr>
        <w:t>foreign currency fluctuations, which could result in increased operating expenses and reduced revenue, and other obligations incident to doing business in another country;</w:t>
      </w:r>
    </w:p>
    <w:p>
      <w:pPr>
        <w:spacing w:after="0" w:line="61"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51"/>
        </w:numPr>
        <w:rPr>
          <w:rFonts w:ascii="Arial" w:cs="Arial" w:eastAsia="Arial" w:hAnsi="Arial"/>
          <w:sz w:val="19"/>
          <w:szCs w:val="19"/>
          <w:color w:val="auto"/>
        </w:rPr>
      </w:pPr>
      <w:r>
        <w:rPr>
          <w:rFonts w:ascii="Times New Roman" w:cs="Times New Roman" w:eastAsia="Times New Roman" w:hAnsi="Times New Roman"/>
          <w:sz w:val="19"/>
          <w:szCs w:val="19"/>
          <w:color w:val="auto"/>
        </w:rPr>
        <w:t>complexities associated with managing multiple payor reimbursement regimes, government payors or patient self-pay systems;</w:t>
      </w:r>
    </w:p>
    <w:p>
      <w:pPr>
        <w:spacing w:after="0" w:line="61" w:lineRule="exact"/>
        <w:rPr>
          <w:rFonts w:ascii="Arial" w:cs="Arial" w:eastAsia="Arial" w:hAnsi="Arial"/>
          <w:sz w:val="19"/>
          <w:szCs w:val="19"/>
          <w:color w:val="auto"/>
        </w:rPr>
      </w:pPr>
    </w:p>
    <w:p>
      <w:pPr>
        <w:ind w:left="920" w:hanging="458"/>
        <w:spacing w:after="0"/>
        <w:tabs>
          <w:tab w:leader="none" w:pos="920" w:val="left"/>
        </w:tabs>
        <w:numPr>
          <w:ilvl w:val="0"/>
          <w:numId w:val="51"/>
        </w:numPr>
        <w:rPr>
          <w:rFonts w:ascii="Arial" w:cs="Arial" w:eastAsia="Arial" w:hAnsi="Arial"/>
          <w:sz w:val="19"/>
          <w:szCs w:val="19"/>
          <w:color w:val="auto"/>
        </w:rPr>
      </w:pPr>
      <w:r>
        <w:rPr>
          <w:rFonts w:ascii="Times New Roman" w:cs="Times New Roman" w:eastAsia="Times New Roman" w:hAnsi="Times New Roman"/>
          <w:sz w:val="19"/>
          <w:szCs w:val="19"/>
          <w:color w:val="auto"/>
        </w:rPr>
        <w:t>difficulties staffing and managing foreign operations;</w:t>
      </w:r>
    </w:p>
    <w:p>
      <w:pPr>
        <w:spacing w:after="0" w:line="124" w:lineRule="exact"/>
        <w:rPr>
          <w:rFonts w:ascii="Arial" w:cs="Arial" w:eastAsia="Arial" w:hAnsi="Arial"/>
          <w:sz w:val="19"/>
          <w:szCs w:val="19"/>
          <w:color w:val="auto"/>
        </w:rPr>
      </w:pPr>
    </w:p>
    <w:p>
      <w:pPr>
        <w:ind w:left="920" w:hanging="458"/>
        <w:spacing w:after="0"/>
        <w:tabs>
          <w:tab w:leader="none" w:pos="920" w:val="left"/>
        </w:tabs>
        <w:numPr>
          <w:ilvl w:val="0"/>
          <w:numId w:val="51"/>
        </w:numPr>
        <w:rPr>
          <w:rFonts w:ascii="Arial" w:cs="Arial" w:eastAsia="Arial" w:hAnsi="Arial"/>
          <w:sz w:val="19"/>
          <w:szCs w:val="19"/>
          <w:color w:val="auto"/>
        </w:rPr>
      </w:pPr>
      <w:r>
        <w:rPr>
          <w:rFonts w:ascii="Times New Roman" w:cs="Times New Roman" w:eastAsia="Times New Roman" w:hAnsi="Times New Roman"/>
          <w:sz w:val="19"/>
          <w:szCs w:val="19"/>
          <w:color w:val="auto"/>
        </w:rPr>
        <w:t>workforce uncertainty in countries where labor unrest is more common than in the U.S.;</w:t>
      </w:r>
    </w:p>
    <w:p>
      <w:pPr>
        <w:spacing w:after="0" w:line="124" w:lineRule="exact"/>
        <w:rPr>
          <w:rFonts w:ascii="Arial" w:cs="Arial" w:eastAsia="Arial" w:hAnsi="Arial"/>
          <w:sz w:val="19"/>
          <w:szCs w:val="19"/>
          <w:color w:val="auto"/>
        </w:rPr>
      </w:pPr>
    </w:p>
    <w:p>
      <w:pPr>
        <w:ind w:left="920" w:hanging="458"/>
        <w:spacing w:after="0"/>
        <w:tabs>
          <w:tab w:leader="none" w:pos="920" w:val="left"/>
        </w:tabs>
        <w:numPr>
          <w:ilvl w:val="0"/>
          <w:numId w:val="51"/>
        </w:numPr>
        <w:rPr>
          <w:rFonts w:ascii="Arial" w:cs="Arial" w:eastAsia="Arial" w:hAnsi="Arial"/>
          <w:sz w:val="19"/>
          <w:szCs w:val="19"/>
          <w:color w:val="auto"/>
        </w:rPr>
      </w:pPr>
      <w:r>
        <w:rPr>
          <w:rFonts w:ascii="Times New Roman" w:cs="Times New Roman" w:eastAsia="Times New Roman" w:hAnsi="Times New Roman"/>
          <w:sz w:val="19"/>
          <w:szCs w:val="19"/>
          <w:color w:val="auto"/>
        </w:rPr>
        <w:t>potential liability under the FCPA or other comparable foreign regulations;</w:t>
      </w:r>
    </w:p>
    <w:p>
      <w:pPr>
        <w:spacing w:after="0" w:line="124"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51"/>
        </w:numPr>
        <w:rPr>
          <w:rFonts w:ascii="Arial" w:cs="Arial" w:eastAsia="Arial" w:hAnsi="Arial"/>
          <w:sz w:val="19"/>
          <w:szCs w:val="19"/>
          <w:color w:val="auto"/>
        </w:rPr>
      </w:pPr>
      <w:r>
        <w:rPr>
          <w:rFonts w:ascii="Times New Roman" w:cs="Times New Roman" w:eastAsia="Times New Roman" w:hAnsi="Times New Roman"/>
          <w:sz w:val="19"/>
          <w:szCs w:val="19"/>
          <w:color w:val="auto"/>
        </w:rPr>
        <w:t>challenges enforcing our contractual and intellectual property rights, especially in those foreign countries that do not respect and protect intellectual property rights to the same extent as the U.S.;</w:t>
      </w:r>
    </w:p>
    <w:p>
      <w:pPr>
        <w:spacing w:after="0" w:line="61" w:lineRule="exact"/>
        <w:rPr>
          <w:rFonts w:ascii="Arial" w:cs="Arial" w:eastAsia="Arial" w:hAnsi="Arial"/>
          <w:sz w:val="19"/>
          <w:szCs w:val="19"/>
          <w:color w:val="auto"/>
        </w:rPr>
      </w:pPr>
    </w:p>
    <w:p>
      <w:pPr>
        <w:ind w:left="920" w:hanging="458"/>
        <w:spacing w:after="0"/>
        <w:tabs>
          <w:tab w:leader="none" w:pos="920" w:val="left"/>
        </w:tabs>
        <w:numPr>
          <w:ilvl w:val="0"/>
          <w:numId w:val="51"/>
        </w:numPr>
        <w:rPr>
          <w:rFonts w:ascii="Arial" w:cs="Arial" w:eastAsia="Arial" w:hAnsi="Arial"/>
          <w:sz w:val="19"/>
          <w:szCs w:val="19"/>
          <w:color w:val="auto"/>
        </w:rPr>
      </w:pPr>
      <w:r>
        <w:rPr>
          <w:rFonts w:ascii="Times New Roman" w:cs="Times New Roman" w:eastAsia="Times New Roman" w:hAnsi="Times New Roman"/>
          <w:sz w:val="19"/>
          <w:szCs w:val="19"/>
          <w:color w:val="auto"/>
        </w:rPr>
        <w:t>production shortages resulting from any events affecting raw material supply or manufacturing capabilities abroad; and</w:t>
      </w:r>
    </w:p>
    <w:p>
      <w:pPr>
        <w:sectPr>
          <w:pgSz w:w="12240" w:h="15840" w:orient="portrait"/>
          <w:cols w:equalWidth="0" w:num="1">
            <w:col w:w="10200"/>
          </w:cols>
          <w:pgMar w:left="1020" w:top="1317" w:right="1020" w:bottom="574" w:gutter="0" w:footer="0" w:header="0"/>
        </w:sect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88</w:t>
      </w:r>
    </w:p>
    <w:p>
      <w:pPr>
        <w:sectPr>
          <w:pgSz w:w="12240" w:h="15840" w:orient="portrait"/>
          <w:cols w:equalWidth="0" w:num="1">
            <w:col w:w="10200"/>
          </w:cols>
          <w:pgMar w:left="1020" w:top="1317" w:right="1020" w:bottom="574" w:gutter="0" w:footer="0" w:header="0"/>
          <w:type w:val="continuous"/>
        </w:sectPr>
      </w:pPr>
    </w:p>
    <w:bookmarkStart w:id="91" w:name="page92"/>
    <w:bookmarkEnd w:id="91"/>
    <w:p>
      <w:pPr>
        <w:ind w:left="920" w:hanging="458"/>
        <w:spacing w:after="0" w:line="274" w:lineRule="auto"/>
        <w:tabs>
          <w:tab w:leader="none" w:pos="920" w:val="left"/>
        </w:tabs>
        <w:numPr>
          <w:ilvl w:val="0"/>
          <w:numId w:val="52"/>
        </w:numPr>
        <w:rPr>
          <w:rFonts w:ascii="Arial" w:cs="Arial" w:eastAsia="Arial" w:hAnsi="Arial"/>
          <w:sz w:val="19"/>
          <w:szCs w:val="19"/>
          <w:color w:val="auto"/>
        </w:rPr>
      </w:pPr>
      <w:r>
        <w:rPr>
          <w:rFonts w:ascii="Times New Roman" w:cs="Times New Roman" w:eastAsia="Times New Roman" w:hAnsi="Times New Roman"/>
          <w:sz w:val="19"/>
          <w:szCs w:val="19"/>
          <w:color w:val="auto"/>
        </w:rPr>
        <w:t>business interruptions resulting from geopolitical actions, including war, armed conflicts and terrorism or natural disasters, including pandemics or other outbreaks of infectious disease, earthquakes, typhoons, floods and fires.</w:t>
      </w:r>
    </w:p>
    <w:p>
      <w:pPr>
        <w:spacing w:after="0" w:line="16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9"/>
          <w:szCs w:val="19"/>
          <w:color w:val="auto"/>
        </w:rPr>
        <w:t>Any of these factors, along with other risks associated with international operations, could materially adversely affect our future international expansion and operations and, consequently, our results of operations.</w:t>
      </w:r>
    </w:p>
    <w:p>
      <w:pPr>
        <w:spacing w:after="0" w:line="145" w:lineRule="exact"/>
        <w:rPr>
          <w:sz w:val="20"/>
          <w:szCs w:val="20"/>
          <w:color w:val="auto"/>
        </w:rPr>
      </w:pPr>
    </w:p>
    <w:p>
      <w:pPr>
        <w:jc w:val="both"/>
        <w:spacing w:after="0" w:line="361" w:lineRule="auto"/>
        <w:rPr>
          <w:sz w:val="20"/>
          <w:szCs w:val="20"/>
          <w:color w:val="auto"/>
        </w:rPr>
      </w:pPr>
      <w:r>
        <w:rPr>
          <w:rFonts w:ascii="Times New Roman" w:cs="Times New Roman" w:eastAsia="Times New Roman" w:hAnsi="Times New Roman"/>
          <w:sz w:val="19"/>
          <w:szCs w:val="19"/>
          <w:b w:val="1"/>
          <w:bCs w:val="1"/>
          <w:i w:val="1"/>
          <w:iCs w:val="1"/>
          <w:color w:val="auto"/>
        </w:rPr>
        <w:t>We may engage in strategic transactions that could impact our liquidity, increase our expenses and present significant distractions to our management.</w:t>
      </w:r>
    </w:p>
    <w:p>
      <w:pPr>
        <w:spacing w:after="0" w:line="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From time to time, we may consider strategic transactions, such as acquisitions of companies, asset purchases and out-licensing or in-licensing of intellectual property, products or technologies. Additional potential transactions that we may consider in the future include a variety of business arrangements, including spin-offs, strategic partnerships, joint ventures, restructurings, divestitures, business combinations and investments. Any future transactions could increase our near and long-term expenditures,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 results of operations. Future acquisitions may also require us to obtain sufficient additional capital, which may not be available on favorable terms or at all. These transactions may not be successful and may require significant time and attention of management. In addition, the integration of any business that we may acquire in the future may disrupt our existing business and may be a complex, risky and costly endeavor for which we may never realize any or all potential benefits of the acquisition. Accordingly, although there can be no assurance that we will undertake or successfully complete any additional transactions of the nature described above, any additional transactions that we do complete could have a material adverse effect on our business, results of operations, financial condition and prospects.</w:t>
      </w:r>
    </w:p>
    <w:p>
      <w:pPr>
        <w:spacing w:after="0" w:line="183" w:lineRule="exact"/>
        <w:rPr>
          <w:sz w:val="20"/>
          <w:szCs w:val="20"/>
          <w:color w:val="auto"/>
        </w:rPr>
      </w:pPr>
    </w:p>
    <w:p>
      <w:pPr>
        <w:jc w:val="both"/>
        <w:spacing w:after="0" w:line="361" w:lineRule="auto"/>
        <w:rPr>
          <w:sz w:val="20"/>
          <w:szCs w:val="20"/>
          <w:color w:val="auto"/>
        </w:rPr>
      </w:pPr>
      <w:r>
        <w:rPr>
          <w:rFonts w:ascii="Times New Roman" w:cs="Times New Roman" w:eastAsia="Times New Roman" w:hAnsi="Times New Roman"/>
          <w:sz w:val="19"/>
          <w:szCs w:val="19"/>
          <w:b w:val="1"/>
          <w:bCs w:val="1"/>
          <w:i w:val="1"/>
          <w:iCs w:val="1"/>
          <w:color w:val="auto"/>
        </w:rPr>
        <w:t>Our operations or those of the third parties upon whom we depend might be affected by the occurrence of a catastrophic event, such as a terrorist attack, war or other armed conflict, geopolitical tensions or trade wars, pandemic or natural disaster.</w:t>
      </w:r>
    </w:p>
    <w:p>
      <w:pPr>
        <w:spacing w:after="0" w:line="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We depend on our employees, consultants, CDMOs, CROs, as well as regulatory agencies and other parties, for the continued operation of our business. While we maintain disaster recovery plans, they might not adequately protect us. Despite any precautions that we or any third parties on whom we depend take for catastrophic events, including terrorist attacks, wars or other armed conflicts, geopolitical tensions or trade wars, pandemics or natural disasters, these events could result in significant disruptions to our research and development, manufacturing, preclinical studies, clinical trials, and, ultimately, if approved, the commercialization of our products. Long-term disruptions in the infrastructure caused by these types of events, such as natural disasters, which are increasing in frequency due to the impacts of climate change, the outbreak of wars or other armed conflicts, the escalation of hostilities, geopolitical tensions or trade wars, acts of terrorism or “acts of God,” particularly involving geographies in which we or third parties on whom we depend have offices, manufacturing or clinical trial sites, could adversely affect our businesses. Although we carry business interruption insurance policies and typically have provisions in our contracts that protect us in certain events, our coverage might not include or be adequate to compensate us for all losses that may occur. Any catastrophic event affecting us, our CDMOs, our CROs, regulatory agencies or other parties with which we are engaged could have a material adverse effect on our operations and financial performance.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Risks Related to Ownership of Our Common Stock and Our Status as a Public Company</w:t>
      </w:r>
    </w:p>
    <w:p>
      <w:pPr>
        <w:spacing w:after="0" w:line="192" w:lineRule="exact"/>
        <w:rPr>
          <w:sz w:val="20"/>
          <w:szCs w:val="20"/>
          <w:color w:val="auto"/>
        </w:rPr>
      </w:pPr>
    </w:p>
    <w:p>
      <w:pPr>
        <w:jc w:val="both"/>
        <w:spacing w:after="0" w:line="361" w:lineRule="auto"/>
        <w:rPr>
          <w:sz w:val="20"/>
          <w:szCs w:val="20"/>
          <w:color w:val="auto"/>
        </w:rPr>
      </w:pPr>
      <w:r>
        <w:rPr>
          <w:rFonts w:ascii="Times New Roman" w:cs="Times New Roman" w:eastAsia="Times New Roman" w:hAnsi="Times New Roman"/>
          <w:sz w:val="19"/>
          <w:szCs w:val="19"/>
          <w:b w:val="1"/>
          <w:bCs w:val="1"/>
          <w:i w:val="1"/>
          <w:iCs w:val="1"/>
          <w:color w:val="auto"/>
        </w:rPr>
        <w:t>Our common stock may be subject to a low trading volume and volatile market price related or unrelated to our operations and purchasers of our common stock could have difficulty selling their shares or could suffer a decline in value.</w:t>
      </w:r>
    </w:p>
    <w:p>
      <w:pPr>
        <w:spacing w:after="0" w:line="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trading volume and market price of our common stock has been, and may continue to be, subject to significant fluctuations in response to numerous factors, many of which are beyond our control. The stock market in general and the market for biotechnology and pharmaceutical companies in particular have experienced extreme volatility that has often been unrelated to the operating performance of particular companies. As a result of this volatility, investors may not be able to sell their common stock at or above the price paid for the shares. The trading volume and market price for our common stock may be influenced by many factors, including:</w:t>
      </w:r>
    </w:p>
    <w:p>
      <w:pPr>
        <w:spacing w:after="0" w:line="70" w:lineRule="exact"/>
        <w:rPr>
          <w:sz w:val="20"/>
          <w:szCs w:val="20"/>
          <w:color w:val="auto"/>
        </w:rPr>
      </w:pPr>
    </w:p>
    <w:p>
      <w:pPr>
        <w:ind w:left="920" w:hanging="457"/>
        <w:spacing w:after="0"/>
        <w:tabs>
          <w:tab w:leader="none" w:pos="920" w:val="left"/>
        </w:tabs>
        <w:numPr>
          <w:ilvl w:val="0"/>
          <w:numId w:val="53"/>
        </w:numPr>
        <w:rPr>
          <w:rFonts w:ascii="Arial" w:cs="Arial" w:eastAsia="Arial" w:hAnsi="Arial"/>
          <w:sz w:val="19"/>
          <w:szCs w:val="19"/>
          <w:color w:val="auto"/>
        </w:rPr>
      </w:pPr>
      <w:r>
        <w:rPr>
          <w:rFonts w:ascii="Times New Roman" w:cs="Times New Roman" w:eastAsia="Times New Roman" w:hAnsi="Times New Roman"/>
          <w:sz w:val="19"/>
          <w:szCs w:val="19"/>
          <w:color w:val="auto"/>
        </w:rPr>
        <w:t>our recently effected reverse stock split of our common stock, which became effective March 13, 2026;</w:t>
      </w:r>
    </w:p>
    <w:p>
      <w:pPr>
        <w:spacing w:after="0" w:line="124" w:lineRule="exact"/>
        <w:rPr>
          <w:rFonts w:ascii="Arial" w:cs="Arial" w:eastAsia="Arial" w:hAnsi="Arial"/>
          <w:sz w:val="19"/>
          <w:szCs w:val="19"/>
          <w:color w:val="auto"/>
        </w:rPr>
      </w:pPr>
    </w:p>
    <w:p>
      <w:pPr>
        <w:ind w:left="920" w:hanging="457"/>
        <w:spacing w:after="0"/>
        <w:tabs>
          <w:tab w:leader="none" w:pos="920" w:val="left"/>
        </w:tabs>
        <w:numPr>
          <w:ilvl w:val="0"/>
          <w:numId w:val="53"/>
        </w:numPr>
        <w:rPr>
          <w:rFonts w:ascii="Arial" w:cs="Arial" w:eastAsia="Arial" w:hAnsi="Arial"/>
          <w:sz w:val="19"/>
          <w:szCs w:val="19"/>
          <w:color w:val="auto"/>
        </w:rPr>
      </w:pPr>
      <w:r>
        <w:rPr>
          <w:rFonts w:ascii="Times New Roman" w:cs="Times New Roman" w:eastAsia="Times New Roman" w:hAnsi="Times New Roman"/>
          <w:sz w:val="19"/>
          <w:szCs w:val="19"/>
          <w:color w:val="auto"/>
        </w:rPr>
        <w:t>the results from our preclinical studies and clinical trials;</w:t>
      </w:r>
    </w:p>
    <w:p>
      <w:pPr>
        <w:spacing w:after="0" w:line="124" w:lineRule="exact"/>
        <w:rPr>
          <w:rFonts w:ascii="Arial" w:cs="Arial" w:eastAsia="Arial" w:hAnsi="Arial"/>
          <w:sz w:val="19"/>
          <w:szCs w:val="19"/>
          <w:color w:val="auto"/>
        </w:rPr>
      </w:pPr>
    </w:p>
    <w:p>
      <w:pPr>
        <w:ind w:left="920" w:hanging="457"/>
        <w:spacing w:after="0" w:line="274" w:lineRule="auto"/>
        <w:tabs>
          <w:tab w:leader="none" w:pos="920" w:val="left"/>
        </w:tabs>
        <w:numPr>
          <w:ilvl w:val="0"/>
          <w:numId w:val="53"/>
        </w:numPr>
        <w:rPr>
          <w:rFonts w:ascii="Arial" w:cs="Arial" w:eastAsia="Arial" w:hAnsi="Arial"/>
          <w:sz w:val="19"/>
          <w:szCs w:val="19"/>
          <w:color w:val="auto"/>
        </w:rPr>
      </w:pPr>
      <w:r>
        <w:rPr>
          <w:rFonts w:ascii="Times New Roman" w:cs="Times New Roman" w:eastAsia="Times New Roman" w:hAnsi="Times New Roman"/>
          <w:sz w:val="19"/>
          <w:szCs w:val="19"/>
          <w:color w:val="auto"/>
        </w:rPr>
        <w:t>the commencement, enrollment or results of any current or future clinical trials we may conduct, or changes in the development status of our product candidates;</w:t>
      </w:r>
    </w:p>
    <w:p>
      <w:pPr>
        <w:spacing w:after="0" w:line="61" w:lineRule="exact"/>
        <w:rPr>
          <w:rFonts w:ascii="Arial" w:cs="Arial" w:eastAsia="Arial" w:hAnsi="Arial"/>
          <w:sz w:val="19"/>
          <w:szCs w:val="19"/>
          <w:color w:val="auto"/>
        </w:rPr>
      </w:pPr>
    </w:p>
    <w:p>
      <w:pPr>
        <w:ind w:left="920" w:hanging="457"/>
        <w:spacing w:after="0"/>
        <w:tabs>
          <w:tab w:leader="none" w:pos="920" w:val="left"/>
        </w:tabs>
        <w:numPr>
          <w:ilvl w:val="0"/>
          <w:numId w:val="53"/>
        </w:numPr>
        <w:rPr>
          <w:rFonts w:ascii="Arial" w:cs="Arial" w:eastAsia="Arial" w:hAnsi="Arial"/>
          <w:sz w:val="19"/>
          <w:szCs w:val="19"/>
          <w:color w:val="auto"/>
        </w:rPr>
      </w:pPr>
      <w:r>
        <w:rPr>
          <w:rFonts w:ascii="Times New Roman" w:cs="Times New Roman" w:eastAsia="Times New Roman" w:hAnsi="Times New Roman"/>
          <w:sz w:val="19"/>
          <w:szCs w:val="19"/>
          <w:color w:val="auto"/>
        </w:rPr>
        <w:t>adverse results from, delays in initiating or completing, or termination of clinical trials;</w:t>
      </w:r>
    </w:p>
    <w:p>
      <w:pPr>
        <w:spacing w:after="0" w:line="124" w:lineRule="exact"/>
        <w:rPr>
          <w:rFonts w:ascii="Arial" w:cs="Arial" w:eastAsia="Arial" w:hAnsi="Arial"/>
          <w:sz w:val="19"/>
          <w:szCs w:val="19"/>
          <w:color w:val="auto"/>
        </w:rPr>
      </w:pPr>
    </w:p>
    <w:p>
      <w:pPr>
        <w:ind w:left="920" w:hanging="457"/>
        <w:spacing w:after="0"/>
        <w:tabs>
          <w:tab w:leader="none" w:pos="920" w:val="left"/>
        </w:tabs>
        <w:numPr>
          <w:ilvl w:val="0"/>
          <w:numId w:val="53"/>
        </w:numPr>
        <w:rPr>
          <w:rFonts w:ascii="Arial" w:cs="Arial" w:eastAsia="Arial" w:hAnsi="Arial"/>
          <w:sz w:val="19"/>
          <w:szCs w:val="19"/>
          <w:color w:val="auto"/>
        </w:rPr>
      </w:pPr>
      <w:r>
        <w:rPr>
          <w:rFonts w:ascii="Times New Roman" w:cs="Times New Roman" w:eastAsia="Times New Roman" w:hAnsi="Times New Roman"/>
          <w:sz w:val="19"/>
          <w:szCs w:val="19"/>
          <w:color w:val="auto"/>
        </w:rPr>
        <w:t>unanticipated serious safety concerns related to the use of our product candidates;</w:t>
      </w:r>
    </w:p>
    <w:p>
      <w:pPr>
        <w:sectPr>
          <w:pgSz w:w="12240" w:h="15840" w:orient="portrait"/>
          <w:cols w:equalWidth="0" w:num="1">
            <w:col w:w="10200"/>
          </w:cols>
          <w:pgMar w:left="1020" w:top="1330" w:right="1020" w:bottom="574" w:gutter="0" w:footer="0" w:header="0"/>
        </w:sect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89</w:t>
      </w:r>
    </w:p>
    <w:p>
      <w:pPr>
        <w:sectPr>
          <w:pgSz w:w="12240" w:h="15840" w:orient="portrait"/>
          <w:cols w:equalWidth="0" w:num="1">
            <w:col w:w="10200"/>
          </w:cols>
          <w:pgMar w:left="1020" w:top="1330" w:right="1020" w:bottom="574" w:gutter="0" w:footer="0" w:header="0"/>
          <w:type w:val="continuous"/>
        </w:sectPr>
      </w:pPr>
    </w:p>
    <w:bookmarkStart w:id="92" w:name="page93"/>
    <w:bookmarkEnd w:id="92"/>
    <w:p>
      <w:pPr>
        <w:ind w:left="500" w:hanging="458"/>
        <w:spacing w:after="0"/>
        <w:tabs>
          <w:tab w:leader="none" w:pos="500" w:val="left"/>
        </w:tabs>
        <w:numPr>
          <w:ilvl w:val="0"/>
          <w:numId w:val="54"/>
        </w:numPr>
        <w:rPr>
          <w:rFonts w:ascii="Arial" w:cs="Arial" w:eastAsia="Arial" w:hAnsi="Arial"/>
          <w:sz w:val="19"/>
          <w:szCs w:val="19"/>
          <w:color w:val="auto"/>
        </w:rPr>
      </w:pPr>
      <w:r>
        <w:rPr>
          <w:rFonts w:ascii="Times New Roman" w:cs="Times New Roman" w:eastAsia="Times New Roman" w:hAnsi="Times New Roman"/>
          <w:sz w:val="19"/>
          <w:szCs w:val="19"/>
          <w:color w:val="auto"/>
        </w:rPr>
        <w:t>clinical trial results from, or regulatory developments regarding, a competitor’s product candidate;</w:t>
      </w:r>
    </w:p>
    <w:p>
      <w:pPr>
        <w:spacing w:after="0" w:line="124" w:lineRule="exact"/>
        <w:rPr>
          <w:rFonts w:ascii="Arial" w:cs="Arial" w:eastAsia="Arial" w:hAnsi="Arial"/>
          <w:sz w:val="19"/>
          <w:szCs w:val="19"/>
          <w:color w:val="auto"/>
        </w:rPr>
      </w:pPr>
    </w:p>
    <w:p>
      <w:pPr>
        <w:ind w:left="500" w:hanging="458"/>
        <w:spacing w:after="0"/>
        <w:tabs>
          <w:tab w:leader="none" w:pos="500" w:val="left"/>
        </w:tabs>
        <w:numPr>
          <w:ilvl w:val="0"/>
          <w:numId w:val="54"/>
        </w:numPr>
        <w:rPr>
          <w:rFonts w:ascii="Arial" w:cs="Arial" w:eastAsia="Arial" w:hAnsi="Arial"/>
          <w:sz w:val="19"/>
          <w:szCs w:val="19"/>
          <w:color w:val="auto"/>
        </w:rPr>
      </w:pPr>
      <w:r>
        <w:rPr>
          <w:rFonts w:ascii="Times New Roman" w:cs="Times New Roman" w:eastAsia="Times New Roman" w:hAnsi="Times New Roman"/>
          <w:sz w:val="19"/>
          <w:szCs w:val="19"/>
          <w:color w:val="auto"/>
        </w:rPr>
        <w:t>adverse regulatory decisions, including failure to receive regulatory approval of our product candidates;</w:t>
      </w:r>
    </w:p>
    <w:p>
      <w:pPr>
        <w:spacing w:after="0" w:line="124" w:lineRule="exact"/>
        <w:rPr>
          <w:rFonts w:ascii="Arial" w:cs="Arial" w:eastAsia="Arial" w:hAnsi="Arial"/>
          <w:sz w:val="19"/>
          <w:szCs w:val="19"/>
          <w:color w:val="auto"/>
        </w:rPr>
      </w:pPr>
    </w:p>
    <w:p>
      <w:pPr>
        <w:ind w:left="500" w:hanging="458"/>
        <w:spacing w:after="0"/>
        <w:tabs>
          <w:tab w:leader="none" w:pos="500" w:val="left"/>
        </w:tabs>
        <w:numPr>
          <w:ilvl w:val="0"/>
          <w:numId w:val="54"/>
        </w:numPr>
        <w:rPr>
          <w:rFonts w:ascii="Arial" w:cs="Arial" w:eastAsia="Arial" w:hAnsi="Arial"/>
          <w:sz w:val="19"/>
          <w:szCs w:val="19"/>
          <w:color w:val="auto"/>
        </w:rPr>
      </w:pPr>
      <w:r>
        <w:rPr>
          <w:rFonts w:ascii="Times New Roman" w:cs="Times New Roman" w:eastAsia="Times New Roman" w:hAnsi="Times New Roman"/>
          <w:sz w:val="19"/>
          <w:szCs w:val="19"/>
          <w:color w:val="auto"/>
        </w:rPr>
        <w:t>regulatory or legal developments in the U.S. and foreign countries;</w:t>
      </w:r>
    </w:p>
    <w:p>
      <w:pPr>
        <w:spacing w:after="0" w:line="124" w:lineRule="exact"/>
        <w:rPr>
          <w:rFonts w:ascii="Arial" w:cs="Arial" w:eastAsia="Arial" w:hAnsi="Arial"/>
          <w:sz w:val="19"/>
          <w:szCs w:val="19"/>
          <w:color w:val="auto"/>
        </w:rPr>
      </w:pPr>
    </w:p>
    <w:p>
      <w:pPr>
        <w:jc w:val="both"/>
        <w:ind w:left="500" w:hanging="458"/>
        <w:spacing w:after="0" w:line="256" w:lineRule="auto"/>
        <w:tabs>
          <w:tab w:leader="none" w:pos="500" w:val="left"/>
        </w:tabs>
        <w:numPr>
          <w:ilvl w:val="0"/>
          <w:numId w:val="54"/>
        </w:numPr>
        <w:rPr>
          <w:rFonts w:ascii="Arial" w:cs="Arial" w:eastAsia="Arial" w:hAnsi="Arial"/>
          <w:sz w:val="19"/>
          <w:szCs w:val="19"/>
          <w:color w:val="auto"/>
        </w:rPr>
      </w:pPr>
      <w:r>
        <w:rPr>
          <w:rFonts w:ascii="Times New Roman" w:cs="Times New Roman" w:eastAsia="Times New Roman" w:hAnsi="Times New Roman"/>
          <w:sz w:val="19"/>
          <w:szCs w:val="19"/>
          <w:color w:val="auto"/>
        </w:rPr>
        <w:t>any delay in our regulatory filings for our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spacing w:after="0" w:line="78" w:lineRule="exact"/>
        <w:rPr>
          <w:rFonts w:ascii="Arial" w:cs="Arial" w:eastAsia="Arial" w:hAnsi="Arial"/>
          <w:sz w:val="19"/>
          <w:szCs w:val="19"/>
          <w:color w:val="auto"/>
        </w:rPr>
      </w:pPr>
    </w:p>
    <w:p>
      <w:pPr>
        <w:jc w:val="both"/>
        <w:ind w:left="500" w:hanging="458"/>
        <w:spacing w:after="0" w:line="256" w:lineRule="auto"/>
        <w:tabs>
          <w:tab w:leader="none" w:pos="500" w:val="left"/>
        </w:tabs>
        <w:numPr>
          <w:ilvl w:val="0"/>
          <w:numId w:val="54"/>
        </w:numPr>
        <w:rPr>
          <w:rFonts w:ascii="Arial" w:cs="Arial" w:eastAsia="Arial" w:hAnsi="Arial"/>
          <w:sz w:val="19"/>
          <w:szCs w:val="19"/>
          <w:color w:val="auto"/>
        </w:rPr>
      </w:pPr>
      <w:r>
        <w:rPr>
          <w:rFonts w:ascii="Times New Roman" w:cs="Times New Roman" w:eastAsia="Times New Roman" w:hAnsi="Times New Roman"/>
          <w:sz w:val="19"/>
          <w:szCs w:val="19"/>
          <w:color w:val="auto"/>
        </w:rPr>
        <w:t>the public’s response to press releases or other public announcements by us or third parties, including our filings with the SEC, and announcements relating to acquisitions, strategic transactions, licenses, joint ventures, collaborations, capital commitments, intellectual property, litigation or other disputes impacting us or our business;</w:t>
      </w:r>
    </w:p>
    <w:p>
      <w:pPr>
        <w:spacing w:after="0" w:line="78" w:lineRule="exact"/>
        <w:rPr>
          <w:rFonts w:ascii="Arial" w:cs="Arial" w:eastAsia="Arial" w:hAnsi="Arial"/>
          <w:sz w:val="19"/>
          <w:szCs w:val="19"/>
          <w:color w:val="auto"/>
        </w:rPr>
      </w:pPr>
    </w:p>
    <w:p>
      <w:pPr>
        <w:ind w:left="500" w:hanging="458"/>
        <w:spacing w:after="0"/>
        <w:tabs>
          <w:tab w:leader="none" w:pos="500" w:val="left"/>
        </w:tabs>
        <w:numPr>
          <w:ilvl w:val="0"/>
          <w:numId w:val="54"/>
        </w:numPr>
        <w:rPr>
          <w:rFonts w:ascii="Arial" w:cs="Arial" w:eastAsia="Arial" w:hAnsi="Arial"/>
          <w:sz w:val="19"/>
          <w:szCs w:val="19"/>
          <w:color w:val="auto"/>
        </w:rPr>
      </w:pPr>
      <w:r>
        <w:rPr>
          <w:rFonts w:ascii="Times New Roman" w:cs="Times New Roman" w:eastAsia="Times New Roman" w:hAnsi="Times New Roman"/>
          <w:sz w:val="19"/>
          <w:szCs w:val="19"/>
          <w:color w:val="auto"/>
        </w:rPr>
        <w:t>lower than expected market acceptance of our product candidates, if approved;</w:t>
      </w:r>
    </w:p>
    <w:p>
      <w:pPr>
        <w:spacing w:after="0" w:line="124" w:lineRule="exact"/>
        <w:rPr>
          <w:rFonts w:ascii="Arial" w:cs="Arial" w:eastAsia="Arial" w:hAnsi="Arial"/>
          <w:sz w:val="19"/>
          <w:szCs w:val="19"/>
          <w:color w:val="auto"/>
        </w:rPr>
      </w:pPr>
    </w:p>
    <w:p>
      <w:pPr>
        <w:ind w:left="500" w:hanging="458"/>
        <w:spacing w:after="0"/>
        <w:tabs>
          <w:tab w:leader="none" w:pos="500" w:val="left"/>
        </w:tabs>
        <w:numPr>
          <w:ilvl w:val="0"/>
          <w:numId w:val="54"/>
        </w:numPr>
        <w:rPr>
          <w:rFonts w:ascii="Arial" w:cs="Arial" w:eastAsia="Arial" w:hAnsi="Arial"/>
          <w:sz w:val="19"/>
          <w:szCs w:val="19"/>
          <w:color w:val="auto"/>
        </w:rPr>
      </w:pPr>
      <w:r>
        <w:rPr>
          <w:rFonts w:ascii="Times New Roman" w:cs="Times New Roman" w:eastAsia="Times New Roman" w:hAnsi="Times New Roman"/>
          <w:sz w:val="19"/>
          <w:szCs w:val="19"/>
          <w:color w:val="auto"/>
        </w:rPr>
        <w:t>adverse developments concerning our manufacturers;</w:t>
      </w:r>
    </w:p>
    <w:p>
      <w:pPr>
        <w:spacing w:after="0" w:line="124" w:lineRule="exact"/>
        <w:rPr>
          <w:rFonts w:ascii="Arial" w:cs="Arial" w:eastAsia="Arial" w:hAnsi="Arial"/>
          <w:sz w:val="19"/>
          <w:szCs w:val="19"/>
          <w:color w:val="auto"/>
        </w:rPr>
      </w:pPr>
    </w:p>
    <w:p>
      <w:pPr>
        <w:ind w:left="500" w:hanging="458"/>
        <w:spacing w:after="0" w:line="274" w:lineRule="auto"/>
        <w:tabs>
          <w:tab w:leader="none" w:pos="500" w:val="left"/>
        </w:tabs>
        <w:numPr>
          <w:ilvl w:val="0"/>
          <w:numId w:val="54"/>
        </w:numPr>
        <w:rPr>
          <w:rFonts w:ascii="Arial" w:cs="Arial" w:eastAsia="Arial" w:hAnsi="Arial"/>
          <w:sz w:val="19"/>
          <w:szCs w:val="19"/>
          <w:color w:val="auto"/>
        </w:rPr>
      </w:pPr>
      <w:r>
        <w:rPr>
          <w:rFonts w:ascii="Times New Roman" w:cs="Times New Roman" w:eastAsia="Times New Roman" w:hAnsi="Times New Roman"/>
          <w:sz w:val="19"/>
          <w:szCs w:val="19"/>
          <w:color w:val="auto"/>
        </w:rPr>
        <w:t>our inability to obtain adequate product supply for any product candidate, or approved product or inability to do so at acceptable prices;</w:t>
      </w:r>
    </w:p>
    <w:p>
      <w:pPr>
        <w:spacing w:after="0" w:line="61" w:lineRule="exact"/>
        <w:rPr>
          <w:rFonts w:ascii="Arial" w:cs="Arial" w:eastAsia="Arial" w:hAnsi="Arial"/>
          <w:sz w:val="19"/>
          <w:szCs w:val="19"/>
          <w:color w:val="auto"/>
        </w:rPr>
      </w:pPr>
    </w:p>
    <w:p>
      <w:pPr>
        <w:ind w:left="500" w:hanging="458"/>
        <w:spacing w:after="0" w:line="274" w:lineRule="auto"/>
        <w:tabs>
          <w:tab w:leader="none" w:pos="500" w:val="left"/>
        </w:tabs>
        <w:numPr>
          <w:ilvl w:val="0"/>
          <w:numId w:val="54"/>
        </w:numPr>
        <w:rPr>
          <w:rFonts w:ascii="Arial" w:cs="Arial" w:eastAsia="Arial" w:hAnsi="Arial"/>
          <w:sz w:val="19"/>
          <w:szCs w:val="19"/>
          <w:color w:val="auto"/>
        </w:rPr>
      </w:pPr>
      <w:r>
        <w:rPr>
          <w:rFonts w:ascii="Times New Roman" w:cs="Times New Roman" w:eastAsia="Times New Roman" w:hAnsi="Times New Roman"/>
          <w:sz w:val="19"/>
          <w:szCs w:val="19"/>
          <w:color w:val="auto"/>
        </w:rPr>
        <w:t>variations in the level of expenses related to our preclinical and clinical development programs, including relating to the timing of invoices from, and other billing practices of, our CROs and clinical trial sites;</w:t>
      </w:r>
    </w:p>
    <w:p>
      <w:pPr>
        <w:spacing w:after="0" w:line="61" w:lineRule="exact"/>
        <w:rPr>
          <w:rFonts w:ascii="Arial" w:cs="Arial" w:eastAsia="Arial" w:hAnsi="Arial"/>
          <w:sz w:val="19"/>
          <w:szCs w:val="19"/>
          <w:color w:val="auto"/>
        </w:rPr>
      </w:pPr>
    </w:p>
    <w:p>
      <w:pPr>
        <w:ind w:left="500" w:hanging="458"/>
        <w:spacing w:after="0"/>
        <w:tabs>
          <w:tab w:leader="none" w:pos="500" w:val="left"/>
        </w:tabs>
        <w:numPr>
          <w:ilvl w:val="0"/>
          <w:numId w:val="54"/>
        </w:numPr>
        <w:rPr>
          <w:rFonts w:ascii="Arial" w:cs="Arial" w:eastAsia="Arial" w:hAnsi="Arial"/>
          <w:sz w:val="19"/>
          <w:szCs w:val="19"/>
          <w:color w:val="auto"/>
        </w:rPr>
      </w:pPr>
      <w:r>
        <w:rPr>
          <w:rFonts w:ascii="Times New Roman" w:cs="Times New Roman" w:eastAsia="Times New Roman" w:hAnsi="Times New Roman"/>
          <w:sz w:val="19"/>
          <w:szCs w:val="19"/>
          <w:color w:val="auto"/>
        </w:rPr>
        <w:t>variations in the level of expenses related to our commercialization activities, if any product candidates are approved;</w:t>
      </w:r>
    </w:p>
    <w:p>
      <w:pPr>
        <w:spacing w:after="0" w:line="124" w:lineRule="exact"/>
        <w:rPr>
          <w:rFonts w:ascii="Arial" w:cs="Arial" w:eastAsia="Arial" w:hAnsi="Arial"/>
          <w:sz w:val="19"/>
          <w:szCs w:val="19"/>
          <w:color w:val="auto"/>
        </w:rPr>
      </w:pPr>
    </w:p>
    <w:p>
      <w:pPr>
        <w:ind w:left="500" w:hanging="458"/>
        <w:spacing w:after="0"/>
        <w:tabs>
          <w:tab w:leader="none" w:pos="500" w:val="left"/>
        </w:tabs>
        <w:numPr>
          <w:ilvl w:val="0"/>
          <w:numId w:val="54"/>
        </w:numPr>
        <w:rPr>
          <w:rFonts w:ascii="Arial" w:cs="Arial" w:eastAsia="Arial" w:hAnsi="Arial"/>
          <w:sz w:val="19"/>
          <w:szCs w:val="19"/>
          <w:color w:val="auto"/>
        </w:rPr>
      </w:pPr>
      <w:r>
        <w:rPr>
          <w:rFonts w:ascii="Times New Roman" w:cs="Times New Roman" w:eastAsia="Times New Roman" w:hAnsi="Times New Roman"/>
          <w:sz w:val="19"/>
          <w:szCs w:val="19"/>
          <w:color w:val="auto"/>
        </w:rPr>
        <w:t>the clinical results of our competitors or potential competitors;</w:t>
      </w:r>
    </w:p>
    <w:p>
      <w:pPr>
        <w:spacing w:after="0" w:line="124" w:lineRule="exact"/>
        <w:rPr>
          <w:rFonts w:ascii="Arial" w:cs="Arial" w:eastAsia="Arial" w:hAnsi="Arial"/>
          <w:sz w:val="19"/>
          <w:szCs w:val="19"/>
          <w:color w:val="auto"/>
        </w:rPr>
      </w:pPr>
    </w:p>
    <w:p>
      <w:pPr>
        <w:ind w:left="500" w:hanging="458"/>
        <w:spacing w:after="0"/>
        <w:tabs>
          <w:tab w:leader="none" w:pos="500" w:val="left"/>
        </w:tabs>
        <w:numPr>
          <w:ilvl w:val="0"/>
          <w:numId w:val="54"/>
        </w:numPr>
        <w:rPr>
          <w:rFonts w:ascii="Arial" w:cs="Arial" w:eastAsia="Arial" w:hAnsi="Arial"/>
          <w:sz w:val="19"/>
          <w:szCs w:val="19"/>
          <w:color w:val="auto"/>
        </w:rPr>
      </w:pPr>
      <w:r>
        <w:rPr>
          <w:rFonts w:ascii="Times New Roman" w:cs="Times New Roman" w:eastAsia="Times New Roman" w:hAnsi="Times New Roman"/>
          <w:sz w:val="19"/>
          <w:szCs w:val="19"/>
          <w:color w:val="auto"/>
        </w:rPr>
        <w:t>introduction of new products or services by our competitors;</w:t>
      </w:r>
    </w:p>
    <w:p>
      <w:pPr>
        <w:spacing w:after="0" w:line="124" w:lineRule="exact"/>
        <w:rPr>
          <w:rFonts w:ascii="Arial" w:cs="Arial" w:eastAsia="Arial" w:hAnsi="Arial"/>
          <w:sz w:val="19"/>
          <w:szCs w:val="19"/>
          <w:color w:val="auto"/>
        </w:rPr>
      </w:pPr>
    </w:p>
    <w:p>
      <w:pPr>
        <w:ind w:left="500" w:hanging="458"/>
        <w:spacing w:after="0"/>
        <w:tabs>
          <w:tab w:leader="none" w:pos="500" w:val="left"/>
        </w:tabs>
        <w:numPr>
          <w:ilvl w:val="0"/>
          <w:numId w:val="54"/>
        </w:numPr>
        <w:rPr>
          <w:rFonts w:ascii="Arial" w:cs="Arial" w:eastAsia="Arial" w:hAnsi="Arial"/>
          <w:sz w:val="19"/>
          <w:szCs w:val="19"/>
          <w:color w:val="auto"/>
        </w:rPr>
      </w:pPr>
      <w:r>
        <w:rPr>
          <w:rFonts w:ascii="Times New Roman" w:cs="Times New Roman" w:eastAsia="Times New Roman" w:hAnsi="Times New Roman"/>
          <w:sz w:val="19"/>
          <w:szCs w:val="19"/>
          <w:color w:val="auto"/>
        </w:rPr>
        <w:t>changes in financial estimates by us or by any securities analysts who might cover our common stock;</w:t>
      </w:r>
    </w:p>
    <w:p>
      <w:pPr>
        <w:spacing w:after="0" w:line="124" w:lineRule="exact"/>
        <w:rPr>
          <w:rFonts w:ascii="Arial" w:cs="Arial" w:eastAsia="Arial" w:hAnsi="Arial"/>
          <w:sz w:val="19"/>
          <w:szCs w:val="19"/>
          <w:color w:val="auto"/>
        </w:rPr>
      </w:pPr>
    </w:p>
    <w:p>
      <w:pPr>
        <w:ind w:left="500" w:hanging="458"/>
        <w:spacing w:after="0"/>
        <w:tabs>
          <w:tab w:leader="none" w:pos="500" w:val="left"/>
        </w:tabs>
        <w:numPr>
          <w:ilvl w:val="0"/>
          <w:numId w:val="54"/>
        </w:numPr>
        <w:rPr>
          <w:rFonts w:ascii="Arial" w:cs="Arial" w:eastAsia="Arial" w:hAnsi="Arial"/>
          <w:sz w:val="19"/>
          <w:szCs w:val="19"/>
          <w:color w:val="auto"/>
        </w:rPr>
      </w:pPr>
      <w:r>
        <w:rPr>
          <w:rFonts w:ascii="Times New Roman" w:cs="Times New Roman" w:eastAsia="Times New Roman" w:hAnsi="Times New Roman"/>
          <w:sz w:val="19"/>
          <w:szCs w:val="19"/>
          <w:color w:val="auto"/>
        </w:rPr>
        <w:t>conditions or trends in our industry;</w:t>
      </w:r>
    </w:p>
    <w:p>
      <w:pPr>
        <w:spacing w:after="0" w:line="124" w:lineRule="exact"/>
        <w:rPr>
          <w:rFonts w:ascii="Arial" w:cs="Arial" w:eastAsia="Arial" w:hAnsi="Arial"/>
          <w:sz w:val="19"/>
          <w:szCs w:val="19"/>
          <w:color w:val="auto"/>
        </w:rPr>
      </w:pPr>
    </w:p>
    <w:p>
      <w:pPr>
        <w:ind w:left="500" w:hanging="458"/>
        <w:spacing w:after="0"/>
        <w:tabs>
          <w:tab w:leader="none" w:pos="500" w:val="left"/>
        </w:tabs>
        <w:numPr>
          <w:ilvl w:val="0"/>
          <w:numId w:val="54"/>
        </w:numPr>
        <w:rPr>
          <w:rFonts w:ascii="Arial" w:cs="Arial" w:eastAsia="Arial" w:hAnsi="Arial"/>
          <w:sz w:val="19"/>
          <w:szCs w:val="19"/>
          <w:color w:val="auto"/>
        </w:rPr>
      </w:pPr>
      <w:r>
        <w:rPr>
          <w:rFonts w:ascii="Times New Roman" w:cs="Times New Roman" w:eastAsia="Times New Roman" w:hAnsi="Times New Roman"/>
          <w:sz w:val="19"/>
          <w:szCs w:val="19"/>
          <w:color w:val="auto"/>
        </w:rPr>
        <w:t>our cash position;</w:t>
      </w:r>
    </w:p>
    <w:p>
      <w:pPr>
        <w:spacing w:after="0" w:line="124" w:lineRule="exact"/>
        <w:rPr>
          <w:rFonts w:ascii="Arial" w:cs="Arial" w:eastAsia="Arial" w:hAnsi="Arial"/>
          <w:sz w:val="19"/>
          <w:szCs w:val="19"/>
          <w:color w:val="auto"/>
        </w:rPr>
      </w:pPr>
    </w:p>
    <w:p>
      <w:pPr>
        <w:jc w:val="both"/>
        <w:ind w:left="500" w:hanging="458"/>
        <w:spacing w:after="0" w:line="274" w:lineRule="auto"/>
        <w:tabs>
          <w:tab w:leader="none" w:pos="500" w:val="left"/>
        </w:tabs>
        <w:numPr>
          <w:ilvl w:val="0"/>
          <w:numId w:val="54"/>
        </w:numPr>
        <w:rPr>
          <w:rFonts w:ascii="Arial" w:cs="Arial" w:eastAsia="Arial" w:hAnsi="Arial"/>
          <w:sz w:val="19"/>
          <w:szCs w:val="19"/>
          <w:color w:val="auto"/>
        </w:rPr>
      </w:pPr>
      <w:r>
        <w:rPr>
          <w:rFonts w:ascii="Times New Roman" w:cs="Times New Roman" w:eastAsia="Times New Roman" w:hAnsi="Times New Roman"/>
          <w:sz w:val="19"/>
          <w:szCs w:val="19"/>
          <w:color w:val="auto"/>
        </w:rPr>
        <w:t>sales of our common stock by us or our stockholders in the future, including the common stock that may be issuable upon the exercise of outstanding prefunded warrants and common stock warrants, or the perception that such sales could occur;</w:t>
      </w:r>
    </w:p>
    <w:p>
      <w:pPr>
        <w:spacing w:after="0" w:line="61" w:lineRule="exact"/>
        <w:rPr>
          <w:rFonts w:ascii="Arial" w:cs="Arial" w:eastAsia="Arial" w:hAnsi="Arial"/>
          <w:sz w:val="19"/>
          <w:szCs w:val="19"/>
          <w:color w:val="auto"/>
        </w:rPr>
      </w:pPr>
    </w:p>
    <w:p>
      <w:pPr>
        <w:ind w:left="500" w:hanging="458"/>
        <w:spacing w:after="0"/>
        <w:tabs>
          <w:tab w:leader="none" w:pos="500" w:val="left"/>
        </w:tabs>
        <w:numPr>
          <w:ilvl w:val="0"/>
          <w:numId w:val="54"/>
        </w:numPr>
        <w:rPr>
          <w:rFonts w:ascii="Arial" w:cs="Arial" w:eastAsia="Arial" w:hAnsi="Arial"/>
          <w:sz w:val="19"/>
          <w:szCs w:val="19"/>
          <w:color w:val="auto"/>
        </w:rPr>
      </w:pPr>
      <w:r>
        <w:rPr>
          <w:rFonts w:ascii="Times New Roman" w:cs="Times New Roman" w:eastAsia="Times New Roman" w:hAnsi="Times New Roman"/>
          <w:sz w:val="19"/>
          <w:szCs w:val="19"/>
          <w:color w:val="auto"/>
        </w:rPr>
        <w:t>adoption of new, or changes to current accounting standards;</w:t>
      </w:r>
    </w:p>
    <w:p>
      <w:pPr>
        <w:spacing w:after="0" w:line="124" w:lineRule="exact"/>
        <w:rPr>
          <w:rFonts w:ascii="Arial" w:cs="Arial" w:eastAsia="Arial" w:hAnsi="Arial"/>
          <w:sz w:val="19"/>
          <w:szCs w:val="19"/>
          <w:color w:val="auto"/>
        </w:rPr>
      </w:pPr>
    </w:p>
    <w:p>
      <w:pPr>
        <w:ind w:left="500" w:hanging="458"/>
        <w:spacing w:after="0"/>
        <w:tabs>
          <w:tab w:leader="none" w:pos="500" w:val="left"/>
        </w:tabs>
        <w:numPr>
          <w:ilvl w:val="0"/>
          <w:numId w:val="54"/>
        </w:numPr>
        <w:rPr>
          <w:rFonts w:ascii="Arial" w:cs="Arial" w:eastAsia="Arial" w:hAnsi="Arial"/>
          <w:sz w:val="19"/>
          <w:szCs w:val="19"/>
          <w:color w:val="auto"/>
        </w:rPr>
      </w:pPr>
      <w:r>
        <w:rPr>
          <w:rFonts w:ascii="Times New Roman" w:cs="Times New Roman" w:eastAsia="Times New Roman" w:hAnsi="Times New Roman"/>
          <w:sz w:val="19"/>
          <w:szCs w:val="19"/>
          <w:color w:val="auto"/>
        </w:rPr>
        <w:t>ineffectiveness of our internal controls;</w:t>
      </w:r>
    </w:p>
    <w:p>
      <w:pPr>
        <w:spacing w:after="0" w:line="124" w:lineRule="exact"/>
        <w:rPr>
          <w:rFonts w:ascii="Arial" w:cs="Arial" w:eastAsia="Arial" w:hAnsi="Arial"/>
          <w:sz w:val="19"/>
          <w:szCs w:val="19"/>
          <w:color w:val="auto"/>
        </w:rPr>
      </w:pPr>
    </w:p>
    <w:p>
      <w:pPr>
        <w:ind w:left="500" w:hanging="458"/>
        <w:spacing w:after="0"/>
        <w:tabs>
          <w:tab w:leader="none" w:pos="500" w:val="left"/>
        </w:tabs>
        <w:numPr>
          <w:ilvl w:val="0"/>
          <w:numId w:val="54"/>
        </w:numPr>
        <w:rPr>
          <w:rFonts w:ascii="Arial" w:cs="Arial" w:eastAsia="Arial" w:hAnsi="Arial"/>
          <w:sz w:val="19"/>
          <w:szCs w:val="19"/>
          <w:color w:val="auto"/>
        </w:rPr>
      </w:pPr>
      <w:r>
        <w:rPr>
          <w:rFonts w:ascii="Times New Roman" w:cs="Times New Roman" w:eastAsia="Times New Roman" w:hAnsi="Times New Roman"/>
          <w:sz w:val="19"/>
          <w:szCs w:val="19"/>
          <w:color w:val="auto"/>
        </w:rPr>
        <w:t>changes in the market valuations of similar companies;</w:t>
      </w:r>
    </w:p>
    <w:p>
      <w:pPr>
        <w:spacing w:after="0" w:line="124" w:lineRule="exact"/>
        <w:rPr>
          <w:rFonts w:ascii="Arial" w:cs="Arial" w:eastAsia="Arial" w:hAnsi="Arial"/>
          <w:sz w:val="19"/>
          <w:szCs w:val="19"/>
          <w:color w:val="auto"/>
        </w:rPr>
      </w:pPr>
    </w:p>
    <w:p>
      <w:pPr>
        <w:ind w:left="500" w:hanging="458"/>
        <w:spacing w:after="0" w:line="274" w:lineRule="auto"/>
        <w:tabs>
          <w:tab w:leader="none" w:pos="500" w:val="left"/>
        </w:tabs>
        <w:numPr>
          <w:ilvl w:val="0"/>
          <w:numId w:val="54"/>
        </w:numPr>
        <w:rPr>
          <w:rFonts w:ascii="Arial" w:cs="Arial" w:eastAsia="Arial" w:hAnsi="Arial"/>
          <w:sz w:val="19"/>
          <w:szCs w:val="19"/>
          <w:color w:val="auto"/>
        </w:rPr>
      </w:pPr>
      <w:r>
        <w:rPr>
          <w:rFonts w:ascii="Times New Roman" w:cs="Times New Roman" w:eastAsia="Times New Roman" w:hAnsi="Times New Roman"/>
          <w:sz w:val="19"/>
          <w:szCs w:val="19"/>
          <w:color w:val="auto"/>
        </w:rPr>
        <w:t>stock market price and volume fluctuations of comparable companies and, in particular, those that operate in the biotechnology and pharmaceutical industry;</w:t>
      </w:r>
    </w:p>
    <w:p>
      <w:pPr>
        <w:spacing w:after="0" w:line="61" w:lineRule="exact"/>
        <w:rPr>
          <w:rFonts w:ascii="Arial" w:cs="Arial" w:eastAsia="Arial" w:hAnsi="Arial"/>
          <w:sz w:val="19"/>
          <w:szCs w:val="19"/>
          <w:color w:val="auto"/>
        </w:rPr>
      </w:pPr>
    </w:p>
    <w:p>
      <w:pPr>
        <w:ind w:left="500" w:hanging="458"/>
        <w:spacing w:after="0" w:line="274" w:lineRule="auto"/>
        <w:tabs>
          <w:tab w:leader="none" w:pos="500" w:val="left"/>
        </w:tabs>
        <w:numPr>
          <w:ilvl w:val="0"/>
          <w:numId w:val="54"/>
        </w:numPr>
        <w:rPr>
          <w:rFonts w:ascii="Arial" w:cs="Arial" w:eastAsia="Arial" w:hAnsi="Arial"/>
          <w:sz w:val="19"/>
          <w:szCs w:val="19"/>
          <w:color w:val="auto"/>
        </w:rPr>
      </w:pPr>
      <w:r>
        <w:rPr>
          <w:rFonts w:ascii="Times New Roman" w:cs="Times New Roman" w:eastAsia="Times New Roman" w:hAnsi="Times New Roman"/>
          <w:sz w:val="19"/>
          <w:szCs w:val="19"/>
          <w:color w:val="auto"/>
        </w:rPr>
        <w:t>publication of research reports about us or our industry or positive or negative recommendations or withdrawal of research coverage by securities analysts;</w:t>
      </w:r>
    </w:p>
    <w:p>
      <w:pPr>
        <w:spacing w:after="0" w:line="61" w:lineRule="exact"/>
        <w:rPr>
          <w:rFonts w:ascii="Arial" w:cs="Arial" w:eastAsia="Arial" w:hAnsi="Arial"/>
          <w:sz w:val="19"/>
          <w:szCs w:val="19"/>
          <w:color w:val="auto"/>
        </w:rPr>
      </w:pPr>
    </w:p>
    <w:p>
      <w:pPr>
        <w:ind w:left="500" w:hanging="458"/>
        <w:spacing w:after="0"/>
        <w:tabs>
          <w:tab w:leader="none" w:pos="500" w:val="left"/>
        </w:tabs>
        <w:numPr>
          <w:ilvl w:val="0"/>
          <w:numId w:val="54"/>
        </w:numPr>
        <w:rPr>
          <w:rFonts w:ascii="Arial" w:cs="Arial" w:eastAsia="Arial" w:hAnsi="Arial"/>
          <w:sz w:val="19"/>
          <w:szCs w:val="19"/>
          <w:color w:val="auto"/>
        </w:rPr>
      </w:pPr>
      <w:r>
        <w:rPr>
          <w:rFonts w:ascii="Times New Roman" w:cs="Times New Roman" w:eastAsia="Times New Roman" w:hAnsi="Times New Roman"/>
          <w:sz w:val="19"/>
          <w:szCs w:val="19"/>
          <w:color w:val="auto"/>
        </w:rPr>
        <w:t>announcements by us or our competitors of significant acquisitions, strategic partnerships or divestitures;</w:t>
      </w:r>
    </w:p>
    <w:p>
      <w:pPr>
        <w:spacing w:after="0" w:line="124" w:lineRule="exact"/>
        <w:rPr>
          <w:rFonts w:ascii="Arial" w:cs="Arial" w:eastAsia="Arial" w:hAnsi="Arial"/>
          <w:sz w:val="19"/>
          <w:szCs w:val="19"/>
          <w:color w:val="auto"/>
        </w:rPr>
      </w:pPr>
    </w:p>
    <w:p>
      <w:pPr>
        <w:ind w:left="500" w:hanging="458"/>
        <w:spacing w:after="0"/>
        <w:tabs>
          <w:tab w:leader="none" w:pos="500" w:val="left"/>
        </w:tabs>
        <w:numPr>
          <w:ilvl w:val="0"/>
          <w:numId w:val="54"/>
        </w:numPr>
        <w:rPr>
          <w:rFonts w:ascii="Arial" w:cs="Arial" w:eastAsia="Arial" w:hAnsi="Arial"/>
          <w:sz w:val="19"/>
          <w:szCs w:val="19"/>
          <w:color w:val="auto"/>
        </w:rPr>
      </w:pPr>
      <w:r>
        <w:rPr>
          <w:rFonts w:ascii="Times New Roman" w:cs="Times New Roman" w:eastAsia="Times New Roman" w:hAnsi="Times New Roman"/>
          <w:sz w:val="19"/>
          <w:szCs w:val="19"/>
          <w:color w:val="auto"/>
        </w:rPr>
        <w:t>announcements of investigations or regulatory scrutiny of our operations or lawsuits filed against us;</w:t>
      </w:r>
    </w:p>
    <w:p>
      <w:pPr>
        <w:spacing w:after="0" w:line="124" w:lineRule="exact"/>
        <w:rPr>
          <w:rFonts w:ascii="Arial" w:cs="Arial" w:eastAsia="Arial" w:hAnsi="Arial"/>
          <w:sz w:val="19"/>
          <w:szCs w:val="19"/>
          <w:color w:val="auto"/>
        </w:rPr>
      </w:pPr>
    </w:p>
    <w:p>
      <w:pPr>
        <w:ind w:left="500" w:hanging="458"/>
        <w:spacing w:after="0"/>
        <w:tabs>
          <w:tab w:leader="none" w:pos="500" w:val="left"/>
        </w:tabs>
        <w:numPr>
          <w:ilvl w:val="0"/>
          <w:numId w:val="54"/>
        </w:numPr>
        <w:rPr>
          <w:rFonts w:ascii="Arial" w:cs="Arial" w:eastAsia="Arial" w:hAnsi="Arial"/>
          <w:sz w:val="19"/>
          <w:szCs w:val="19"/>
          <w:color w:val="auto"/>
        </w:rPr>
      </w:pPr>
      <w:r>
        <w:rPr>
          <w:rFonts w:ascii="Times New Roman" w:cs="Times New Roman" w:eastAsia="Times New Roman" w:hAnsi="Times New Roman"/>
          <w:sz w:val="19"/>
          <w:szCs w:val="19"/>
          <w:color w:val="auto"/>
        </w:rPr>
        <w:t>changes in the structure of healthcare payment systems;</w:t>
      </w:r>
    </w:p>
    <w:p>
      <w:pPr>
        <w:spacing w:after="0" w:line="124" w:lineRule="exact"/>
        <w:rPr>
          <w:rFonts w:ascii="Arial" w:cs="Arial" w:eastAsia="Arial" w:hAnsi="Arial"/>
          <w:sz w:val="19"/>
          <w:szCs w:val="19"/>
          <w:color w:val="auto"/>
        </w:rPr>
      </w:pPr>
    </w:p>
    <w:p>
      <w:pPr>
        <w:ind w:left="500" w:hanging="458"/>
        <w:spacing w:after="0"/>
        <w:tabs>
          <w:tab w:leader="none" w:pos="500" w:val="left"/>
        </w:tabs>
        <w:numPr>
          <w:ilvl w:val="0"/>
          <w:numId w:val="54"/>
        </w:numPr>
        <w:rPr>
          <w:rFonts w:ascii="Arial" w:cs="Arial" w:eastAsia="Arial" w:hAnsi="Arial"/>
          <w:sz w:val="19"/>
          <w:szCs w:val="19"/>
          <w:color w:val="auto"/>
        </w:rPr>
      </w:pPr>
      <w:r>
        <w:rPr>
          <w:rFonts w:ascii="Times New Roman" w:cs="Times New Roman" w:eastAsia="Times New Roman" w:hAnsi="Times New Roman"/>
          <w:sz w:val="19"/>
          <w:szCs w:val="19"/>
          <w:color w:val="auto"/>
        </w:rPr>
        <w:t>investors’ general perception of our company and our business;</w:t>
      </w:r>
    </w:p>
    <w:p>
      <w:pPr>
        <w:spacing w:after="0" w:line="124" w:lineRule="exact"/>
        <w:rPr>
          <w:rFonts w:ascii="Arial" w:cs="Arial" w:eastAsia="Arial" w:hAnsi="Arial"/>
          <w:sz w:val="19"/>
          <w:szCs w:val="19"/>
          <w:color w:val="auto"/>
        </w:rPr>
      </w:pPr>
    </w:p>
    <w:p>
      <w:pPr>
        <w:ind w:left="500" w:hanging="458"/>
        <w:spacing w:after="0"/>
        <w:tabs>
          <w:tab w:leader="none" w:pos="500" w:val="left"/>
        </w:tabs>
        <w:numPr>
          <w:ilvl w:val="0"/>
          <w:numId w:val="54"/>
        </w:numPr>
        <w:rPr>
          <w:rFonts w:ascii="Arial" w:cs="Arial" w:eastAsia="Arial" w:hAnsi="Arial"/>
          <w:sz w:val="19"/>
          <w:szCs w:val="19"/>
          <w:color w:val="auto"/>
        </w:rPr>
      </w:pPr>
      <w:r>
        <w:rPr>
          <w:rFonts w:ascii="Times New Roman" w:cs="Times New Roman" w:eastAsia="Times New Roman" w:hAnsi="Times New Roman"/>
          <w:sz w:val="19"/>
          <w:szCs w:val="19"/>
          <w:color w:val="auto"/>
        </w:rPr>
        <w:t>overall performance of the equity markets;</w:t>
      </w:r>
    </w:p>
    <w:p>
      <w:pPr>
        <w:spacing w:after="0" w:line="124" w:lineRule="exact"/>
        <w:rPr>
          <w:rFonts w:ascii="Arial" w:cs="Arial" w:eastAsia="Arial" w:hAnsi="Arial"/>
          <w:sz w:val="19"/>
          <w:szCs w:val="19"/>
          <w:color w:val="auto"/>
        </w:rPr>
      </w:pPr>
    </w:p>
    <w:p>
      <w:pPr>
        <w:ind w:left="500" w:hanging="458"/>
        <w:spacing w:after="0"/>
        <w:tabs>
          <w:tab w:leader="none" w:pos="500" w:val="left"/>
        </w:tabs>
        <w:numPr>
          <w:ilvl w:val="0"/>
          <w:numId w:val="54"/>
        </w:numPr>
        <w:rPr>
          <w:rFonts w:ascii="Arial" w:cs="Arial" w:eastAsia="Arial" w:hAnsi="Arial"/>
          <w:sz w:val="19"/>
          <w:szCs w:val="19"/>
          <w:color w:val="auto"/>
        </w:rPr>
      </w:pPr>
      <w:r>
        <w:rPr>
          <w:rFonts w:ascii="Times New Roman" w:cs="Times New Roman" w:eastAsia="Times New Roman" w:hAnsi="Times New Roman"/>
          <w:sz w:val="19"/>
          <w:szCs w:val="19"/>
          <w:color w:val="auto"/>
        </w:rPr>
        <w:t>potential inclusion or exclusion of our common stock in exchange, industry, or other tracking indices;</w:t>
      </w:r>
    </w:p>
    <w:p>
      <w:pPr>
        <w:spacing w:after="0" w:line="124" w:lineRule="exact"/>
        <w:rPr>
          <w:rFonts w:ascii="Arial" w:cs="Arial" w:eastAsia="Arial" w:hAnsi="Arial"/>
          <w:sz w:val="19"/>
          <w:szCs w:val="19"/>
          <w:color w:val="auto"/>
        </w:rPr>
      </w:pPr>
    </w:p>
    <w:p>
      <w:pPr>
        <w:ind w:left="500" w:hanging="458"/>
        <w:spacing w:after="0" w:line="274" w:lineRule="auto"/>
        <w:tabs>
          <w:tab w:leader="none" w:pos="500" w:val="left"/>
        </w:tabs>
        <w:numPr>
          <w:ilvl w:val="0"/>
          <w:numId w:val="54"/>
        </w:numPr>
        <w:rPr>
          <w:rFonts w:ascii="Arial" w:cs="Arial" w:eastAsia="Arial" w:hAnsi="Arial"/>
          <w:sz w:val="19"/>
          <w:szCs w:val="19"/>
          <w:color w:val="auto"/>
        </w:rPr>
      </w:pPr>
      <w:r>
        <w:rPr>
          <w:rFonts w:ascii="Times New Roman" w:cs="Times New Roman" w:eastAsia="Times New Roman" w:hAnsi="Times New Roman"/>
          <w:sz w:val="19"/>
          <w:szCs w:val="19"/>
          <w:color w:val="auto"/>
        </w:rPr>
        <w:t>disputes or other developments relating to proprietary rights, including patents, litigation matters and our ability to obtain patent protection for our technologies and product candidates;</w:t>
      </w:r>
    </w:p>
    <w:p>
      <w:pPr>
        <w:spacing w:after="0" w:line="61" w:lineRule="exact"/>
        <w:rPr>
          <w:rFonts w:ascii="Arial" w:cs="Arial" w:eastAsia="Arial" w:hAnsi="Arial"/>
          <w:sz w:val="19"/>
          <w:szCs w:val="19"/>
          <w:color w:val="auto"/>
        </w:rPr>
      </w:pPr>
    </w:p>
    <w:p>
      <w:pPr>
        <w:ind w:left="500" w:hanging="458"/>
        <w:spacing w:after="0"/>
        <w:tabs>
          <w:tab w:leader="none" w:pos="500" w:val="left"/>
        </w:tabs>
        <w:numPr>
          <w:ilvl w:val="0"/>
          <w:numId w:val="54"/>
        </w:numPr>
        <w:rPr>
          <w:rFonts w:ascii="Arial" w:cs="Arial" w:eastAsia="Arial" w:hAnsi="Arial"/>
          <w:sz w:val="19"/>
          <w:szCs w:val="19"/>
          <w:color w:val="auto"/>
        </w:rPr>
      </w:pPr>
      <w:r>
        <w:rPr>
          <w:rFonts w:ascii="Times New Roman" w:cs="Times New Roman" w:eastAsia="Times New Roman" w:hAnsi="Times New Roman"/>
          <w:sz w:val="19"/>
          <w:szCs w:val="19"/>
          <w:color w:val="auto"/>
        </w:rPr>
        <w:t>significant lawsuits, including patent or stockholder litigation;</w:t>
      </w:r>
    </w:p>
    <w:p>
      <w:pPr>
        <w:spacing w:after="0" w:line="124" w:lineRule="exact"/>
        <w:rPr>
          <w:rFonts w:ascii="Arial" w:cs="Arial" w:eastAsia="Arial" w:hAnsi="Arial"/>
          <w:sz w:val="19"/>
          <w:szCs w:val="19"/>
          <w:color w:val="auto"/>
        </w:rPr>
      </w:pPr>
    </w:p>
    <w:p>
      <w:pPr>
        <w:ind w:left="500" w:hanging="458"/>
        <w:spacing w:after="0" w:line="274" w:lineRule="auto"/>
        <w:tabs>
          <w:tab w:leader="none" w:pos="500" w:val="left"/>
        </w:tabs>
        <w:numPr>
          <w:ilvl w:val="0"/>
          <w:numId w:val="54"/>
        </w:numPr>
        <w:rPr>
          <w:rFonts w:ascii="Arial" w:cs="Arial" w:eastAsia="Arial" w:hAnsi="Arial"/>
          <w:sz w:val="19"/>
          <w:szCs w:val="19"/>
          <w:color w:val="auto"/>
        </w:rPr>
      </w:pPr>
      <w:r>
        <w:rPr>
          <w:rFonts w:ascii="Times New Roman" w:cs="Times New Roman" w:eastAsia="Times New Roman" w:hAnsi="Times New Roman"/>
          <w:sz w:val="19"/>
          <w:szCs w:val="19"/>
          <w:color w:val="auto"/>
        </w:rPr>
        <w:t>proposed changes to healthcare laws, intellectual property laws or pharmaceutical pricing in the U.S. or foreign jurisdictions, or speculation regarding such changes;</w:t>
      </w:r>
    </w:p>
    <w:p>
      <w:pPr>
        <w:sectPr>
          <w:pgSz w:w="12240" w:h="15840" w:orient="portrait"/>
          <w:cols w:equalWidth="0" w:num="1">
            <w:col w:w="9780"/>
          </w:cols>
          <w:pgMar w:left="1440" w:top="1330" w:right="1020" w:bottom="574"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9"/>
          <w:szCs w:val="19"/>
          <w:color w:val="auto"/>
        </w:rPr>
        <w:t>90</w:t>
      </w:r>
    </w:p>
    <w:p>
      <w:pPr>
        <w:sectPr>
          <w:pgSz w:w="12240" w:h="15840" w:orient="portrait"/>
          <w:cols w:equalWidth="0" w:num="1">
            <w:col w:w="9780"/>
          </w:cols>
          <w:pgMar w:left="1440" w:top="1330" w:right="1020" w:bottom="574" w:gutter="0" w:footer="0" w:header="0"/>
          <w:type w:val="continuous"/>
        </w:sectPr>
      </w:pPr>
    </w:p>
    <w:bookmarkStart w:id="93" w:name="page94"/>
    <w:bookmarkEnd w:id="93"/>
    <w:p>
      <w:pPr>
        <w:ind w:left="920" w:hanging="458"/>
        <w:spacing w:after="0"/>
        <w:tabs>
          <w:tab w:leader="none" w:pos="920" w:val="left"/>
        </w:tabs>
        <w:numPr>
          <w:ilvl w:val="0"/>
          <w:numId w:val="55"/>
        </w:numPr>
        <w:rPr>
          <w:rFonts w:ascii="Arial" w:cs="Arial" w:eastAsia="Arial" w:hAnsi="Arial"/>
          <w:sz w:val="19"/>
          <w:szCs w:val="19"/>
          <w:color w:val="auto"/>
        </w:rPr>
      </w:pPr>
      <w:r>
        <w:rPr>
          <w:rFonts w:ascii="Times New Roman" w:cs="Times New Roman" w:eastAsia="Times New Roman" w:hAnsi="Times New Roman"/>
          <w:sz w:val="19"/>
          <w:szCs w:val="19"/>
          <w:color w:val="auto"/>
        </w:rPr>
        <w:t>future sales of our common stock by our officers, directors and significant stockholders;</w:t>
      </w:r>
    </w:p>
    <w:p>
      <w:pPr>
        <w:spacing w:after="0" w:line="124" w:lineRule="exact"/>
        <w:rPr>
          <w:rFonts w:ascii="Arial" w:cs="Arial" w:eastAsia="Arial" w:hAnsi="Arial"/>
          <w:sz w:val="19"/>
          <w:szCs w:val="19"/>
          <w:color w:val="auto"/>
        </w:rPr>
      </w:pPr>
    </w:p>
    <w:p>
      <w:pPr>
        <w:ind w:left="920" w:hanging="458"/>
        <w:spacing w:after="0"/>
        <w:tabs>
          <w:tab w:leader="none" w:pos="920" w:val="left"/>
        </w:tabs>
        <w:numPr>
          <w:ilvl w:val="0"/>
          <w:numId w:val="55"/>
        </w:numPr>
        <w:rPr>
          <w:rFonts w:ascii="Arial" w:cs="Arial" w:eastAsia="Arial" w:hAnsi="Arial"/>
          <w:sz w:val="19"/>
          <w:szCs w:val="19"/>
          <w:color w:val="auto"/>
        </w:rPr>
      </w:pPr>
      <w:r>
        <w:rPr>
          <w:rFonts w:ascii="Times New Roman" w:cs="Times New Roman" w:eastAsia="Times New Roman" w:hAnsi="Times New Roman"/>
          <w:sz w:val="19"/>
          <w:szCs w:val="19"/>
          <w:color w:val="auto"/>
        </w:rPr>
        <w:t>recruitment or departure of key personnel;</w:t>
      </w:r>
    </w:p>
    <w:p>
      <w:pPr>
        <w:spacing w:after="0" w:line="125" w:lineRule="exact"/>
        <w:rPr>
          <w:rFonts w:ascii="Arial" w:cs="Arial" w:eastAsia="Arial" w:hAnsi="Arial"/>
          <w:sz w:val="19"/>
          <w:szCs w:val="19"/>
          <w:color w:val="auto"/>
        </w:rPr>
      </w:pPr>
    </w:p>
    <w:p>
      <w:pPr>
        <w:ind w:left="920" w:hanging="458"/>
        <w:spacing w:after="0" w:line="290" w:lineRule="auto"/>
        <w:tabs>
          <w:tab w:leader="none" w:pos="920" w:val="left"/>
        </w:tabs>
        <w:numPr>
          <w:ilvl w:val="0"/>
          <w:numId w:val="55"/>
        </w:numPr>
        <w:rPr>
          <w:rFonts w:ascii="Arial" w:cs="Arial" w:eastAsia="Arial" w:hAnsi="Arial"/>
          <w:sz w:val="19"/>
          <w:szCs w:val="19"/>
          <w:color w:val="auto"/>
        </w:rPr>
      </w:pPr>
      <w:r>
        <w:rPr>
          <w:rFonts w:ascii="Times New Roman" w:cs="Times New Roman" w:eastAsia="Times New Roman" w:hAnsi="Times New Roman"/>
          <w:sz w:val="19"/>
          <w:szCs w:val="19"/>
          <w:color w:val="auto"/>
        </w:rPr>
        <w:t>public health epidemics or pandemics, such as the COVID</w:t>
      </w:r>
      <w:r>
        <w:rPr>
          <w:rFonts w:ascii="Arial" w:cs="Arial" w:eastAsia="Arial" w:hAnsi="Arial"/>
          <w:sz w:val="19"/>
          <w:szCs w:val="19"/>
          <w:color w:val="auto"/>
        </w:rPr>
        <w:t>̻</w:t>
      </w:r>
      <w:r>
        <w:rPr>
          <w:rFonts w:ascii="Times New Roman" w:cs="Times New Roman" w:eastAsia="Times New Roman" w:hAnsi="Times New Roman"/>
          <w:sz w:val="19"/>
          <w:szCs w:val="19"/>
          <w:color w:val="auto"/>
        </w:rPr>
        <w:t>19 pandemic, and any recession, depression, or other sustained adverse market event or economic impact resulting from such epidemics or pandemics;</w:t>
      </w:r>
    </w:p>
    <w:p>
      <w:pPr>
        <w:spacing w:after="0" w:line="46" w:lineRule="exact"/>
        <w:rPr>
          <w:rFonts w:ascii="Arial" w:cs="Arial" w:eastAsia="Arial" w:hAnsi="Arial"/>
          <w:sz w:val="19"/>
          <w:szCs w:val="19"/>
          <w:color w:val="auto"/>
        </w:rPr>
      </w:pPr>
    </w:p>
    <w:p>
      <w:pPr>
        <w:ind w:left="920" w:hanging="458"/>
        <w:spacing w:after="0"/>
        <w:tabs>
          <w:tab w:leader="none" w:pos="920" w:val="left"/>
        </w:tabs>
        <w:numPr>
          <w:ilvl w:val="0"/>
          <w:numId w:val="55"/>
        </w:numPr>
        <w:rPr>
          <w:rFonts w:ascii="Arial" w:cs="Arial" w:eastAsia="Arial" w:hAnsi="Arial"/>
          <w:sz w:val="19"/>
          <w:szCs w:val="19"/>
          <w:color w:val="auto"/>
        </w:rPr>
      </w:pPr>
      <w:r>
        <w:rPr>
          <w:rFonts w:ascii="Times New Roman" w:cs="Times New Roman" w:eastAsia="Times New Roman" w:hAnsi="Times New Roman"/>
          <w:sz w:val="19"/>
          <w:szCs w:val="19"/>
          <w:color w:val="auto"/>
        </w:rPr>
        <w:t>general political, economic, industry and market conditions; and</w:t>
      </w:r>
    </w:p>
    <w:p>
      <w:pPr>
        <w:spacing w:after="0" w:line="124" w:lineRule="exact"/>
        <w:rPr>
          <w:rFonts w:ascii="Arial" w:cs="Arial" w:eastAsia="Arial" w:hAnsi="Arial"/>
          <w:sz w:val="19"/>
          <w:szCs w:val="19"/>
          <w:color w:val="auto"/>
        </w:rPr>
      </w:pPr>
    </w:p>
    <w:p>
      <w:pPr>
        <w:ind w:left="920" w:hanging="458"/>
        <w:spacing w:after="0"/>
        <w:tabs>
          <w:tab w:leader="none" w:pos="920" w:val="left"/>
        </w:tabs>
        <w:numPr>
          <w:ilvl w:val="0"/>
          <w:numId w:val="55"/>
        </w:numPr>
        <w:rPr>
          <w:rFonts w:ascii="Arial" w:cs="Arial" w:eastAsia="Arial" w:hAnsi="Arial"/>
          <w:sz w:val="19"/>
          <w:szCs w:val="19"/>
          <w:color w:val="auto"/>
        </w:rPr>
      </w:pPr>
      <w:r>
        <w:rPr>
          <w:rFonts w:ascii="Times New Roman" w:cs="Times New Roman" w:eastAsia="Times New Roman" w:hAnsi="Times New Roman"/>
          <w:sz w:val="19"/>
          <w:szCs w:val="19"/>
          <w:color w:val="auto"/>
        </w:rPr>
        <w:t>other events or factors described in this “Risk Factors” section, many of which are beyond our control.</w:t>
      </w:r>
    </w:p>
    <w:p>
      <w:pPr>
        <w:spacing w:after="0" w:line="22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In addition, in the past, stockholders have initiated class action lawsuits against pharmaceutical and biotechnology companies following periods of volatility in the market prices of these companies’ stock. This risk is especially relevant for us, because biopharmaceutical companies have experienced significant stock price volatility in recent years. Such litigation, if instituted against us, could cause us to incur substantial costs and divert management’s attention and resources from our business.</w:t>
      </w:r>
    </w:p>
    <w:p>
      <w:pPr>
        <w:spacing w:after="0" w:line="166"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9"/>
          <w:szCs w:val="19"/>
          <w:b w:val="1"/>
          <w:bCs w:val="1"/>
          <w:i w:val="1"/>
          <w:iCs w:val="1"/>
          <w:color w:val="auto"/>
        </w:rPr>
        <w:t>If securities or industry analysts do not publish research or reports about our company, or if they issue unfavorable or inaccurate research regarding our business, or if they publish negative evaluations of our stock, the price and trading volume of our stock could decline.</w:t>
      </w:r>
    </w:p>
    <w:p>
      <w:pPr>
        <w:spacing w:after="0" w:line="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The trading market for our common stock relies, in part, on the research and reports that securities or industry analysts publish about us or our business. Currently, one securities and industry analyst publishes research on our company. There can be no assurance that the existing analyst will continue to cover us or that new analysts will begin to cover us. There is also no assurance that the covering analyst will provide favorable coverage. Although we have obtained analyst coverage, if the analyst covering our business downgrades her evaluation of our stock or publishes inaccurate or unfavorable research about our business, or provides more favorable relative recommendations about our competitors, the price of our stock could decline. In the past, analysts have ceased to cover our stock and others may cease to do so in the future. As a result, we could lose visibility in the market for our stock, which in turn could cause our stock price and trading volume to decline.</w:t>
      </w:r>
    </w:p>
    <w:p>
      <w:pPr>
        <w:spacing w:after="0" w:line="179"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9"/>
          <w:szCs w:val="19"/>
          <w:b w:val="1"/>
          <w:bCs w:val="1"/>
          <w:i w:val="1"/>
          <w:iCs w:val="1"/>
          <w:color w:val="auto"/>
        </w:rPr>
        <w:t>Unstable global economic and political conditions, including economic uncertainty tied to interest rates and heightened inflation, credit and financial market instability, and uncertainty related to ongoing geopolitical conflicts, could adversely affect our business, financial condition, stock price and ability to raise capital.</w:t>
      </w:r>
    </w:p>
    <w:p>
      <w:pPr>
        <w:spacing w:after="0" w:line="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9"/>
          <w:szCs w:val="19"/>
          <w:color w:val="auto"/>
        </w:rPr>
        <w:t>Unstable global economic and political conditions, including economic uncertainty tied to interest rates and heightened inflation, credit and financial market instability, and uncertainty related to ongoing geopolitical conflicts, could adversely affect our business, financial condition, stock price and ability to raise capital. The global economy, in particular the financial markets, have recently experienced significant disruption and volatility, including without limitation, as a result of heightened inflation, capital market volatility, interest rate and currency rate fluctuations, volatility in commodity prices, decline in consumer confidence and economic growth, supply chain disruptions, banking disruptions, and uncertainty resulting from geopolitical events, including trade wars, civil and political unrest, wars and other armed conflicts. In addition, market volatility, high levels of inflation and high interest rates may increase our cost of financing or restrict our access to potential sources of future capital. Furthermore, our stock price may further decline due in part to the volatility of the stock market and any general economic downturn. If the disruption and volatility persist or deepen, we may be unable to raise sufficient additional capital on acceptable terms, or at all. If we are unable to raise sufficient additional capital, our business, financial condition, stock price and results of operations could be adversely affected, and we may need to implement cost reduction strategies, which could include delaying, reducing or altogether terminating both internal and external costs related to our operations and research and development programs. In addition, political developments impacting government spending and international trade, including changes in trade agreements, trade disputes, tariffs and investment restrictions, such as the ongoing trade dispute between the United States and China, may negatively impact markets and cause weaker macroeconomic conditions. These global economic and political factors could also strain certain of our suppliers and manufacturers, including our primary CDMO, possibly resulting in supply disruptions or increased raw material or manufacturing costs, or adversely impacting their ability to manufacture clinical trial materials for our product candidates. Any of the foregoing could harm our business and we cannot anticipate all of the ways in which the current economic and geopolitical climate and financial market conditions could adversely impact our business.</w:t>
      </w:r>
    </w:p>
    <w:p>
      <w:pPr>
        <w:sectPr>
          <w:pgSz w:w="12240" w:h="15840" w:orient="portrait"/>
          <w:cols w:equalWidth="0" w:num="1">
            <w:col w:w="10200"/>
          </w:cols>
          <w:pgMar w:left="1020" w:top="1330" w:right="102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91</w:t>
      </w:r>
    </w:p>
    <w:p>
      <w:pPr>
        <w:sectPr>
          <w:pgSz w:w="12240" w:h="15840" w:orient="portrait"/>
          <w:cols w:equalWidth="0" w:num="1">
            <w:col w:w="10200"/>
          </w:cols>
          <w:pgMar w:left="1020" w:top="1330" w:right="1020" w:bottom="574" w:gutter="0" w:footer="0" w:header="0"/>
          <w:type w:val="continuous"/>
        </w:sectPr>
      </w:pPr>
    </w:p>
    <w:bookmarkStart w:id="94" w:name="page95"/>
    <w:bookmarkEnd w:id="94"/>
    <w:p>
      <w:pPr>
        <w:jc w:val="both"/>
        <w:spacing w:after="0" w:line="361" w:lineRule="auto"/>
        <w:rPr>
          <w:sz w:val="20"/>
          <w:szCs w:val="20"/>
          <w:color w:val="auto"/>
        </w:rPr>
      </w:pPr>
      <w:r>
        <w:rPr>
          <w:rFonts w:ascii="Times New Roman" w:cs="Times New Roman" w:eastAsia="Times New Roman" w:hAnsi="Times New Roman"/>
          <w:sz w:val="19"/>
          <w:szCs w:val="19"/>
          <w:b w:val="1"/>
          <w:bCs w:val="1"/>
          <w:i w:val="1"/>
          <w:iCs w:val="1"/>
          <w:color w:val="auto"/>
        </w:rPr>
        <w:t>Our principal stockholders and management own a significant percentage of our common stock and exert significant control over matters subject to stockholder approval.</w:t>
      </w:r>
    </w:p>
    <w:p>
      <w:pPr>
        <w:spacing w:after="0" w:line="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color w:val="auto"/>
        </w:rPr>
        <w:t>As of December 31, 2025, our executive officers, directors, holders of 5% or more of our common stock and their respective affiliates beneficially owned shares in the aggregate representing a majority of our outstanding common stock. As a result of their share ownership, these stockholders, if they act together, would have the ability to influence our management and policies and would be able to significantly affect the outcome of matters requiring stockholder approval, such as elections of directors, amendments of our organizational documents or approvals of any merger, sale of assets or other major corporate transaction. This may prevent or discourage unsolicited acquisition proposals or offers for our common stock that our stockholders may feel are in their best interest.</w:t>
      </w:r>
    </w:p>
    <w:p>
      <w:pPr>
        <w:spacing w:after="0" w:line="18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Some of these persons or entities may have interests different than our unaffiliated stockholders, or they may want us to pursue strategies that deviate from the interests of other stockholders. In addition, this concentration of ownership might adversely affect the market price of our common stock by:</w:t>
      </w:r>
    </w:p>
    <w:p>
      <w:pPr>
        <w:spacing w:after="0" w:line="77" w:lineRule="exact"/>
        <w:rPr>
          <w:sz w:val="20"/>
          <w:szCs w:val="20"/>
          <w:color w:val="auto"/>
        </w:rPr>
      </w:pPr>
    </w:p>
    <w:p>
      <w:pPr>
        <w:ind w:left="920" w:hanging="458"/>
        <w:spacing w:after="0"/>
        <w:tabs>
          <w:tab w:leader="none" w:pos="920" w:val="left"/>
        </w:tabs>
        <w:numPr>
          <w:ilvl w:val="0"/>
          <w:numId w:val="56"/>
        </w:numPr>
        <w:rPr>
          <w:rFonts w:ascii="Arial" w:cs="Arial" w:eastAsia="Arial" w:hAnsi="Arial"/>
          <w:sz w:val="19"/>
          <w:szCs w:val="19"/>
          <w:color w:val="auto"/>
        </w:rPr>
      </w:pPr>
      <w:r>
        <w:rPr>
          <w:rFonts w:ascii="Times New Roman" w:cs="Times New Roman" w:eastAsia="Times New Roman" w:hAnsi="Times New Roman"/>
          <w:sz w:val="19"/>
          <w:szCs w:val="19"/>
          <w:color w:val="auto"/>
        </w:rPr>
        <w:t>delaying, deferring or preventing a change of control of us;</w:t>
      </w:r>
    </w:p>
    <w:p>
      <w:pPr>
        <w:spacing w:after="0" w:line="124" w:lineRule="exact"/>
        <w:rPr>
          <w:rFonts w:ascii="Arial" w:cs="Arial" w:eastAsia="Arial" w:hAnsi="Arial"/>
          <w:sz w:val="19"/>
          <w:szCs w:val="19"/>
          <w:color w:val="auto"/>
        </w:rPr>
      </w:pPr>
    </w:p>
    <w:p>
      <w:pPr>
        <w:ind w:left="920" w:hanging="458"/>
        <w:spacing w:after="0"/>
        <w:tabs>
          <w:tab w:leader="none" w:pos="920" w:val="left"/>
        </w:tabs>
        <w:numPr>
          <w:ilvl w:val="0"/>
          <w:numId w:val="56"/>
        </w:numPr>
        <w:rPr>
          <w:rFonts w:ascii="Arial" w:cs="Arial" w:eastAsia="Arial" w:hAnsi="Arial"/>
          <w:sz w:val="19"/>
          <w:szCs w:val="19"/>
          <w:color w:val="auto"/>
        </w:rPr>
      </w:pPr>
      <w:r>
        <w:rPr>
          <w:rFonts w:ascii="Times New Roman" w:cs="Times New Roman" w:eastAsia="Times New Roman" w:hAnsi="Times New Roman"/>
          <w:sz w:val="19"/>
          <w:szCs w:val="19"/>
          <w:color w:val="auto"/>
        </w:rPr>
        <w:t>entrench our management and board of directors;</w:t>
      </w:r>
    </w:p>
    <w:p>
      <w:pPr>
        <w:spacing w:after="0" w:line="124" w:lineRule="exact"/>
        <w:rPr>
          <w:rFonts w:ascii="Arial" w:cs="Arial" w:eastAsia="Arial" w:hAnsi="Arial"/>
          <w:sz w:val="19"/>
          <w:szCs w:val="19"/>
          <w:color w:val="auto"/>
        </w:rPr>
      </w:pPr>
    </w:p>
    <w:p>
      <w:pPr>
        <w:ind w:left="920" w:hanging="458"/>
        <w:spacing w:after="0"/>
        <w:tabs>
          <w:tab w:leader="none" w:pos="920" w:val="left"/>
        </w:tabs>
        <w:numPr>
          <w:ilvl w:val="0"/>
          <w:numId w:val="56"/>
        </w:numPr>
        <w:rPr>
          <w:rFonts w:ascii="Arial" w:cs="Arial" w:eastAsia="Arial" w:hAnsi="Arial"/>
          <w:sz w:val="19"/>
          <w:szCs w:val="19"/>
          <w:color w:val="auto"/>
        </w:rPr>
      </w:pPr>
      <w:r>
        <w:rPr>
          <w:rFonts w:ascii="Times New Roman" w:cs="Times New Roman" w:eastAsia="Times New Roman" w:hAnsi="Times New Roman"/>
          <w:sz w:val="19"/>
          <w:szCs w:val="19"/>
          <w:color w:val="auto"/>
        </w:rPr>
        <w:t>impeding a merger, consolidation, takeover or other business combination involving us; or</w:t>
      </w:r>
    </w:p>
    <w:p>
      <w:pPr>
        <w:spacing w:after="0" w:line="124" w:lineRule="exact"/>
        <w:rPr>
          <w:rFonts w:ascii="Arial" w:cs="Arial" w:eastAsia="Arial" w:hAnsi="Arial"/>
          <w:sz w:val="19"/>
          <w:szCs w:val="19"/>
          <w:color w:val="auto"/>
        </w:rPr>
      </w:pPr>
    </w:p>
    <w:p>
      <w:pPr>
        <w:ind w:left="920" w:hanging="458"/>
        <w:spacing w:after="0"/>
        <w:tabs>
          <w:tab w:leader="none" w:pos="920" w:val="left"/>
        </w:tabs>
        <w:numPr>
          <w:ilvl w:val="0"/>
          <w:numId w:val="56"/>
        </w:numPr>
        <w:rPr>
          <w:rFonts w:ascii="Arial" w:cs="Arial" w:eastAsia="Arial" w:hAnsi="Arial"/>
          <w:sz w:val="19"/>
          <w:szCs w:val="19"/>
          <w:color w:val="auto"/>
        </w:rPr>
      </w:pPr>
      <w:r>
        <w:rPr>
          <w:rFonts w:ascii="Times New Roman" w:cs="Times New Roman" w:eastAsia="Times New Roman" w:hAnsi="Times New Roman"/>
          <w:sz w:val="19"/>
          <w:szCs w:val="19"/>
          <w:color w:val="auto"/>
        </w:rPr>
        <w:t>discouraging a potential acquirer from making a tender offer or otherwise attempting to obtain control of us.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We have broad discretion regarding use of our cash and cash equivalents, and we may not use them effectively.</w:t>
      </w:r>
    </w:p>
    <w:p>
      <w:pPr>
        <w:spacing w:after="0" w:line="22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9"/>
          <w:szCs w:val="19"/>
          <w:color w:val="auto"/>
        </w:rPr>
        <w:t>Our management has broad discretion in the application of our cash and cash equivalents and could use such funds in ways that do not improve our results of operations or enhance the value of our common stock. The failure by our management to apply these funds effectively could result in financial losses that could have a material adverse effect on our business, cause the price of our common stock to decline and delay the development of our product candidates. Pending their use, we may invest these funds in a manner that does not produce income or that loses value.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We do not intend to pay dividends on our common stock so any returns will be limited to the value of our stock.</w:t>
      </w:r>
    </w:p>
    <w:p>
      <w:pPr>
        <w:spacing w:after="0" w:line="22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We currently anticipate that we will retain future earnings for the development, operation and expansion of our business and do not anticipate declaring or paying any cash dividends for the foreseeable future. Any determination to pay dividends in the future will be at the sole discretion of our board of directors. In addition, the terms of any future debt agreements may preclude us from paying dividends. Any return to stockholders will therefore be limited in the foreseeable future to the appreciation of their stock.</w:t>
      </w:r>
    </w:p>
    <w:p>
      <w:pPr>
        <w:spacing w:after="0" w:line="166" w:lineRule="exact"/>
        <w:rPr>
          <w:sz w:val="20"/>
          <w:szCs w:val="20"/>
          <w:color w:val="auto"/>
        </w:rPr>
      </w:pPr>
    </w:p>
    <w:p>
      <w:pPr>
        <w:jc w:val="both"/>
        <w:spacing w:after="0" w:line="361" w:lineRule="auto"/>
        <w:rPr>
          <w:sz w:val="20"/>
          <w:szCs w:val="20"/>
          <w:color w:val="auto"/>
        </w:rPr>
      </w:pPr>
      <w:r>
        <w:rPr>
          <w:rFonts w:ascii="Times New Roman" w:cs="Times New Roman" w:eastAsia="Times New Roman" w:hAnsi="Times New Roman"/>
          <w:sz w:val="19"/>
          <w:szCs w:val="19"/>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We are an “emerging growth company,” or EGC, as defined in the Jumpstart Our Business Startups Act of 2012, or the JOBS Act. We expect to remain an EGC until December 31, 2026. For so long as we remain an EGC, we are permitted and intend to rely on exemptions from certain disclosure requirements that are applicable to other public companies that are not EGCs. These exemptions include:</w:t>
      </w:r>
    </w:p>
    <w:p>
      <w:pPr>
        <w:spacing w:after="0" w:line="74" w:lineRule="exact"/>
        <w:rPr>
          <w:sz w:val="20"/>
          <w:szCs w:val="20"/>
          <w:color w:val="auto"/>
        </w:rPr>
      </w:pPr>
    </w:p>
    <w:p>
      <w:pPr>
        <w:jc w:val="both"/>
        <w:ind w:left="920" w:hanging="458"/>
        <w:spacing w:after="0" w:line="247" w:lineRule="auto"/>
        <w:tabs>
          <w:tab w:leader="none" w:pos="920" w:val="left"/>
        </w:tabs>
        <w:numPr>
          <w:ilvl w:val="0"/>
          <w:numId w:val="57"/>
        </w:numPr>
        <w:rPr>
          <w:rFonts w:ascii="Arial" w:cs="Arial" w:eastAsia="Arial" w:hAnsi="Arial"/>
          <w:sz w:val="19"/>
          <w:szCs w:val="19"/>
          <w:color w:val="auto"/>
        </w:rPr>
      </w:pPr>
      <w:r>
        <w:rPr>
          <w:rFonts w:ascii="Times New Roman" w:cs="Times New Roman" w:eastAsia="Times New Roman" w:hAnsi="Times New Roman"/>
          <w:sz w:val="19"/>
          <w:szCs w:val="19"/>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77" w:lineRule="exact"/>
        <w:rPr>
          <w:rFonts w:ascii="Arial" w:cs="Arial" w:eastAsia="Arial" w:hAnsi="Arial"/>
          <w:sz w:val="19"/>
          <w:szCs w:val="19"/>
          <w:color w:val="auto"/>
        </w:rPr>
      </w:pPr>
    </w:p>
    <w:p>
      <w:pPr>
        <w:ind w:left="920" w:hanging="458"/>
        <w:spacing w:after="0" w:line="265" w:lineRule="auto"/>
        <w:tabs>
          <w:tab w:leader="none" w:pos="920" w:val="left"/>
        </w:tabs>
        <w:numPr>
          <w:ilvl w:val="0"/>
          <w:numId w:val="57"/>
        </w:numPr>
        <w:rPr>
          <w:rFonts w:ascii="Arial" w:cs="Arial" w:eastAsia="Arial" w:hAnsi="Arial"/>
          <w:sz w:val="19"/>
          <w:szCs w:val="19"/>
          <w:color w:val="auto"/>
        </w:rPr>
      </w:pPr>
      <w:r>
        <w:rPr>
          <w:rFonts w:ascii="Times New Roman" w:cs="Times New Roman" w:eastAsia="Times New Roman" w:hAnsi="Times New Roman"/>
          <w:sz w:val="19"/>
          <w:szCs w:val="19"/>
          <w:color w:val="auto"/>
        </w:rPr>
        <w:t>not being required to comply with the auditor attestation requirements in the assessment of our internal control over financial reporting;</w:t>
      </w:r>
    </w:p>
    <w:p>
      <w:pPr>
        <w:spacing w:after="0" w:line="60" w:lineRule="exact"/>
        <w:rPr>
          <w:rFonts w:ascii="Arial" w:cs="Arial" w:eastAsia="Arial" w:hAnsi="Arial"/>
          <w:sz w:val="19"/>
          <w:szCs w:val="19"/>
          <w:color w:val="auto"/>
        </w:rPr>
      </w:pPr>
    </w:p>
    <w:p>
      <w:pPr>
        <w:jc w:val="both"/>
        <w:ind w:left="920" w:hanging="458"/>
        <w:spacing w:after="0" w:line="247" w:lineRule="auto"/>
        <w:tabs>
          <w:tab w:leader="none" w:pos="920" w:val="left"/>
        </w:tabs>
        <w:numPr>
          <w:ilvl w:val="0"/>
          <w:numId w:val="57"/>
        </w:numPr>
        <w:rPr>
          <w:rFonts w:ascii="Arial" w:cs="Arial" w:eastAsia="Arial" w:hAnsi="Arial"/>
          <w:sz w:val="19"/>
          <w:szCs w:val="19"/>
          <w:color w:val="auto"/>
        </w:rPr>
      </w:pPr>
      <w:r>
        <w:rPr>
          <w:rFonts w:ascii="Times New Roman" w:cs="Times New Roman" w:eastAsia="Times New Roman" w:hAnsi="Times New Roman"/>
          <w:sz w:val="19"/>
          <w:szCs w:val="19"/>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77" w:lineRule="exact"/>
        <w:rPr>
          <w:rFonts w:ascii="Arial" w:cs="Arial" w:eastAsia="Arial" w:hAnsi="Arial"/>
          <w:sz w:val="19"/>
          <w:szCs w:val="19"/>
          <w:color w:val="auto"/>
        </w:rPr>
      </w:pPr>
    </w:p>
    <w:p>
      <w:pPr>
        <w:ind w:left="920" w:hanging="458"/>
        <w:spacing w:after="0"/>
        <w:tabs>
          <w:tab w:leader="none" w:pos="920" w:val="left"/>
        </w:tabs>
        <w:numPr>
          <w:ilvl w:val="0"/>
          <w:numId w:val="57"/>
        </w:numPr>
        <w:rPr>
          <w:rFonts w:ascii="Arial" w:cs="Arial" w:eastAsia="Arial" w:hAnsi="Arial"/>
          <w:sz w:val="19"/>
          <w:szCs w:val="19"/>
          <w:color w:val="auto"/>
        </w:rPr>
      </w:pPr>
      <w:r>
        <w:rPr>
          <w:rFonts w:ascii="Times New Roman" w:cs="Times New Roman" w:eastAsia="Times New Roman" w:hAnsi="Times New Roman"/>
          <w:sz w:val="19"/>
          <w:szCs w:val="19"/>
          <w:color w:val="auto"/>
        </w:rPr>
        <w:t>reduced disclosure obligations regarding executive compensation; and</w:t>
      </w:r>
    </w:p>
    <w:p>
      <w:pPr>
        <w:spacing w:after="0" w:line="116" w:lineRule="exact"/>
        <w:rPr>
          <w:rFonts w:ascii="Arial" w:cs="Arial" w:eastAsia="Arial" w:hAnsi="Arial"/>
          <w:sz w:val="19"/>
          <w:szCs w:val="19"/>
          <w:color w:val="auto"/>
        </w:rPr>
      </w:pPr>
    </w:p>
    <w:p>
      <w:pPr>
        <w:ind w:left="920" w:hanging="458"/>
        <w:spacing w:after="0" w:line="265" w:lineRule="auto"/>
        <w:tabs>
          <w:tab w:leader="none" w:pos="920" w:val="left"/>
        </w:tabs>
        <w:numPr>
          <w:ilvl w:val="0"/>
          <w:numId w:val="57"/>
        </w:numPr>
        <w:rPr>
          <w:rFonts w:ascii="Arial" w:cs="Arial" w:eastAsia="Arial" w:hAnsi="Arial"/>
          <w:sz w:val="19"/>
          <w:szCs w:val="19"/>
          <w:color w:val="auto"/>
        </w:rPr>
      </w:pPr>
      <w:r>
        <w:rPr>
          <w:rFonts w:ascii="Times New Roman" w:cs="Times New Roman" w:eastAsia="Times New Roman" w:hAnsi="Times New Roman"/>
          <w:sz w:val="19"/>
          <w:szCs w:val="19"/>
          <w:color w:val="auto"/>
        </w:rPr>
        <w:t>exemptions from the requirements of holding a nonbinding advisory vote on executive compensation and stockholder approval of any golden parachute payments not previously approved.</w:t>
      </w:r>
    </w:p>
    <w:p>
      <w:pPr>
        <w:spacing w:after="0" w:line="16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9"/>
          <w:szCs w:val="19"/>
          <w:color w:val="auto"/>
        </w:rPr>
        <w:t>Even after we no longer qualify as an emerging growth company, we may continue to qualify as a smaller reporting company, which would allow us to take advantage of many of the same exemptions from disclosure requirements, including reduced disclosure</w:t>
      </w:r>
    </w:p>
    <w:p>
      <w:pPr>
        <w:sectPr>
          <w:pgSz w:w="12240" w:h="15840" w:orient="portrait"/>
          <w:cols w:equalWidth="0" w:num="1">
            <w:col w:w="10200"/>
          </w:cols>
          <w:pgMar w:left="1020" w:top="1310" w:right="1020" w:bottom="574" w:gutter="0" w:footer="0" w:header="0"/>
        </w:sect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92</w:t>
      </w:r>
    </w:p>
    <w:p>
      <w:pPr>
        <w:sectPr>
          <w:pgSz w:w="12240" w:h="15840" w:orient="portrait"/>
          <w:cols w:equalWidth="0" w:num="1">
            <w:col w:w="10200"/>
          </w:cols>
          <w:pgMar w:left="1020" w:top="1310" w:right="1020" w:bottom="574" w:gutter="0" w:footer="0" w:header="0"/>
          <w:type w:val="continuous"/>
        </w:sectPr>
      </w:pPr>
    </w:p>
    <w:bookmarkStart w:id="95" w:name="page96"/>
    <w:bookmarkEnd w:id="95"/>
    <w:p>
      <w:pPr>
        <w:jc w:val="both"/>
        <w:spacing w:after="0" w:line="247" w:lineRule="auto"/>
        <w:rPr>
          <w:sz w:val="20"/>
          <w:szCs w:val="20"/>
          <w:color w:val="auto"/>
        </w:rPr>
      </w:pPr>
      <w:r>
        <w:rPr>
          <w:rFonts w:ascii="Times New Roman" w:cs="Times New Roman" w:eastAsia="Times New Roman" w:hAnsi="Times New Roman"/>
          <w:sz w:val="19"/>
          <w:szCs w:val="19"/>
          <w:color w:val="auto"/>
        </w:rPr>
        <w:t>obligations regarding executive compensation. In addition, if we are a smaller reporting company with less than $100 million in annual revenue, we would not be required to comply with the auditor attestation requirements of Section 404 of the Sarbanes-Oxley Act of 2002, or Section 404.</w:t>
      </w:r>
    </w:p>
    <w:p>
      <w:pPr>
        <w:spacing w:after="0" w:line="17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9"/>
          <w:szCs w:val="19"/>
          <w:color w:val="auto"/>
        </w:rPr>
        <w:t>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7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In addition, the JOBS Act permits an EGC to take advantage of an extended transition period to comply with new or revised accounting standards applicable to public companies until those standards would otherwise apply to private companies. We have elected not to “opt out” of such extended transition period, which means that when a standard is issued or revised and it has different application dates for public or private companies, we can adopt the new or revised standard at the time private companies adopt the new or revised standard and may do so until such time that we either (1) irrevocably elect to “opt out” of such extended transition period or (2) no longer qualify as an EGC or a smaller reporting company. We may choose to early adopt any new or revised accounting standards whenever such early adoption is permitted for private companies.</w:t>
      </w:r>
    </w:p>
    <w:p>
      <w:pPr>
        <w:spacing w:after="0" w:line="180"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9"/>
          <w:szCs w:val="19"/>
          <w:b w:val="1"/>
          <w:bCs w:val="1"/>
          <w:i w:val="1"/>
          <w:iCs w:val="1"/>
          <w:color w:val="auto"/>
        </w:rPr>
        <w:t>We have incurred and will continue to incur substantial costs as a result of operating as a public company, and our management has devoted and will continue to be required to devote substantial time to new compliance initiatives and corporate governance practices.</w:t>
      </w:r>
    </w:p>
    <w:p>
      <w:pPr>
        <w:spacing w:after="0" w:line="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9"/>
          <w:szCs w:val="19"/>
          <w:color w:val="auto"/>
        </w:rPr>
        <w:t>As a public company, we have incurred and will continue to incur substantial legal, accounting and other expenses. The Sarbanes-Oxley Act of 2002, or the Sarbanes-Oxley Act, the Dodd-Frank Wall Street Reform and Consumer Protection Act, Nasdaq listing requirements,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continue to increase our legal and financial compliance costs and will make some activities more time-consuming and costly.</w:t>
      </w:r>
    </w:p>
    <w:p>
      <w:pPr>
        <w:spacing w:after="0" w:line="18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9"/>
          <w:szCs w:val="19"/>
          <w:color w:val="auto"/>
        </w:rPr>
        <w:t>We evaluate developments in these rules and regulations as they are promulgated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continue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to comply with new laws, regulations and standards, we fail to comply, regulatory authorities may initiate legal proceedings against us and our business may be materially adversely effected.</w:t>
      </w:r>
    </w:p>
    <w:p>
      <w:pPr>
        <w:spacing w:after="0" w:line="19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color w:val="auto"/>
        </w:rPr>
        <w:t>Pursuant to Section 404, we are required to furnish a report by our management on our internal control over financial reporting. However, while we remain an EGC or a smaller reporting company with less than $100 million in annual revenue, we will not be required to include an attestation report on internal control over financial reporting issued by our independent registered public accounting firm. To comply with Section 404, we are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in our internal control over financial reporting, it could result in an adverse reaction in the financial markets due to a loss of confidence in the reliability of our financial statements.</w:t>
      </w:r>
    </w:p>
    <w:p>
      <w:pPr>
        <w:spacing w:after="0" w:line="174"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9"/>
          <w:szCs w:val="19"/>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Effective internal control over financial reporting is necessary for us to provide reliable financial reports and, together with adequate disclosure controls and procedures, is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 over financial reporting that are deemed to be material weaknesses or that may require prospective</w:t>
      </w:r>
    </w:p>
    <w:p>
      <w:pPr>
        <w:sectPr>
          <w:pgSz w:w="12240" w:h="15840" w:orient="portrait"/>
          <w:cols w:equalWidth="0" w:num="1">
            <w:col w:w="10200"/>
          </w:cols>
          <w:pgMar w:left="1020" w:top="1310" w:right="1020" w:bottom="574" w:gutter="0" w:footer="0" w:header="0"/>
        </w:sect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93</w:t>
      </w:r>
    </w:p>
    <w:p>
      <w:pPr>
        <w:sectPr>
          <w:pgSz w:w="12240" w:h="15840" w:orient="portrait"/>
          <w:cols w:equalWidth="0" w:num="1">
            <w:col w:w="10200"/>
          </w:cols>
          <w:pgMar w:left="1020" w:top="1310" w:right="1020" w:bottom="574" w:gutter="0" w:footer="0" w:header="0"/>
          <w:type w:val="continuous"/>
        </w:sectPr>
      </w:pPr>
    </w:p>
    <w:bookmarkStart w:id="96" w:name="page97"/>
    <w:bookmarkEnd w:id="96"/>
    <w:p>
      <w:pPr>
        <w:jc w:val="both"/>
        <w:spacing w:after="0" w:line="251" w:lineRule="auto"/>
        <w:rPr>
          <w:sz w:val="20"/>
          <w:szCs w:val="20"/>
          <w:color w:val="auto"/>
        </w:rPr>
      </w:pPr>
      <w:r>
        <w:rPr>
          <w:rFonts w:ascii="Times New Roman" w:cs="Times New Roman" w:eastAsia="Times New Roman" w:hAnsi="Times New Roman"/>
          <w:sz w:val="19"/>
          <w:szCs w:val="19"/>
          <w:color w:val="auto"/>
        </w:rPr>
        <w:t>or retroactive changes to our financial statements or identify other areas for further attention or improvement. Inferior internal controls could also subject us to regulatory scrutiny and sanctions, impair our ability to raise revenue and cause investors to lose confidence in our reported financial information, which could harm our business and have a negative effect on the trading price of our common stock and adversely affect our results of operations and financial condition.</w:t>
      </w:r>
    </w:p>
    <w:p>
      <w:pPr>
        <w:spacing w:after="0" w:line="18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We are required to disclose changes made in our internal controls and procedures on a quarterly basis and our management is required to assess the effectiveness of these controls annually. However, for as long as we are an EGC or a smaller reporting company with less than $100 million in annual revenue, our independent registered public accounting firm will not be required to attest to the effectiveness of our internal control over financial reporting pursuant to Section 404. An independent assessment of the effectiveness of our internal control over financial reporting could detect problems that our management’s assessment might not. Undetected material weaknesses in our internal control over financial reporting could lead to financial statement restatements and require us to incur the expense of remediation, which could have a negative effect on the trading price of our common stock and adversely affect our results of operations and financial condition.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Our disclosure controls and procedures may not prevent or detect all errors or acts of fraud.</w:t>
      </w:r>
    </w:p>
    <w:p>
      <w:pPr>
        <w:spacing w:after="0" w:line="22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color w:val="auto"/>
        </w:rPr>
        <w:t>As a public company, we are subject to certain reporting requirements of the Securities Exchange Act of 1934, as amended, or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 over financial reporting,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Changes in tax laws or in their implementation or interpretation may adversely affect our business and financial condition.</w:t>
      </w:r>
    </w:p>
    <w:p>
      <w:pPr>
        <w:spacing w:after="0" w:line="22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Income, sales, use or other tax laws, statutes, rules, or regulations could be enacted or amended at any time, which could affect our business or financial condition, including causing potentially adverse impacts to our effective tax rate, tax liabilities, and cash tax obligations. For example, the IRA was signed into law in August 2022 and OBBBA was signed into law in July 2025. The IRA introduced new tax provisions, including a one percent excise tax imposed on certain stock repurchases by publicly traded companies. The one percent excise tax generally applies to any acquisition of stock by the publicly traded company (or certain of its affiliates) from a stockholder of the company in exchange for money or other property (other than stock of the company itself), subject to certain exceptions. Thus, the excise tax could apply to certain transactions that are not traditional stock repurchases. The OBBBA contains numerous tax provisions that may significantly affect our business or financial condition. The recent changes under the OBBBA include tax rate extensions, changes to the business interest deduction limitation, the election to either fully deduct or continue to capitalize and amortize domestic research and development expenditures (in contrast to the continued capitalization and amortization of foreign research and development expenditures), changes to the bonus depreciation deduction rules, and changes to the international tax framework. Regulatory guidance under the OBBBA and other tax-related legislation is and continues to be forthcoming, and we will utilize such guidance to analyze the impact of such legislation on our business and financial condition. In addition, it is uncertain if and to what extent various states will conform to federal tax legislation.</w:t>
      </w:r>
    </w:p>
    <w:p>
      <w:pPr>
        <w:spacing w:after="0" w:line="181"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9"/>
          <w:szCs w:val="19"/>
          <w:b w:val="1"/>
          <w:bCs w:val="1"/>
          <w:i w:val="1"/>
          <w:iCs w:val="1"/>
          <w:color w:val="auto"/>
        </w:rPr>
        <w:t>Provisions in our corporate charter documents and under Delaware law could make an acquisition of our company, which may be beneficial to our stockholders, more difficult and may prevent attempts by our stockholders to replace or remove our current directors and members of management.</w:t>
      </w:r>
    </w:p>
    <w:p>
      <w:pPr>
        <w:spacing w:after="0" w:line="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9"/>
          <w:szCs w:val="19"/>
          <w:color w:val="auto"/>
        </w:rPr>
        <w:t>Provisions in our restated certificate of incorporation and our second amended and restated bylaws may discourage, delay or prevent a merger, acquisition or other change in control of our company that stockholders may consider favorable, including transactions in which our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93" w:lineRule="exact"/>
        <w:rPr>
          <w:sz w:val="20"/>
          <w:szCs w:val="20"/>
          <w:color w:val="auto"/>
        </w:rPr>
      </w:pPr>
    </w:p>
    <w:p>
      <w:pPr>
        <w:ind w:left="920" w:hanging="458"/>
        <w:spacing w:after="0"/>
        <w:tabs>
          <w:tab w:leader="none" w:pos="920" w:val="left"/>
        </w:tabs>
        <w:numPr>
          <w:ilvl w:val="0"/>
          <w:numId w:val="58"/>
        </w:numPr>
        <w:rPr>
          <w:rFonts w:ascii="Arial" w:cs="Arial" w:eastAsia="Arial" w:hAnsi="Arial"/>
          <w:sz w:val="19"/>
          <w:szCs w:val="19"/>
          <w:color w:val="auto"/>
        </w:rPr>
      </w:pPr>
      <w:r>
        <w:rPr>
          <w:rFonts w:ascii="Times New Roman" w:cs="Times New Roman" w:eastAsia="Times New Roman" w:hAnsi="Times New Roman"/>
          <w:sz w:val="19"/>
          <w:szCs w:val="19"/>
          <w:color w:val="auto"/>
        </w:rPr>
        <w:t>establish a classified board of directors such that only one of three classes of directors is elected each year;</w:t>
      </w:r>
    </w:p>
    <w:p>
      <w:pPr>
        <w:spacing w:after="0" w:line="124" w:lineRule="exact"/>
        <w:rPr>
          <w:rFonts w:ascii="Arial" w:cs="Arial" w:eastAsia="Arial" w:hAnsi="Arial"/>
          <w:sz w:val="19"/>
          <w:szCs w:val="19"/>
          <w:color w:val="auto"/>
        </w:rPr>
      </w:pPr>
    </w:p>
    <w:p>
      <w:pPr>
        <w:ind w:left="920" w:hanging="458"/>
        <w:spacing w:after="0"/>
        <w:tabs>
          <w:tab w:leader="none" w:pos="920" w:val="left"/>
        </w:tabs>
        <w:numPr>
          <w:ilvl w:val="0"/>
          <w:numId w:val="58"/>
        </w:numPr>
        <w:rPr>
          <w:rFonts w:ascii="Arial" w:cs="Arial" w:eastAsia="Arial" w:hAnsi="Arial"/>
          <w:sz w:val="19"/>
          <w:szCs w:val="19"/>
          <w:color w:val="auto"/>
        </w:rPr>
      </w:pPr>
      <w:r>
        <w:rPr>
          <w:rFonts w:ascii="Times New Roman" w:cs="Times New Roman" w:eastAsia="Times New Roman" w:hAnsi="Times New Roman"/>
          <w:sz w:val="19"/>
          <w:szCs w:val="19"/>
          <w:color w:val="auto"/>
        </w:rPr>
        <w:t>allow the authorized number of our directors to be changed only by resolution of our board of directors;</w:t>
      </w:r>
    </w:p>
    <w:p>
      <w:pPr>
        <w:sectPr>
          <w:pgSz w:w="12240" w:h="15840" w:orient="portrait"/>
          <w:cols w:equalWidth="0" w:num="1">
            <w:col w:w="10200"/>
          </w:cols>
          <w:pgMar w:left="1020" w:top="1317" w:right="1020" w:bottom="574"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94</w:t>
      </w:r>
    </w:p>
    <w:p>
      <w:pPr>
        <w:sectPr>
          <w:pgSz w:w="12240" w:h="15840" w:orient="portrait"/>
          <w:cols w:equalWidth="0" w:num="1">
            <w:col w:w="10200"/>
          </w:cols>
          <w:pgMar w:left="1020" w:top="1317" w:right="1020" w:bottom="574" w:gutter="0" w:footer="0" w:header="0"/>
          <w:type w:val="continuous"/>
        </w:sectPr>
      </w:pPr>
    </w:p>
    <w:bookmarkStart w:id="97" w:name="page98"/>
    <w:bookmarkEnd w:id="97"/>
    <w:p>
      <w:pPr>
        <w:ind w:left="920" w:hanging="458"/>
        <w:spacing w:after="0"/>
        <w:tabs>
          <w:tab w:leader="none" w:pos="920" w:val="left"/>
        </w:tabs>
        <w:numPr>
          <w:ilvl w:val="0"/>
          <w:numId w:val="59"/>
        </w:numPr>
        <w:rPr>
          <w:rFonts w:ascii="Arial" w:cs="Arial" w:eastAsia="Arial" w:hAnsi="Arial"/>
          <w:sz w:val="19"/>
          <w:szCs w:val="19"/>
          <w:color w:val="auto"/>
        </w:rPr>
      </w:pPr>
      <w:r>
        <w:rPr>
          <w:rFonts w:ascii="Times New Roman" w:cs="Times New Roman" w:eastAsia="Times New Roman" w:hAnsi="Times New Roman"/>
          <w:sz w:val="19"/>
          <w:szCs w:val="19"/>
          <w:color w:val="auto"/>
        </w:rPr>
        <w:t>limit the manner in which stockholders can remove directors from our board of directors;</w:t>
      </w:r>
    </w:p>
    <w:p>
      <w:pPr>
        <w:spacing w:after="0" w:line="124"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59"/>
        </w:numPr>
        <w:rPr>
          <w:rFonts w:ascii="Arial" w:cs="Arial" w:eastAsia="Arial" w:hAnsi="Arial"/>
          <w:sz w:val="19"/>
          <w:szCs w:val="19"/>
          <w:color w:val="auto"/>
        </w:rPr>
      </w:pPr>
      <w:r>
        <w:rPr>
          <w:rFonts w:ascii="Times New Roman" w:cs="Times New Roman" w:eastAsia="Times New Roman" w:hAnsi="Times New Roman"/>
          <w:sz w:val="19"/>
          <w:szCs w:val="19"/>
          <w:color w:val="auto"/>
        </w:rPr>
        <w:t>establish advance notice requirements for stockholder proposals that can be acted on at stockholder meetings and nominations to our board of directors;</w:t>
      </w:r>
    </w:p>
    <w:p>
      <w:pPr>
        <w:spacing w:after="0" w:line="61"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59"/>
        </w:numPr>
        <w:rPr>
          <w:rFonts w:ascii="Arial" w:cs="Arial" w:eastAsia="Arial" w:hAnsi="Arial"/>
          <w:sz w:val="19"/>
          <w:szCs w:val="19"/>
          <w:color w:val="auto"/>
        </w:rPr>
      </w:pPr>
      <w:r>
        <w:rPr>
          <w:rFonts w:ascii="Times New Roman" w:cs="Times New Roman" w:eastAsia="Times New Roman" w:hAnsi="Times New Roman"/>
          <w:sz w:val="19"/>
          <w:szCs w:val="19"/>
          <w:color w:val="auto"/>
        </w:rPr>
        <w:t>require that stockholder actions must be effected at a duly called stockholder meeting and prohibit actions by our stockholders by written consent;</w:t>
      </w:r>
    </w:p>
    <w:p>
      <w:pPr>
        <w:spacing w:after="0" w:line="61" w:lineRule="exact"/>
        <w:rPr>
          <w:rFonts w:ascii="Arial" w:cs="Arial" w:eastAsia="Arial" w:hAnsi="Arial"/>
          <w:sz w:val="19"/>
          <w:szCs w:val="19"/>
          <w:color w:val="auto"/>
        </w:rPr>
      </w:pPr>
    </w:p>
    <w:p>
      <w:pPr>
        <w:ind w:left="920" w:hanging="458"/>
        <w:spacing w:after="0"/>
        <w:tabs>
          <w:tab w:leader="none" w:pos="920" w:val="left"/>
        </w:tabs>
        <w:numPr>
          <w:ilvl w:val="0"/>
          <w:numId w:val="59"/>
        </w:numPr>
        <w:rPr>
          <w:rFonts w:ascii="Arial" w:cs="Arial" w:eastAsia="Arial" w:hAnsi="Arial"/>
          <w:sz w:val="19"/>
          <w:szCs w:val="19"/>
          <w:color w:val="auto"/>
        </w:rPr>
      </w:pPr>
      <w:r>
        <w:rPr>
          <w:rFonts w:ascii="Times New Roman" w:cs="Times New Roman" w:eastAsia="Times New Roman" w:hAnsi="Times New Roman"/>
          <w:sz w:val="19"/>
          <w:szCs w:val="19"/>
          <w:color w:val="auto"/>
        </w:rPr>
        <w:t>limit who may call stockholder meetings;</w:t>
      </w:r>
    </w:p>
    <w:p>
      <w:pPr>
        <w:spacing w:after="0" w:line="124" w:lineRule="exact"/>
        <w:rPr>
          <w:rFonts w:ascii="Arial" w:cs="Arial" w:eastAsia="Arial" w:hAnsi="Arial"/>
          <w:sz w:val="19"/>
          <w:szCs w:val="19"/>
          <w:color w:val="auto"/>
        </w:rPr>
      </w:pPr>
    </w:p>
    <w:p>
      <w:pPr>
        <w:jc w:val="both"/>
        <w:ind w:left="920" w:hanging="458"/>
        <w:spacing w:after="0" w:line="256" w:lineRule="auto"/>
        <w:tabs>
          <w:tab w:leader="none" w:pos="920" w:val="left"/>
        </w:tabs>
        <w:numPr>
          <w:ilvl w:val="0"/>
          <w:numId w:val="59"/>
        </w:numPr>
        <w:rPr>
          <w:rFonts w:ascii="Arial" w:cs="Arial" w:eastAsia="Arial" w:hAnsi="Arial"/>
          <w:sz w:val="19"/>
          <w:szCs w:val="19"/>
          <w:color w:val="auto"/>
        </w:rPr>
      </w:pPr>
      <w:r>
        <w:rPr>
          <w:rFonts w:ascii="Times New Roman" w:cs="Times New Roman" w:eastAsia="Times New Roman" w:hAnsi="Times New Roman"/>
          <w:sz w:val="19"/>
          <w:szCs w:val="19"/>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78"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59"/>
        </w:numPr>
        <w:rPr>
          <w:rFonts w:ascii="Arial" w:cs="Arial" w:eastAsia="Arial" w:hAnsi="Arial"/>
          <w:sz w:val="19"/>
          <w:szCs w:val="19"/>
          <w:color w:val="auto"/>
        </w:rPr>
      </w:pPr>
      <w:r>
        <w:rPr>
          <w:rFonts w:ascii="Times New Roman" w:cs="Times New Roman" w:eastAsia="Times New Roman" w:hAnsi="Times New Roman"/>
          <w:sz w:val="19"/>
          <w:szCs w:val="19"/>
          <w:color w:val="auto"/>
        </w:rPr>
        <w:t>require the approval of the holders of at least two-thirds of the votes that all our stockholders would be entitled to cast to amend or repeal specified provisions of our certificate of incorporation or bylaws.</w:t>
      </w:r>
    </w:p>
    <w:p>
      <w:pPr>
        <w:spacing w:after="0" w:line="16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9"/>
          <w:szCs w:val="19"/>
          <w:color w:val="auto"/>
        </w:rPr>
        <w:t>In addition, these provisions would apply even if we were to receive an offer that some stockholders may consider beneficial. Moreover, because we are incorporated in Delaware, we are governed by the provisions of Section 203 of the Delaware General Corporation Law, or the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8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Our restated certificate of incorporation designates the Court of Chancery of the State of Delaware and the federal district courts of the United States of America as the sole and exclusive forum for certain types of actions and proceedings that may be initiated by our stockholders, which could limit our stockholders’ ability to obtain a favorable judicial forum for disputes with us or our directors, officers and employees and increase the costs to our stockholders of bringing such claims.</w:t>
      </w:r>
    </w:p>
    <w:p>
      <w:pPr>
        <w:spacing w:after="0" w:line="18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Our restated certificate of incorporation provides that, unless we consent in writing to the selection of an alternative forum, the Court of Chancery of the State of Delaware (or, if the Court of Chancery of the State of Delaware does not have jurisdiction, the federal district court for the District of Delaware) will be the sole and exclusive forum for the following types of actions or proceedings under Delaware statutory or common law:</w:t>
      </w:r>
    </w:p>
    <w:p>
      <w:pPr>
        <w:spacing w:after="0" w:line="82" w:lineRule="exact"/>
        <w:rPr>
          <w:sz w:val="20"/>
          <w:szCs w:val="20"/>
          <w:color w:val="auto"/>
        </w:rPr>
      </w:pPr>
    </w:p>
    <w:p>
      <w:pPr>
        <w:ind w:left="920" w:hanging="458"/>
        <w:spacing w:after="0"/>
        <w:tabs>
          <w:tab w:leader="none" w:pos="920" w:val="left"/>
        </w:tabs>
        <w:numPr>
          <w:ilvl w:val="0"/>
          <w:numId w:val="60"/>
        </w:numPr>
        <w:rPr>
          <w:rFonts w:ascii="Arial" w:cs="Arial" w:eastAsia="Arial" w:hAnsi="Arial"/>
          <w:sz w:val="19"/>
          <w:szCs w:val="19"/>
          <w:color w:val="auto"/>
        </w:rPr>
      </w:pPr>
      <w:r>
        <w:rPr>
          <w:rFonts w:ascii="Times New Roman" w:cs="Times New Roman" w:eastAsia="Times New Roman" w:hAnsi="Times New Roman"/>
          <w:sz w:val="19"/>
          <w:szCs w:val="19"/>
          <w:color w:val="auto"/>
        </w:rPr>
        <w:t>any derivative action or proceeding brought on our behalf;</w:t>
      </w:r>
    </w:p>
    <w:p>
      <w:pPr>
        <w:spacing w:after="0" w:line="124"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60"/>
        </w:numPr>
        <w:rPr>
          <w:rFonts w:ascii="Arial" w:cs="Arial" w:eastAsia="Arial" w:hAnsi="Arial"/>
          <w:sz w:val="19"/>
          <w:szCs w:val="19"/>
          <w:color w:val="auto"/>
        </w:rPr>
      </w:pPr>
      <w:r>
        <w:rPr>
          <w:rFonts w:ascii="Times New Roman" w:cs="Times New Roman" w:eastAsia="Times New Roman" w:hAnsi="Times New Roman"/>
          <w:sz w:val="19"/>
          <w:szCs w:val="19"/>
          <w:color w:val="auto"/>
        </w:rPr>
        <w:t>any action asserting a claim of breach of a fiduciary duty owed by any of our directors, officers, employees or stockholders to our company or our stockholders;</w:t>
      </w:r>
    </w:p>
    <w:p>
      <w:pPr>
        <w:spacing w:after="0" w:line="61"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60"/>
        </w:numPr>
        <w:rPr>
          <w:rFonts w:ascii="Arial" w:cs="Arial" w:eastAsia="Arial" w:hAnsi="Arial"/>
          <w:sz w:val="19"/>
          <w:szCs w:val="19"/>
          <w:color w:val="auto"/>
        </w:rPr>
      </w:pPr>
      <w:r>
        <w:rPr>
          <w:rFonts w:ascii="Times New Roman" w:cs="Times New Roman" w:eastAsia="Times New Roman" w:hAnsi="Times New Roman"/>
          <w:sz w:val="19"/>
          <w:szCs w:val="19"/>
          <w:color w:val="auto"/>
        </w:rPr>
        <w:t>any action asserting a claim arising pursuant to any provision of the DGCL or as to which the DGCL confers jurisdiction on the Court of Chancery of the State of Delaware; or</w:t>
      </w:r>
    </w:p>
    <w:p>
      <w:pPr>
        <w:spacing w:after="0" w:line="61"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60"/>
        </w:numPr>
        <w:rPr>
          <w:rFonts w:ascii="Arial" w:cs="Arial" w:eastAsia="Arial" w:hAnsi="Arial"/>
          <w:sz w:val="19"/>
          <w:szCs w:val="19"/>
          <w:color w:val="auto"/>
        </w:rPr>
      </w:pPr>
      <w:r>
        <w:rPr>
          <w:rFonts w:ascii="Times New Roman" w:cs="Times New Roman" w:eastAsia="Times New Roman" w:hAnsi="Times New Roman"/>
          <w:sz w:val="19"/>
          <w:szCs w:val="19"/>
          <w:color w:val="auto"/>
        </w:rPr>
        <w:t>any action asserting a claim arising pursuant to any provision of our certificate of incorporation or bylaws (in each case, as they may be amended from time to time) or governed by the internal affairs doctrine.</w:t>
      </w:r>
    </w:p>
    <w:p>
      <w:pPr>
        <w:spacing w:after="0" w:line="16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color w:val="auto"/>
        </w:rPr>
        <w:t>The choice of forum provisions will not apply to suits brought to enforce a duty or liability created by the Exchange Act. Furthermore, Section 22 of the Securities Act creates concurrent jurisdiction for federal and state courts over all such Securities Act actions, and investors cannot waive compliance with the federal securities laws and the rules and regulations thereunder. Accordingly, both state and federal courts have jurisdiction to entertain such claims. To prevent having to litigate claims in multiple jurisdictions and the threat of inconsistent or contrary rulings by different courts, among other considerations, our restated certificate of incorporation provides that, unless we consent in writing to the selection of an alternative forum, the federal district courts of the United States of America shall, to the fullest extent permitted by law, be the sole and exclusive forum for the resolution of any claims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9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color w:val="auto"/>
        </w:rPr>
        <w:t>These exclusive forum provisions may limit the ability of our stockholders to bring a claim in a judicial forum that such stockholders find favorable for disputes with us or our directors, officers or employees, and increase the costs to such stockholders of bringing such a claim, either of which may discourage such lawsuits against us and our directors, officers and employees. If a court were to find that either exclusive forum provision contained in our restated certificate of incorporation to be inapplicable or unenforceable in an action, we may incur further significant additional costs associated with resolving such action in other jurisdictions, all of which could materially adversely affect our business, financial condition and operating results.</w:t>
      </w:r>
    </w:p>
    <w:p>
      <w:pPr>
        <w:sectPr>
          <w:pgSz w:w="12240" w:h="15840" w:orient="portrait"/>
          <w:cols w:equalWidth="0" w:num="1">
            <w:col w:w="10200"/>
          </w:cols>
          <w:pgMar w:left="1020" w:top="1330" w:right="1020" w:bottom="574" w:gutter="0" w:footer="0" w:header="0"/>
        </w:sectPr>
      </w:pP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95</w:t>
      </w:r>
    </w:p>
    <w:p>
      <w:pPr>
        <w:sectPr>
          <w:pgSz w:w="12240" w:h="15840" w:orient="portrait"/>
          <w:cols w:equalWidth="0" w:num="1">
            <w:col w:w="10200"/>
          </w:cols>
          <w:pgMar w:left="1020" w:top="1330" w:right="1020" w:bottom="574"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19"/>
          <w:szCs w:val="19"/>
          <w:b w:val="1"/>
          <w:bCs w:val="1"/>
          <w:color w:val="auto"/>
        </w:rPr>
        <w:t>Item 1B. Unresolved Staff Comments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None.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1C. Cybersecurity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Cybersecurity Risk Management and Strategy</w:t>
      </w:r>
    </w:p>
    <w:p>
      <w:pPr>
        <w:spacing w:after="0" w:line="23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color w:val="auto"/>
        </w:rPr>
        <w:t>We have established processes for assessing, identifying and managing cybersecurity risks, which are built into our overall information technology, or IT, function. These processes are designed to help protect our operations and information assets from unauthorized access or attack, as well as secure our networks and information systems. Such processes include technical, procedural, and organizational safeguards, including, without limitation: detection and response platforms on all endpoints within the organization; various additional security tools designed to help protect, identify, escalate, investigate, resolve and recover from security incidents in a timely manner; monitoring and regular testing of our data controls and provenance for vulnerabilities; incident simulations; incident response plans; employee training, including bimonthly phishing simulations to provide “experiential learning” on how to recognize phishing attempts; integrated and easily accessible mechanisms available to all employees that encourage proactive reporting of any perceived or actual vulnerabilities across the organization; and routine review of our policies and procedures to identify risks and refine our practices.</w:t>
      </w:r>
    </w:p>
    <w:p>
      <w:pPr>
        <w:spacing w:after="0" w:line="19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As part of these processes, we engage a third-party penetration testing firm to conduct annual penetration testing from both internal and external perspectives to identify and mitigate potential vulnerabilities. We also consider the internal risk oversight programs of third-party service providers, and our IT department uses an audit review process to evaluate the internal controls of third-party vendors who will have access to personally identifiable information or our confidential financial data.</w:t>
      </w:r>
    </w:p>
    <w:p>
      <w:pPr>
        <w:spacing w:after="0" w:line="182"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9"/>
          <w:szCs w:val="19"/>
          <w:color w:val="auto"/>
        </w:rPr>
        <w:t>We do not believe there are currently any known risks from cybersecurity threats, including as a result of any previous cybersecurity incident of which we are aware, that are reasonably likely to materially affect our business strategy, results of operations or financial condition. For more information regarding cybersecurity risks and the potential related impacts on our Company, please see the risk factor beginning with the caption “</w:t>
      </w:r>
      <w:r>
        <w:rPr>
          <w:rFonts w:ascii="Times New Roman" w:cs="Times New Roman" w:eastAsia="Times New Roman" w:hAnsi="Times New Roman"/>
          <w:sz w:val="19"/>
          <w:szCs w:val="19"/>
          <w:i w:val="1"/>
          <w:iCs w:val="1"/>
          <w:color w:val="auto"/>
        </w:rPr>
        <w:t>We depend on our information technology systems and those of our third-party service providers,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and any failure of these systems could harm our business</w:t>
      </w:r>
      <w:r>
        <w:rPr>
          <w:rFonts w:ascii="Times New Roman" w:cs="Times New Roman" w:eastAsia="Times New Roman" w:hAnsi="Times New Roman"/>
          <w:sz w:val="19"/>
          <w:szCs w:val="19"/>
          <w:color w:val="auto"/>
        </w:rPr>
        <w:t>” in Part I, Item 1A. “Risk Factors” in this Annual Report on Form 10-K.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Governance</w:t>
      </w:r>
    </w:p>
    <w:p>
      <w:pPr>
        <w:spacing w:after="0" w:line="23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color w:val="auto"/>
        </w:rPr>
        <w:t>Our board of directors is responsible for monitoring and assessing strategic risk exposures, including reviewing our policies and practices with respect to risk assessment and risk management. The audit committee of our board of directors assists the board of directors with this responsibility by discussing our risk assessment and risk management policies, including the guidelines and policies that govern the process by which we manage our exposure to cybersecurity risks, with members of management on a periodic basis, and the audit committee is notified between such updates regarding significant new cybersecurity threats or incidents. The audit committee, in turn, periodically reports on its review to the board of directors.</w:t>
      </w:r>
    </w:p>
    <w:p>
      <w:pPr>
        <w:spacing w:after="0" w:line="18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Management is responsible for the day-to-day assessment and management of cybersecurity risks. Our chief information officer, or CIO, has primary oversight of material risks from cybersecurity threats and leads the operational oversight of company-wide cybersecurity strategy, policy, standards and processes, including through his management of, and participation in, the cybersecurity risk management and strategy processes described above, and his oversight of our incident response plans and escalation procedures described below. Our CIO reports to our chief financial and operating officer and is an experienced information technology leader with over 25 years of expertise in cybersecurity defense, both in academic and corporate environments. This experience includes, but is not limited to, data defense, perimeter and infrastructure defense, corporate risk awareness, compliance adherence, and cybersecurity training and leadership.</w:t>
      </w:r>
    </w:p>
    <w:p>
      <w:pPr>
        <w:spacing w:after="0" w:line="19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We have also established a cross-functional information security counsel, or ISC, led by our CIO, that brings together representatives from across the organization, including from our IT, finance, clinical, human resources, research and development, program leadership, facilities, and legal functions, that is responsible for reviewing, responding, mitigating and reporting all cybersecurity incidents. The ISC meets quarterly and on an ad hoc basis, as necessary. In the event of a cybersecurity incident, our ISC is promptly convened and follows a standardized review and mitigation process and incident response plan, which includes escalation to our data protection committee, or DPC. Our DPC is composed of our CIO and our chief legal officer and is responsible for assessing, among other factors, the actual or potential operational, business, financial, legal or reputational impact of a cybersecurity incident on us. The DPC is also responsible for notifying the audit committee of the board of directors in the event of a significant cybersecurity threat or incident.</w:t>
      </w:r>
    </w:p>
    <w:p>
      <w:pPr>
        <w:sectPr>
          <w:pgSz w:w="12240" w:h="15840" w:orient="portrait"/>
          <w:cols w:equalWidth="0" w:num="1">
            <w:col w:w="10200"/>
          </w:cols>
          <w:pgMar w:left="1020" w:top="1335" w:right="102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96</w:t>
      </w:r>
    </w:p>
    <w:p>
      <w:pPr>
        <w:sectPr>
          <w:pgSz w:w="12240" w:h="15840" w:orient="portrait"/>
          <w:cols w:equalWidth="0" w:num="1">
            <w:col w:w="10200"/>
          </w:cols>
          <w:pgMar w:left="1020" w:top="1335" w:right="1020" w:bottom="574"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19"/>
          <w:szCs w:val="19"/>
          <w:b w:val="1"/>
          <w:bCs w:val="1"/>
          <w:color w:val="auto"/>
        </w:rPr>
        <w:t>Item 2. Properties</w:t>
      </w:r>
    </w:p>
    <w:p>
      <w:pPr>
        <w:spacing w:after="0" w:line="20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We occupy approximately 28,000 square feet of office and laboratory space in Waltham, Massachusetts under a lease that expires in March 2030 with an option to renew for an additional five years. We believe that our facilities are sufficient to meet our current needs and that suitable additional space will be available as and when needed.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3. Legal Proceedings</w:t>
      </w:r>
    </w:p>
    <w:p>
      <w:pPr>
        <w:spacing w:after="0" w:line="20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9"/>
          <w:szCs w:val="19"/>
          <w:color w:val="auto"/>
        </w:rPr>
        <w:t>From time to time, we may become involved in legal proceedings arising in the ordinary course of our business. We are currently not a party to any material legal proceedings.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4. Mine Safety Disclosures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Not applicable.</w:t>
      </w:r>
    </w:p>
    <w:p>
      <w:pPr>
        <w:sectPr>
          <w:pgSz w:w="12240" w:h="15840" w:orient="portrait"/>
          <w:cols w:equalWidth="0" w:num="1">
            <w:col w:w="10200"/>
          </w:cols>
          <w:pgMar w:left="1020" w:top="1335" w:right="102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97</w:t>
      </w:r>
    </w:p>
    <w:p>
      <w:pPr>
        <w:sectPr>
          <w:pgSz w:w="12240" w:h="15840" w:orient="portrait"/>
          <w:cols w:equalWidth="0" w:num="1">
            <w:col w:w="10200"/>
          </w:cols>
          <w:pgMar w:left="1020" w:top="1335" w:right="1020" w:bottom="574" w:gutter="0" w:footer="0" w:header="0"/>
          <w:type w:val="continuous"/>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9"/>
          <w:szCs w:val="19"/>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5. Market for Registrant’s Common Equity, Related Stockholder Matters and Issuer Purchases of Equity Securities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Market Information</w:t>
      </w:r>
    </w:p>
    <w:p>
      <w:pPr>
        <w:spacing w:after="0" w:line="23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Our common stock is traded on the Nasdaq Capital Market under the symbol “XLO.” Trading of our common stock commenced on October 22, 2021, following the completion of our initial public offering. Prior to that date, there was no public market for our common stock.</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Holders</w:t>
      </w:r>
    </w:p>
    <w:p>
      <w:pPr>
        <w:spacing w:after="0" w:line="23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9"/>
          <w:szCs w:val="19"/>
          <w:color w:val="auto"/>
        </w:rPr>
        <w:t>As of March 16, 2026, there were 23 holders of record of our common stock. This number does not include beneficial owners whose shares are held in street name.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Dividend Policy</w:t>
      </w:r>
    </w:p>
    <w:p>
      <w:pPr>
        <w:spacing w:after="0" w:line="23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We have never paid cash dividends and we do not anticipate paying any cash dividends on our shares of common stock in the foreseeable future. We intend to retain any future earnings for reinvestment in our business. Any future determination to pay cash dividends will be at the discretion of our board of directors, and will be dependent upon our financial condition, results of operations, capital requirements and such other factors as our board of directors deems relevant.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6. [Reserved]</w:t>
      </w:r>
    </w:p>
    <w:p>
      <w:pPr>
        <w:sectPr>
          <w:pgSz w:w="12240" w:h="15840" w:orient="portrait"/>
          <w:cols w:equalWidth="0" w:num="1">
            <w:col w:w="10200"/>
          </w:cols>
          <w:pgMar w:left="1020" w:top="1335" w:right="102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98</w:t>
      </w:r>
    </w:p>
    <w:p>
      <w:pPr>
        <w:sectPr>
          <w:pgSz w:w="12240" w:h="15840" w:orient="portrait"/>
          <w:cols w:equalWidth="0" w:num="1">
            <w:col w:w="10200"/>
          </w:cols>
          <w:pgMar w:left="1020" w:top="1335" w:right="1020" w:bottom="574"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19"/>
          <w:szCs w:val="19"/>
          <w:b w:val="1"/>
          <w:bCs w:val="1"/>
          <w:color w:val="auto"/>
        </w:rPr>
        <w:t>Item 7. Management’s Discussion and Analysis of Financial Condition and Results of Operations</w:t>
      </w:r>
    </w:p>
    <w:p>
      <w:pPr>
        <w:spacing w:after="0" w:line="20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9"/>
          <w:szCs w:val="19"/>
          <w:i w:val="1"/>
          <w:iCs w:val="1"/>
          <w:color w:val="auto"/>
        </w:rPr>
        <w:t>The following discussion and analysis is meant to provide material information relevant to an assessment of the financial condition and results of operations of our company, including an evaluation of the amounts and uncertainties of cash flows from operations and from outside resources, so as to allow investors to better view our company from management’s perspective. You should read the following discussion and analysis of our financial condition and results of operations together with our consolidated financial statements and related notes appearing elsewhere in this Annual Report on Form 10-K for the year ended December 31, 2025.</w:t>
      </w:r>
    </w:p>
    <w:p>
      <w:pPr>
        <w:spacing w:after="0" w:line="11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9"/>
          <w:szCs w:val="19"/>
          <w:i w:val="1"/>
          <w:iCs w:val="1"/>
          <w:color w:val="auto"/>
        </w:rPr>
        <w:t>Some of the information contained in this discussion and analysis or set forth elsewhere in this Annual Report on Form 10-K includes forward-looking statements that involve risks and uncertainties. As a result of many factors, including those factors set forth in the section entitled “Risk Factors” in Part I, Item 1A of this Annual Report on Form 10-K, our actual results could differ materially from the results described in or implied by the forward-looking statements contained in the following discussion and analysis. You should carefully read the section entitled “Risk Factors” in Part I, Item 1A of this Annual Report on Form 10-K to gain an understanding of the important factors that could cause actual results to differ materially from our forward-looking statements.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Overview</w:t>
      </w:r>
    </w:p>
    <w:p>
      <w:pPr>
        <w:spacing w:after="0" w:line="20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We are a clinical-stage biotechnology company discovering and developing masked immuno-oncology, or I-O, therapies with the goal of significantly improving outcomes for people living with cancer. Leveraging our clinically-validated masking technology and capabilities, we are developing I-O therapies designed to selectively activate within the tumor microenvironment to achieve durable efficacy without the severe side effects associated with systemically active I-O agents. Our integrated biology and protein engineering approach enables us to design and develop highly potent, masked biologics that are activated, or unmasked, by tumor-specific proteases within the tumor microenvironment. We are currently advancing multiple programs in preclinical and clinical development, including masked multi-specifics, and our clinically-validated masking technology has enabled us to establish top-tier strategic partnerships, including with AbbVie Group Holdings Limited, or AbbVie, and Gilead Sciences, Inc., or Gilead.</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Recent Events</w:t>
      </w:r>
    </w:p>
    <w:p>
      <w:pPr>
        <w:spacing w:after="0" w:line="9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On March 12, 2026, we filed a certificate of amendment to our restated certificate of incorporation to effect 1-for-14 reverse stock split of our issued and outstanding shares of common stock, without any change to par value, which became effective at 5:00 P.M. Eastern Time on March 13, 2026. Unless otherwise indicated, all share amounts and per share amounts of our common stock have been adjusted retroactively in this Annual Report on Form 10-K to give effect to the reverse stock split for all periods presented.</w:t>
      </w:r>
    </w:p>
    <w:p>
      <w:pPr>
        <w:spacing w:after="0" w:line="18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9"/>
          <w:szCs w:val="19"/>
          <w:color w:val="auto"/>
        </w:rPr>
        <w:t xml:space="preserve">In February 2026, we received net proceeds of approximately $37.3 million, after deducting underwriting discounts and commissions and estimated offering expenses payable by us, upon the closing of a follow-on offering of prefunded warrants. In connection with the offering, we issued prefunded warrants to purchase 5,341,404 </w:t>
      </w:r>
      <w:r>
        <w:rPr>
          <w:rFonts w:ascii="Times New Roman" w:cs="Times New Roman" w:eastAsia="Times New Roman" w:hAnsi="Times New Roman"/>
          <w:sz w:val="18"/>
          <w:szCs w:val="18"/>
          <w:color w:val="auto"/>
        </w:rPr>
        <w:t>shares of our common stock. Each prefunded warrant is exercisable for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8"/>
          <w:szCs w:val="18"/>
          <w:color w:val="auto"/>
        </w:rPr>
        <w:t>one share of our common stock. The purchase price of each warrant was $7.4886. Each prefunded warrant has an exercise price of $0.0014 per share and will be exercisable from the date of issuance until fully exercised, subject to a beneficial ownership limitation for each holder.</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Liquidity Overview</w:t>
      </w:r>
    </w:p>
    <w:p>
      <w:pPr>
        <w:spacing w:after="0" w:line="2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color w:val="auto"/>
        </w:rPr>
        <w:t>To date, we have financed our operations primarily from proceeds raised through private placements of equity securities; sales of common stock in our initial public offering, or IPO, and through “at-the-market” offerings; the sale of prefunded warrants in our June 2025 and February 2026 follow-on offerings; the exercise of certain common stock warrants issued in connection with our June 2025 follow-on offering; development event payments under our co-funded clinical trial collaboration with F. Hoffmann-La Roche Ltd., or Roche; and upfront and milestone payments under our collaboration and license agreements with AbbVie and Gilead. All of our programs are in early clinical or preclinical development. As a result, we have not generated any revenue from product sales and do not expect to generate any revenue from product sales for at least the next several years, if at all. Our ability to generate product revenue sufficient to achieve profitability will depend heavily on the successful development and eventual commercialization of one or more of our product candidates, if approved. Because of the numerous risks and uncertainties associated with product development, we are unable to predict the timing or amount of increased expenses or when or if we will be able to achieve profitability. Even if we are able to generate revenue from product sales, we may not become profitable.</w:t>
      </w:r>
    </w:p>
    <w:p>
      <w:pPr>
        <w:spacing w:after="0" w:line="80" w:lineRule="exact"/>
        <w:rPr>
          <w:sz w:val="20"/>
          <w:szCs w:val="20"/>
          <w:color w:val="auto"/>
        </w:rPr>
      </w:pPr>
    </w:p>
    <w:p>
      <w:pPr>
        <w:ind w:right="320"/>
        <w:spacing w:after="0" w:line="265" w:lineRule="auto"/>
        <w:rPr>
          <w:sz w:val="20"/>
          <w:szCs w:val="20"/>
          <w:color w:val="auto"/>
        </w:rPr>
      </w:pPr>
      <w:r>
        <w:rPr>
          <w:rFonts w:ascii="Times New Roman" w:cs="Times New Roman" w:eastAsia="Times New Roman" w:hAnsi="Times New Roman"/>
          <w:sz w:val="18"/>
          <w:szCs w:val="18"/>
          <w:color w:val="auto"/>
        </w:rPr>
        <w:t>In June 2025, we closed a follow-on offering of prefunded warrants and accompanying common stock warrants and received net proceeds of $47.0 million. In connection with the offering, we issued prefunded warrants to purchase 4,762,533 shares of common stock, accompanied by Series A warrants to purchase 4,762,533 shares of common stock (or, in certain circumstances, prefunded warrants), Series B warrants to purchase 4,762,533 shares of common stock (or, in certain circumstances, prefunded warrants) and Series C warrants to purchase 4,762,533 shares of common stock (or, in certain circumstances, prefunded warrants). Through</w:t>
      </w:r>
    </w:p>
    <w:p>
      <w:pPr>
        <w:sectPr>
          <w:pgSz w:w="12240" w:h="15840" w:orient="portrait"/>
          <w:cols w:equalWidth="0" w:num="1">
            <w:col w:w="10200"/>
          </w:cols>
          <w:pgMar w:left="1020" w:top="1335" w:right="1020" w:bottom="574" w:gutter="0" w:footer="0" w:header="0"/>
        </w:sect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99</w:t>
      </w:r>
    </w:p>
    <w:p>
      <w:pPr>
        <w:sectPr>
          <w:pgSz w:w="12240" w:h="15840" w:orient="portrait"/>
          <w:cols w:equalWidth="0" w:num="1">
            <w:col w:w="10200"/>
          </w:cols>
          <w:pgMar w:left="1020" w:top="1335" w:right="1020" w:bottom="574" w:gutter="0" w:footer="0" w:header="0"/>
          <w:type w:val="continuous"/>
        </w:sectPr>
      </w:pPr>
    </w:p>
    <w:bookmarkStart w:id="102" w:name="page103"/>
    <w:bookmarkEnd w:id="102"/>
    <w:p>
      <w:pPr>
        <w:ind w:right="20"/>
        <w:spacing w:after="0" w:line="243" w:lineRule="auto"/>
        <w:rPr>
          <w:sz w:val="20"/>
          <w:szCs w:val="20"/>
          <w:color w:val="auto"/>
        </w:rPr>
      </w:pPr>
      <w:r>
        <w:rPr>
          <w:rFonts w:ascii="Times New Roman" w:cs="Times New Roman" w:eastAsia="Times New Roman" w:hAnsi="Times New Roman"/>
          <w:sz w:val="19"/>
          <w:szCs w:val="19"/>
          <w:color w:val="auto"/>
        </w:rPr>
        <w:t>December 31, 2025, 3,443,388 of the Series B warrants were exercised for 1,008,415 shares of common stock and 2,434,973 prefunded warrants in lieu of shares of common stock. We received approximately $35.8 million in total gross proceeds from the exercise of the Series B warrants, before deducting underwriting discounts and commissions and any offering expenses. An aggregate of 3,443,388 Series C warrants, which are exercisable between June 1, 2026 and December 2, 2026, remain outstanding and 1,319,145 Series C warrants expired on December 31, 2025 according to their terms in connection with the expiration of unexercised Series B warrants. If all of the outstanding Series C warrants are exercised for cash at their current exercise price of $10.50 per warrant, we would receive up to $36.2 million in additional total gross proceeds in the second half of 2026, before deducting underwriting discounts and commissions and any offering expenses.</w:t>
      </w:r>
    </w:p>
    <w:p>
      <w:pPr>
        <w:spacing w:after="0" w:line="19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Since inception, we have incurred significant operating losses, including net losses of $35.0 million and $58.2 million for years ended December 31, 2025 and 2024, respectively. As of December 31, 2025, we had an accumulated deficit of $418.8 million. We expect to continue to incur significant expenses and operating losses for the foreseeable future, particularly to the extent we:</w:t>
      </w:r>
    </w:p>
    <w:p>
      <w:pPr>
        <w:spacing w:after="0" w:line="190" w:lineRule="exact"/>
        <w:rPr>
          <w:sz w:val="20"/>
          <w:szCs w:val="20"/>
          <w:color w:val="auto"/>
        </w:rPr>
      </w:pPr>
    </w:p>
    <w:p>
      <w:pPr>
        <w:ind w:left="920" w:hanging="458"/>
        <w:spacing w:after="0"/>
        <w:tabs>
          <w:tab w:leader="none" w:pos="920" w:val="left"/>
        </w:tabs>
        <w:numPr>
          <w:ilvl w:val="0"/>
          <w:numId w:val="61"/>
        </w:numPr>
        <w:rPr>
          <w:rFonts w:ascii="Arial" w:cs="Arial" w:eastAsia="Arial" w:hAnsi="Arial"/>
          <w:sz w:val="19"/>
          <w:szCs w:val="19"/>
          <w:color w:val="auto"/>
        </w:rPr>
      </w:pPr>
      <w:r>
        <w:rPr>
          <w:rFonts w:ascii="Times New Roman" w:cs="Times New Roman" w:eastAsia="Times New Roman" w:hAnsi="Times New Roman"/>
          <w:sz w:val="19"/>
          <w:szCs w:val="19"/>
          <w:color w:val="auto"/>
        </w:rPr>
        <w:t>continue to advance our current research programs and conduct additional research programs;</w:t>
      </w:r>
    </w:p>
    <w:p>
      <w:pPr>
        <w:spacing w:after="0" w:line="238"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61"/>
        </w:numPr>
        <w:rPr>
          <w:rFonts w:ascii="Arial" w:cs="Arial" w:eastAsia="Arial" w:hAnsi="Arial"/>
          <w:sz w:val="19"/>
          <w:szCs w:val="19"/>
          <w:color w:val="auto"/>
        </w:rPr>
      </w:pPr>
      <w:r>
        <w:rPr>
          <w:rFonts w:ascii="Times New Roman" w:cs="Times New Roman" w:eastAsia="Times New Roman" w:hAnsi="Times New Roman"/>
          <w:sz w:val="19"/>
          <w:szCs w:val="19"/>
          <w:color w:val="auto"/>
        </w:rPr>
        <w:t>advance our current product candidates and any future product candidates we may develop into preclinical and clinical development;</w:t>
      </w:r>
    </w:p>
    <w:p>
      <w:pPr>
        <w:spacing w:after="0" w:line="174" w:lineRule="exact"/>
        <w:rPr>
          <w:rFonts w:ascii="Arial" w:cs="Arial" w:eastAsia="Arial" w:hAnsi="Arial"/>
          <w:sz w:val="19"/>
          <w:szCs w:val="19"/>
          <w:color w:val="auto"/>
        </w:rPr>
      </w:pPr>
    </w:p>
    <w:p>
      <w:pPr>
        <w:ind w:left="920" w:hanging="458"/>
        <w:spacing w:after="0"/>
        <w:tabs>
          <w:tab w:leader="none" w:pos="920" w:val="left"/>
        </w:tabs>
        <w:numPr>
          <w:ilvl w:val="0"/>
          <w:numId w:val="61"/>
        </w:numPr>
        <w:rPr>
          <w:rFonts w:ascii="Arial" w:cs="Arial" w:eastAsia="Arial" w:hAnsi="Arial"/>
          <w:sz w:val="19"/>
          <w:szCs w:val="19"/>
          <w:color w:val="auto"/>
        </w:rPr>
      </w:pPr>
      <w:r>
        <w:rPr>
          <w:rFonts w:ascii="Times New Roman" w:cs="Times New Roman" w:eastAsia="Times New Roman" w:hAnsi="Times New Roman"/>
          <w:sz w:val="19"/>
          <w:szCs w:val="19"/>
          <w:color w:val="auto"/>
        </w:rPr>
        <w:t>seek marketing approvals for product candidates that successfully complete clinical trials, if any;</w:t>
      </w:r>
    </w:p>
    <w:p>
      <w:pPr>
        <w:spacing w:after="0" w:line="238" w:lineRule="exact"/>
        <w:rPr>
          <w:rFonts w:ascii="Arial" w:cs="Arial" w:eastAsia="Arial" w:hAnsi="Arial"/>
          <w:sz w:val="19"/>
          <w:szCs w:val="19"/>
          <w:color w:val="auto"/>
        </w:rPr>
      </w:pPr>
    </w:p>
    <w:p>
      <w:pPr>
        <w:ind w:left="920" w:hanging="458"/>
        <w:spacing w:after="0"/>
        <w:tabs>
          <w:tab w:leader="none" w:pos="920" w:val="left"/>
        </w:tabs>
        <w:numPr>
          <w:ilvl w:val="0"/>
          <w:numId w:val="61"/>
        </w:numPr>
        <w:rPr>
          <w:rFonts w:ascii="Arial" w:cs="Arial" w:eastAsia="Arial" w:hAnsi="Arial"/>
          <w:sz w:val="19"/>
          <w:szCs w:val="19"/>
          <w:color w:val="auto"/>
        </w:rPr>
      </w:pPr>
      <w:r>
        <w:rPr>
          <w:rFonts w:ascii="Times New Roman" w:cs="Times New Roman" w:eastAsia="Times New Roman" w:hAnsi="Times New Roman"/>
          <w:sz w:val="19"/>
          <w:szCs w:val="19"/>
          <w:color w:val="auto"/>
        </w:rPr>
        <w:t>obtain, expand, maintain, defend and enforce our intellectual property;</w:t>
      </w:r>
    </w:p>
    <w:p>
      <w:pPr>
        <w:spacing w:after="0" w:line="238" w:lineRule="exact"/>
        <w:rPr>
          <w:rFonts w:ascii="Arial" w:cs="Arial" w:eastAsia="Arial" w:hAnsi="Arial"/>
          <w:sz w:val="19"/>
          <w:szCs w:val="19"/>
          <w:color w:val="auto"/>
        </w:rPr>
      </w:pPr>
    </w:p>
    <w:p>
      <w:pPr>
        <w:ind w:left="920" w:hanging="458"/>
        <w:spacing w:after="0"/>
        <w:tabs>
          <w:tab w:leader="none" w:pos="920" w:val="left"/>
        </w:tabs>
        <w:numPr>
          <w:ilvl w:val="0"/>
          <w:numId w:val="61"/>
        </w:numPr>
        <w:rPr>
          <w:rFonts w:ascii="Arial" w:cs="Arial" w:eastAsia="Arial" w:hAnsi="Arial"/>
          <w:sz w:val="19"/>
          <w:szCs w:val="19"/>
          <w:color w:val="auto"/>
        </w:rPr>
      </w:pPr>
      <w:r>
        <w:rPr>
          <w:rFonts w:ascii="Times New Roman" w:cs="Times New Roman" w:eastAsia="Times New Roman" w:hAnsi="Times New Roman"/>
          <w:sz w:val="19"/>
          <w:szCs w:val="19"/>
          <w:color w:val="auto"/>
        </w:rPr>
        <w:t>continue to discover, validate and develop additional product candidates;</w:t>
      </w:r>
    </w:p>
    <w:p>
      <w:pPr>
        <w:spacing w:after="0" w:line="238"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61"/>
        </w:numPr>
        <w:rPr>
          <w:rFonts w:ascii="Arial" w:cs="Arial" w:eastAsia="Arial" w:hAnsi="Arial"/>
          <w:sz w:val="19"/>
          <w:szCs w:val="19"/>
          <w:color w:val="auto"/>
        </w:rPr>
      </w:pPr>
      <w:r>
        <w:rPr>
          <w:rFonts w:ascii="Times New Roman" w:cs="Times New Roman" w:eastAsia="Times New Roman" w:hAnsi="Times New Roman"/>
          <w:sz w:val="19"/>
          <w:szCs w:val="19"/>
          <w:color w:val="auto"/>
        </w:rPr>
        <w:t>continue to manufacture increasing quantities of our current or future product candidates for use in preclinical studies, clinical trials and for any potential commercialization;</w:t>
      </w:r>
    </w:p>
    <w:p>
      <w:pPr>
        <w:spacing w:after="0" w:line="174" w:lineRule="exact"/>
        <w:rPr>
          <w:rFonts w:ascii="Arial" w:cs="Arial" w:eastAsia="Arial" w:hAnsi="Arial"/>
          <w:sz w:val="19"/>
          <w:szCs w:val="19"/>
          <w:color w:val="auto"/>
        </w:rPr>
      </w:pPr>
    </w:p>
    <w:p>
      <w:pPr>
        <w:ind w:left="920" w:hanging="458"/>
        <w:spacing w:after="0"/>
        <w:tabs>
          <w:tab w:leader="none" w:pos="920" w:val="left"/>
        </w:tabs>
        <w:numPr>
          <w:ilvl w:val="0"/>
          <w:numId w:val="61"/>
        </w:numPr>
        <w:rPr>
          <w:rFonts w:ascii="Arial" w:cs="Arial" w:eastAsia="Arial" w:hAnsi="Arial"/>
          <w:sz w:val="19"/>
          <w:szCs w:val="19"/>
          <w:color w:val="auto"/>
        </w:rPr>
      </w:pPr>
      <w:r>
        <w:rPr>
          <w:rFonts w:ascii="Times New Roman" w:cs="Times New Roman" w:eastAsia="Times New Roman" w:hAnsi="Times New Roman"/>
          <w:sz w:val="19"/>
          <w:szCs w:val="19"/>
          <w:color w:val="auto"/>
        </w:rPr>
        <w:t>acquire or in-license other product candidates, technologies or intellectual property;</w:t>
      </w:r>
    </w:p>
    <w:p>
      <w:pPr>
        <w:spacing w:after="0" w:line="238" w:lineRule="exact"/>
        <w:rPr>
          <w:rFonts w:ascii="Arial" w:cs="Arial" w:eastAsia="Arial" w:hAnsi="Arial"/>
          <w:sz w:val="19"/>
          <w:szCs w:val="19"/>
          <w:color w:val="auto"/>
        </w:rPr>
      </w:pPr>
    </w:p>
    <w:p>
      <w:pPr>
        <w:ind w:left="920" w:hanging="458"/>
        <w:spacing w:after="0"/>
        <w:tabs>
          <w:tab w:leader="none" w:pos="920" w:val="left"/>
        </w:tabs>
        <w:numPr>
          <w:ilvl w:val="0"/>
          <w:numId w:val="61"/>
        </w:numPr>
        <w:rPr>
          <w:rFonts w:ascii="Arial" w:cs="Arial" w:eastAsia="Arial" w:hAnsi="Arial"/>
          <w:sz w:val="19"/>
          <w:szCs w:val="19"/>
          <w:color w:val="auto"/>
        </w:rPr>
      </w:pPr>
      <w:r>
        <w:rPr>
          <w:rFonts w:ascii="Times New Roman" w:cs="Times New Roman" w:eastAsia="Times New Roman" w:hAnsi="Times New Roman"/>
          <w:sz w:val="19"/>
          <w:szCs w:val="19"/>
          <w:color w:val="auto"/>
        </w:rPr>
        <w:t>hire additional personnel to support current or future programs;</w:t>
      </w:r>
    </w:p>
    <w:p>
      <w:pPr>
        <w:spacing w:after="0" w:line="238"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61"/>
        </w:numPr>
        <w:rPr>
          <w:rFonts w:ascii="Arial" w:cs="Arial" w:eastAsia="Arial" w:hAnsi="Arial"/>
          <w:sz w:val="19"/>
          <w:szCs w:val="19"/>
          <w:color w:val="auto"/>
        </w:rPr>
      </w:pPr>
      <w:r>
        <w:rPr>
          <w:rFonts w:ascii="Times New Roman" w:cs="Times New Roman" w:eastAsia="Times New Roman" w:hAnsi="Times New Roman"/>
          <w:sz w:val="19"/>
          <w:szCs w:val="19"/>
          <w:color w:val="auto"/>
        </w:rPr>
        <w:t>establish a commercial and distribution infrastructure to commercialize products for which we may obtain marketing approval, if any; and</w:t>
      </w:r>
    </w:p>
    <w:p>
      <w:pPr>
        <w:spacing w:after="0" w:line="174"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61"/>
        </w:numPr>
        <w:rPr>
          <w:rFonts w:ascii="Arial" w:cs="Arial" w:eastAsia="Arial" w:hAnsi="Arial"/>
          <w:sz w:val="19"/>
          <w:szCs w:val="19"/>
          <w:color w:val="auto"/>
        </w:rPr>
      </w:pPr>
      <w:r>
        <w:rPr>
          <w:rFonts w:ascii="Times New Roman" w:cs="Times New Roman" w:eastAsia="Times New Roman" w:hAnsi="Times New Roman"/>
          <w:sz w:val="19"/>
          <w:szCs w:val="19"/>
          <w:color w:val="auto"/>
        </w:rPr>
        <w:t>incur additional costs associated with current and future research, development and commercialization efforts and operations as a public company.</w:t>
      </w:r>
    </w:p>
    <w:p>
      <w:pPr>
        <w:spacing w:after="0" w:line="16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As a result, we will need substantial additional capital to support our continuing operations and pursue our strategy. As of December 31, 2025, we had cash and cash equivalents of $137.5 million. In the first quarter of 2026, we received net proceeds of approximately $37.3 million, after deducting underwriting discounts and commissions and estimated offering expenses payable by us, upon the closing of a follow-on offering of prefunded warrants and a $5.0 million development milestone related to the collaboration agreement with AbbVie. Based on our current operating plans, we anticipate that our existing cash and cash equivalents will be sufficient to enable us to fund our operating expenses and capital expenditure requirements through the end of 2027. This estimate excludes any potential future milestone payments, option-related fees or other contingent payments under our existing collaboration and partnership agreements with AbbVie and Gilead and excludes the potential receipt of up to $36.2 million in additional gross proceeds in the second half of 2026 if all outstanding Series C warrants are exercised at their current exercise price.</w:t>
      </w:r>
    </w:p>
    <w:p>
      <w:pPr>
        <w:spacing w:after="0" w:line="19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In addition, we have based our estimates on assumptions that may prove to be wrong, and we could exhaust our available capital resources sooner than we anticipate. We expect our operating losses and negative operating cash flows to continue for the foreseeable future as we continue to advance our pipeline of novel, masked I-O molecules through preclinical and clinical development, maintain the infrastructure necessary to support these activities and continue to incur costs associated with operating as a public company.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Financial Operations Overview</w:t>
      </w:r>
    </w:p>
    <w:p>
      <w:pPr>
        <w:spacing w:after="0" w:line="2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i w:val="1"/>
          <w:iCs w:val="1"/>
          <w:color w:val="auto"/>
        </w:rPr>
        <w:t>Revenue</w:t>
      </w:r>
    </w:p>
    <w:p>
      <w:pPr>
        <w:spacing w:after="0" w:line="23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9"/>
          <w:szCs w:val="19"/>
          <w:color w:val="auto"/>
        </w:rPr>
        <w:t>We have not generated any revenue from the sale of products since inception and do not expect to generate any revenue from the sale of products for at least the next several years, if at all. If our development efforts for our current or future product candidates are</w:t>
      </w:r>
    </w:p>
    <w:p>
      <w:pPr>
        <w:sectPr>
          <w:pgSz w:w="12240" w:h="15840" w:orient="portrait"/>
          <w:cols w:equalWidth="0" w:num="1">
            <w:col w:w="10200"/>
          </w:cols>
          <w:pgMar w:left="1020" w:top="1317" w:right="1020" w:bottom="586" w:gutter="0" w:footer="0" w:header="0"/>
        </w:sect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ectPr>
          <w:pgSz w:w="12240" w:h="15840" w:orient="portrait"/>
          <w:cols w:equalWidth="0" w:num="1">
            <w:col w:w="10200"/>
          </w:cols>
          <w:pgMar w:left="1020" w:top="1317" w:right="1020" w:bottom="586" w:gutter="0" w:footer="0" w:header="0"/>
          <w:type w:val="continuous"/>
        </w:sectPr>
      </w:pPr>
    </w:p>
    <w:bookmarkStart w:id="103" w:name="page104"/>
    <w:bookmarkEnd w:id="103"/>
    <w:p>
      <w:pPr>
        <w:jc w:val="both"/>
        <w:spacing w:after="0" w:line="235" w:lineRule="auto"/>
        <w:rPr>
          <w:sz w:val="20"/>
          <w:szCs w:val="20"/>
          <w:color w:val="auto"/>
        </w:rPr>
      </w:pPr>
      <w:r>
        <w:rPr>
          <w:rFonts w:ascii="Times New Roman" w:cs="Times New Roman" w:eastAsia="Times New Roman" w:hAnsi="Times New Roman"/>
          <w:sz w:val="19"/>
          <w:szCs w:val="19"/>
          <w:color w:val="auto"/>
        </w:rPr>
        <w:t>successful and result in regulatory approval, we may generate revenue in the future from product sales. For the foreseeable future, we expect substantially all of our revenue, if any, would be generated from our collaboration and license agreements with AbbVie and Gilead. For more information on our collaboration, license and option agreement with AbbVie and our license agreement with Gilead, please see Note 6 to our consolidated financial statements included elsewhere in this Annual Report on Form 10-K.</w:t>
      </w:r>
    </w:p>
    <w:p>
      <w:pPr>
        <w:spacing w:after="0" w:line="2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i w:val="1"/>
          <w:iCs w:val="1"/>
          <w:color w:val="auto"/>
        </w:rPr>
        <w:t>Operating Expenses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i w:val="1"/>
          <w:iCs w:val="1"/>
          <w:color w:val="auto"/>
        </w:rPr>
        <w:t>Research and Development Expenses</w:t>
      </w:r>
    </w:p>
    <w:p>
      <w:pPr>
        <w:spacing w:after="0" w:line="26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9"/>
          <w:szCs w:val="19"/>
          <w:color w:val="auto"/>
        </w:rPr>
        <w:t>Research and development expenses consist primarily of costs incurred for our discovery efforts, research activities and development and testing of our programs and product candidates. These expenses include:</w:t>
      </w:r>
    </w:p>
    <w:p>
      <w:pPr>
        <w:spacing w:after="0" w:line="252" w:lineRule="exact"/>
        <w:rPr>
          <w:sz w:val="20"/>
          <w:szCs w:val="20"/>
          <w:color w:val="auto"/>
        </w:rPr>
      </w:pPr>
    </w:p>
    <w:p>
      <w:pPr>
        <w:ind w:left="920" w:hanging="458"/>
        <w:spacing w:after="0" w:line="232" w:lineRule="auto"/>
        <w:tabs>
          <w:tab w:leader="none" w:pos="920" w:val="left"/>
        </w:tabs>
        <w:numPr>
          <w:ilvl w:val="0"/>
          <w:numId w:val="62"/>
        </w:numPr>
        <w:rPr>
          <w:rFonts w:ascii="Arial" w:cs="Arial" w:eastAsia="Arial" w:hAnsi="Arial"/>
          <w:sz w:val="19"/>
          <w:szCs w:val="19"/>
          <w:color w:val="auto"/>
        </w:rPr>
      </w:pPr>
      <w:r>
        <w:rPr>
          <w:rFonts w:ascii="Times New Roman" w:cs="Times New Roman" w:eastAsia="Times New Roman" w:hAnsi="Times New Roman"/>
          <w:sz w:val="19"/>
          <w:szCs w:val="19"/>
          <w:color w:val="auto"/>
        </w:rPr>
        <w:t>personnel-related expenses, including salaries, bonuses, benefits and stock-based compensation expense for employees engaged in research and development functions;</w:t>
      </w:r>
    </w:p>
    <w:p>
      <w:pPr>
        <w:spacing w:after="0" w:line="251" w:lineRule="exact"/>
        <w:rPr>
          <w:rFonts w:ascii="Arial" w:cs="Arial" w:eastAsia="Arial" w:hAnsi="Arial"/>
          <w:sz w:val="19"/>
          <w:szCs w:val="19"/>
          <w:color w:val="auto"/>
        </w:rPr>
      </w:pPr>
    </w:p>
    <w:p>
      <w:pPr>
        <w:ind w:left="920" w:hanging="458"/>
        <w:spacing w:after="0" w:line="232" w:lineRule="auto"/>
        <w:tabs>
          <w:tab w:leader="none" w:pos="920" w:val="left"/>
        </w:tabs>
        <w:numPr>
          <w:ilvl w:val="0"/>
          <w:numId w:val="62"/>
        </w:numPr>
        <w:rPr>
          <w:rFonts w:ascii="Arial" w:cs="Arial" w:eastAsia="Arial" w:hAnsi="Arial"/>
          <w:sz w:val="19"/>
          <w:szCs w:val="19"/>
          <w:color w:val="auto"/>
        </w:rPr>
      </w:pPr>
      <w:r>
        <w:rPr>
          <w:rFonts w:ascii="Times New Roman" w:cs="Times New Roman" w:eastAsia="Times New Roman" w:hAnsi="Times New Roman"/>
          <w:sz w:val="19"/>
          <w:szCs w:val="19"/>
          <w:color w:val="auto"/>
        </w:rPr>
        <w:t>costs incurred with third-party contract development and manufacturing organizations, or CDMOs, to acquire, develop and manufacture materials for both preclinical studies and current or future clinical trials;</w:t>
      </w:r>
    </w:p>
    <w:p>
      <w:pPr>
        <w:spacing w:after="0" w:line="251" w:lineRule="exact"/>
        <w:rPr>
          <w:rFonts w:ascii="Arial" w:cs="Arial" w:eastAsia="Arial" w:hAnsi="Arial"/>
          <w:sz w:val="19"/>
          <w:szCs w:val="19"/>
          <w:color w:val="auto"/>
        </w:rPr>
      </w:pPr>
    </w:p>
    <w:p>
      <w:pPr>
        <w:ind w:left="920" w:hanging="458"/>
        <w:spacing w:after="0" w:line="232" w:lineRule="auto"/>
        <w:tabs>
          <w:tab w:leader="none" w:pos="920" w:val="left"/>
        </w:tabs>
        <w:numPr>
          <w:ilvl w:val="0"/>
          <w:numId w:val="62"/>
        </w:numPr>
        <w:rPr>
          <w:rFonts w:ascii="Arial" w:cs="Arial" w:eastAsia="Arial" w:hAnsi="Arial"/>
          <w:sz w:val="19"/>
          <w:szCs w:val="19"/>
          <w:color w:val="auto"/>
        </w:rPr>
      </w:pPr>
      <w:r>
        <w:rPr>
          <w:rFonts w:ascii="Times New Roman" w:cs="Times New Roman" w:eastAsia="Times New Roman" w:hAnsi="Times New Roman"/>
          <w:sz w:val="19"/>
          <w:szCs w:val="19"/>
          <w:color w:val="auto"/>
        </w:rPr>
        <w:t>costs of funding research performed by third parties that conduct research and development and preclinical activities on our behalf;</w:t>
      </w:r>
    </w:p>
    <w:p>
      <w:pPr>
        <w:spacing w:after="0" w:line="251" w:lineRule="exact"/>
        <w:rPr>
          <w:rFonts w:ascii="Arial" w:cs="Arial" w:eastAsia="Arial" w:hAnsi="Arial"/>
          <w:sz w:val="19"/>
          <w:szCs w:val="19"/>
          <w:color w:val="auto"/>
        </w:rPr>
      </w:pPr>
    </w:p>
    <w:p>
      <w:pPr>
        <w:ind w:left="920" w:hanging="458"/>
        <w:spacing w:after="0" w:line="232" w:lineRule="auto"/>
        <w:tabs>
          <w:tab w:leader="none" w:pos="920" w:val="left"/>
        </w:tabs>
        <w:numPr>
          <w:ilvl w:val="0"/>
          <w:numId w:val="62"/>
        </w:numPr>
        <w:rPr>
          <w:rFonts w:ascii="Arial" w:cs="Arial" w:eastAsia="Arial" w:hAnsi="Arial"/>
          <w:sz w:val="19"/>
          <w:szCs w:val="19"/>
          <w:color w:val="auto"/>
        </w:rPr>
      </w:pPr>
      <w:r>
        <w:rPr>
          <w:rFonts w:ascii="Times New Roman" w:cs="Times New Roman" w:eastAsia="Times New Roman" w:hAnsi="Times New Roman"/>
          <w:sz w:val="19"/>
          <w:szCs w:val="19"/>
          <w:color w:val="auto"/>
        </w:rPr>
        <w:t>costs incurred with third-party contract research organizations, or CROs, and other third parties in connection with the conduct of our current or future clinical trials;</w:t>
      </w:r>
    </w:p>
    <w:p>
      <w:pPr>
        <w:spacing w:after="0" w:line="238" w:lineRule="exact"/>
        <w:rPr>
          <w:rFonts w:ascii="Arial" w:cs="Arial" w:eastAsia="Arial" w:hAnsi="Arial"/>
          <w:sz w:val="19"/>
          <w:szCs w:val="19"/>
          <w:color w:val="auto"/>
        </w:rPr>
      </w:pPr>
    </w:p>
    <w:p>
      <w:pPr>
        <w:ind w:left="920" w:hanging="458"/>
        <w:spacing w:after="0"/>
        <w:tabs>
          <w:tab w:leader="none" w:pos="920" w:val="left"/>
        </w:tabs>
        <w:numPr>
          <w:ilvl w:val="0"/>
          <w:numId w:val="62"/>
        </w:numPr>
        <w:rPr>
          <w:rFonts w:ascii="Arial" w:cs="Arial" w:eastAsia="Arial" w:hAnsi="Arial"/>
          <w:sz w:val="19"/>
          <w:szCs w:val="19"/>
          <w:color w:val="auto"/>
        </w:rPr>
      </w:pPr>
      <w:r>
        <w:rPr>
          <w:rFonts w:ascii="Times New Roman" w:cs="Times New Roman" w:eastAsia="Times New Roman" w:hAnsi="Times New Roman"/>
          <w:sz w:val="19"/>
          <w:szCs w:val="19"/>
          <w:color w:val="auto"/>
        </w:rPr>
        <w:t>costs of sponsored research agreements and outside consultants, including their fees and related expenses;</w:t>
      </w:r>
    </w:p>
    <w:p>
      <w:pPr>
        <w:spacing w:after="0" w:line="238" w:lineRule="exact"/>
        <w:rPr>
          <w:rFonts w:ascii="Arial" w:cs="Arial" w:eastAsia="Arial" w:hAnsi="Arial"/>
          <w:sz w:val="19"/>
          <w:szCs w:val="19"/>
          <w:color w:val="auto"/>
        </w:rPr>
      </w:pPr>
    </w:p>
    <w:p>
      <w:pPr>
        <w:ind w:left="920" w:hanging="458"/>
        <w:spacing w:after="0"/>
        <w:tabs>
          <w:tab w:leader="none" w:pos="920" w:val="left"/>
        </w:tabs>
        <w:numPr>
          <w:ilvl w:val="0"/>
          <w:numId w:val="62"/>
        </w:numPr>
        <w:rPr>
          <w:rFonts w:ascii="Arial" w:cs="Arial" w:eastAsia="Arial" w:hAnsi="Arial"/>
          <w:sz w:val="19"/>
          <w:szCs w:val="19"/>
          <w:color w:val="auto"/>
        </w:rPr>
      </w:pPr>
      <w:r>
        <w:rPr>
          <w:rFonts w:ascii="Times New Roman" w:cs="Times New Roman" w:eastAsia="Times New Roman" w:hAnsi="Times New Roman"/>
          <w:sz w:val="19"/>
          <w:szCs w:val="19"/>
          <w:color w:val="auto"/>
        </w:rPr>
        <w:t>costs incurred to maintain compliance with regulatory requirements;</w:t>
      </w:r>
    </w:p>
    <w:p>
      <w:pPr>
        <w:spacing w:after="0" w:line="238" w:lineRule="exact"/>
        <w:rPr>
          <w:rFonts w:ascii="Arial" w:cs="Arial" w:eastAsia="Arial" w:hAnsi="Arial"/>
          <w:sz w:val="19"/>
          <w:szCs w:val="19"/>
          <w:color w:val="auto"/>
        </w:rPr>
      </w:pPr>
    </w:p>
    <w:p>
      <w:pPr>
        <w:ind w:left="920" w:hanging="458"/>
        <w:spacing w:after="0"/>
        <w:tabs>
          <w:tab w:leader="none" w:pos="920" w:val="left"/>
        </w:tabs>
        <w:numPr>
          <w:ilvl w:val="0"/>
          <w:numId w:val="62"/>
        </w:numPr>
        <w:rPr>
          <w:rFonts w:ascii="Arial" w:cs="Arial" w:eastAsia="Arial" w:hAnsi="Arial"/>
          <w:sz w:val="19"/>
          <w:szCs w:val="19"/>
          <w:color w:val="auto"/>
        </w:rPr>
      </w:pPr>
      <w:r>
        <w:rPr>
          <w:rFonts w:ascii="Times New Roman" w:cs="Times New Roman" w:eastAsia="Times New Roman" w:hAnsi="Times New Roman"/>
          <w:sz w:val="19"/>
          <w:szCs w:val="19"/>
          <w:color w:val="auto"/>
        </w:rPr>
        <w:t>fees for maintaining licenses and other amounts due under our third-party licensing agreements;</w:t>
      </w:r>
    </w:p>
    <w:p>
      <w:pPr>
        <w:spacing w:after="0" w:line="251" w:lineRule="exact"/>
        <w:rPr>
          <w:rFonts w:ascii="Arial" w:cs="Arial" w:eastAsia="Arial" w:hAnsi="Arial"/>
          <w:sz w:val="19"/>
          <w:szCs w:val="19"/>
          <w:color w:val="auto"/>
        </w:rPr>
      </w:pPr>
    </w:p>
    <w:p>
      <w:pPr>
        <w:ind w:left="920" w:hanging="458"/>
        <w:spacing w:after="0" w:line="232" w:lineRule="auto"/>
        <w:tabs>
          <w:tab w:leader="none" w:pos="920" w:val="left"/>
        </w:tabs>
        <w:numPr>
          <w:ilvl w:val="0"/>
          <w:numId w:val="62"/>
        </w:numPr>
        <w:rPr>
          <w:rFonts w:ascii="Arial" w:cs="Arial" w:eastAsia="Arial" w:hAnsi="Arial"/>
          <w:sz w:val="19"/>
          <w:szCs w:val="19"/>
          <w:color w:val="auto"/>
        </w:rPr>
      </w:pPr>
      <w:r>
        <w:rPr>
          <w:rFonts w:ascii="Times New Roman" w:cs="Times New Roman" w:eastAsia="Times New Roman" w:hAnsi="Times New Roman"/>
          <w:sz w:val="19"/>
          <w:szCs w:val="19"/>
          <w:color w:val="auto"/>
        </w:rPr>
        <w:t>expenses incurred for the procurement of materials, laboratory supplies and non-capital equipment used in the research and development process; and</w:t>
      </w:r>
    </w:p>
    <w:p>
      <w:pPr>
        <w:spacing w:after="0" w:line="251" w:lineRule="exact"/>
        <w:rPr>
          <w:rFonts w:ascii="Arial" w:cs="Arial" w:eastAsia="Arial" w:hAnsi="Arial"/>
          <w:sz w:val="19"/>
          <w:szCs w:val="19"/>
          <w:color w:val="auto"/>
        </w:rPr>
      </w:pPr>
    </w:p>
    <w:p>
      <w:pPr>
        <w:ind w:left="920" w:hanging="458"/>
        <w:spacing w:after="0" w:line="232" w:lineRule="auto"/>
        <w:tabs>
          <w:tab w:leader="none" w:pos="920" w:val="left"/>
        </w:tabs>
        <w:numPr>
          <w:ilvl w:val="0"/>
          <w:numId w:val="62"/>
        </w:numPr>
        <w:rPr>
          <w:rFonts w:ascii="Arial" w:cs="Arial" w:eastAsia="Arial" w:hAnsi="Arial"/>
          <w:sz w:val="19"/>
          <w:szCs w:val="19"/>
          <w:color w:val="auto"/>
        </w:rPr>
      </w:pPr>
      <w:r>
        <w:rPr>
          <w:rFonts w:ascii="Times New Roman" w:cs="Times New Roman" w:eastAsia="Times New Roman" w:hAnsi="Times New Roman"/>
          <w:sz w:val="19"/>
          <w:szCs w:val="19"/>
          <w:color w:val="auto"/>
        </w:rPr>
        <w:t>depreciation, amortization and other direct and allocated expenses, including rent, maintenance of facilities and other operating costs, incurred as a result of our research and development activities.</w:t>
      </w:r>
    </w:p>
    <w:p>
      <w:pPr>
        <w:spacing w:after="0" w:line="23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expense research and development costs as incurred. We recognize external development costs based on an evaluation of the progress to completion of specific deliverables using information provided to us by our vendors. Payments for these activities are based on the terms of the individual agreements, which may differ from the pattern of costs incurred, and are reflected in our consolidated balance sheets as prepaid expenses or accrued research and development expenses. We record cost-sharing payments under our clinical trial collaboration with Roche as a reduction of research and development costs upon the achievement of each study development event specified in the clinical supply agreement. Nonrefundable advance payments for goods or services to be received in the future for use in research and development activities are capitalized as assets, even when there is no alternative future use for the research and development. The capitalized amounts are expensed as the related goods are delivered or the services are performed.</w:t>
      </w:r>
    </w:p>
    <w:p>
      <w:pPr>
        <w:spacing w:after="0" w:line="23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We use our personnel and infrastructure resources for our discovery efforts, including the advancement of our platform technology, developing programs and product candidates and managing external research efforts. A significant portion of our research and development costs have been, and will continue to be, external costs. We track these external costs, such as fees paid to CDMOs, CROs, preclinical study vendors and other third parties in connection with our manufacturing and manufacturing process development, clinical trials, preclinical studies and other research activities by program. Due to the number of ongoing programs and our ability to use resources across several projects, personnel-related expenses and indirect or shared operating costs incurred for our research and development programs are not recorded or maintained on a program-by-program basis.</w:t>
      </w:r>
    </w:p>
    <w:p>
      <w:pPr>
        <w:spacing w:after="0" w:line="2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remain approximately the same or will continue to increase for the foreseeable future as we advance our programs and our current or future product candidates into and through the development phase. We expect our discovery research efforts and our related personnel costs to remain consistent with</w:t>
      </w:r>
    </w:p>
    <w:p>
      <w:pPr>
        <w:sectPr>
          <w:pgSz w:w="12240" w:h="15840" w:orient="portrait"/>
          <w:cols w:equalWidth="0" w:num="1">
            <w:col w:w="10200"/>
          </w:cols>
          <w:pgMar w:left="1020" w:top="1347" w:right="1020" w:bottom="556" w:gutter="0" w:footer="0" w:header="0"/>
        </w:sect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ectPr>
          <w:pgSz w:w="12240" w:h="15840" w:orient="portrait"/>
          <w:cols w:equalWidth="0" w:num="1">
            <w:col w:w="10200"/>
          </w:cols>
          <w:pgMar w:left="1020" w:top="1347" w:right="1020" w:bottom="556" w:gutter="0" w:footer="0" w:header="0"/>
          <w:type w:val="continuous"/>
        </w:sectPr>
      </w:pPr>
    </w:p>
    <w:bookmarkStart w:id="104" w:name="page105"/>
    <w:bookmarkEnd w:id="104"/>
    <w:p>
      <w:pPr>
        <w:jc w:val="both"/>
        <w:spacing w:after="0" w:line="236" w:lineRule="auto"/>
        <w:rPr>
          <w:sz w:val="20"/>
          <w:szCs w:val="20"/>
          <w:color w:val="auto"/>
        </w:rPr>
      </w:pPr>
      <w:r>
        <w:rPr>
          <w:rFonts w:ascii="Times New Roman" w:cs="Times New Roman" w:eastAsia="Times New Roman" w:hAnsi="Times New Roman"/>
          <w:sz w:val="19"/>
          <w:szCs w:val="19"/>
          <w:color w:val="auto"/>
        </w:rPr>
        <w:t>historical levels. In addition, as we progress our most advanced product candidates in clinical development, we may incur additional expenses related to milestone and royalty payments payable to third parties with whom we have entered into, or may enter into license, acquisition, option or other agreements to acquire the rights to future products and product candidates. In the event we are unable to raise sufficient additional capital to fund our operations in the future, we may need to implement cost reduction strategies that seek to maintain our ability to continue the development of our most advanced product candidates in clinical development while otherwise reducing our overall research and development expenses.</w:t>
      </w:r>
    </w:p>
    <w:p>
      <w:pPr>
        <w:spacing w:after="0" w:line="24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9"/>
          <w:szCs w:val="19"/>
          <w:color w:val="auto"/>
        </w:rPr>
        <w:t>At this time, we cannot reasonably estimate or know the nature, timing and projected costs of the efforts that will be necessary to complete the development of, and obtain regulatory approval for, any of our product candidates or programs. This is due to the numerous risks and uncertainties associated with drug development, including the uncertainty of:</w:t>
      </w:r>
    </w:p>
    <w:p>
      <w:pPr>
        <w:spacing w:after="0" w:line="240" w:lineRule="exact"/>
        <w:rPr>
          <w:sz w:val="20"/>
          <w:szCs w:val="20"/>
          <w:color w:val="auto"/>
        </w:rPr>
      </w:pPr>
    </w:p>
    <w:p>
      <w:pPr>
        <w:ind w:left="920" w:hanging="458"/>
        <w:spacing w:after="0"/>
        <w:tabs>
          <w:tab w:leader="none" w:pos="920" w:val="left"/>
        </w:tabs>
        <w:numPr>
          <w:ilvl w:val="0"/>
          <w:numId w:val="63"/>
        </w:numPr>
        <w:rPr>
          <w:rFonts w:ascii="Arial" w:cs="Arial" w:eastAsia="Arial" w:hAnsi="Arial"/>
          <w:sz w:val="19"/>
          <w:szCs w:val="19"/>
          <w:color w:val="auto"/>
        </w:rPr>
      </w:pPr>
      <w:r>
        <w:rPr>
          <w:rFonts w:ascii="Times New Roman" w:cs="Times New Roman" w:eastAsia="Times New Roman" w:hAnsi="Times New Roman"/>
          <w:sz w:val="19"/>
          <w:szCs w:val="19"/>
          <w:color w:val="auto"/>
        </w:rPr>
        <w:t>the scope, timing, costs and progress of preclinical and clinical development activities;</w:t>
      </w:r>
    </w:p>
    <w:p>
      <w:pPr>
        <w:spacing w:after="0" w:line="238" w:lineRule="exact"/>
        <w:rPr>
          <w:rFonts w:ascii="Arial" w:cs="Arial" w:eastAsia="Arial" w:hAnsi="Arial"/>
          <w:sz w:val="19"/>
          <w:szCs w:val="19"/>
          <w:color w:val="auto"/>
        </w:rPr>
      </w:pPr>
    </w:p>
    <w:p>
      <w:pPr>
        <w:ind w:left="920" w:hanging="458"/>
        <w:spacing w:after="0"/>
        <w:tabs>
          <w:tab w:leader="none" w:pos="920" w:val="left"/>
        </w:tabs>
        <w:numPr>
          <w:ilvl w:val="0"/>
          <w:numId w:val="63"/>
        </w:numPr>
        <w:rPr>
          <w:rFonts w:ascii="Arial" w:cs="Arial" w:eastAsia="Arial" w:hAnsi="Arial"/>
          <w:sz w:val="19"/>
          <w:szCs w:val="19"/>
          <w:color w:val="auto"/>
        </w:rPr>
      </w:pPr>
      <w:r>
        <w:rPr>
          <w:rFonts w:ascii="Times New Roman" w:cs="Times New Roman" w:eastAsia="Times New Roman" w:hAnsi="Times New Roman"/>
          <w:sz w:val="19"/>
          <w:szCs w:val="19"/>
          <w:color w:val="auto"/>
        </w:rPr>
        <w:t>the number and scope of preclinical and clinical programs we decide to pursue;</w:t>
      </w:r>
    </w:p>
    <w:p>
      <w:pPr>
        <w:spacing w:after="0" w:line="238" w:lineRule="exact"/>
        <w:rPr>
          <w:rFonts w:ascii="Arial" w:cs="Arial" w:eastAsia="Arial" w:hAnsi="Arial"/>
          <w:sz w:val="19"/>
          <w:szCs w:val="19"/>
          <w:color w:val="auto"/>
        </w:rPr>
      </w:pPr>
    </w:p>
    <w:p>
      <w:pPr>
        <w:ind w:left="920" w:hanging="458"/>
        <w:spacing w:after="0"/>
        <w:tabs>
          <w:tab w:leader="none" w:pos="920" w:val="left"/>
        </w:tabs>
        <w:numPr>
          <w:ilvl w:val="0"/>
          <w:numId w:val="63"/>
        </w:numPr>
        <w:rPr>
          <w:rFonts w:ascii="Arial" w:cs="Arial" w:eastAsia="Arial" w:hAnsi="Arial"/>
          <w:sz w:val="19"/>
          <w:szCs w:val="19"/>
          <w:color w:val="auto"/>
        </w:rPr>
      </w:pPr>
      <w:r>
        <w:rPr>
          <w:rFonts w:ascii="Times New Roman" w:cs="Times New Roman" w:eastAsia="Times New Roman" w:hAnsi="Times New Roman"/>
          <w:sz w:val="19"/>
          <w:szCs w:val="19"/>
          <w:color w:val="auto"/>
        </w:rPr>
        <w:t>our ability to implement and maintain cost reduction strategies, as well as the timing of such cost reductions;</w:t>
      </w:r>
    </w:p>
    <w:p>
      <w:pPr>
        <w:spacing w:after="0" w:line="238" w:lineRule="exact"/>
        <w:rPr>
          <w:rFonts w:ascii="Arial" w:cs="Arial" w:eastAsia="Arial" w:hAnsi="Arial"/>
          <w:sz w:val="19"/>
          <w:szCs w:val="19"/>
          <w:color w:val="auto"/>
        </w:rPr>
      </w:pPr>
    </w:p>
    <w:p>
      <w:pPr>
        <w:ind w:left="920" w:hanging="458"/>
        <w:spacing w:after="0"/>
        <w:tabs>
          <w:tab w:leader="none" w:pos="920" w:val="left"/>
        </w:tabs>
        <w:numPr>
          <w:ilvl w:val="0"/>
          <w:numId w:val="63"/>
        </w:numPr>
        <w:rPr>
          <w:rFonts w:ascii="Arial" w:cs="Arial" w:eastAsia="Arial" w:hAnsi="Arial"/>
          <w:sz w:val="19"/>
          <w:szCs w:val="19"/>
          <w:color w:val="auto"/>
        </w:rPr>
      </w:pPr>
      <w:r>
        <w:rPr>
          <w:rFonts w:ascii="Times New Roman" w:cs="Times New Roman" w:eastAsia="Times New Roman" w:hAnsi="Times New Roman"/>
          <w:sz w:val="19"/>
          <w:szCs w:val="19"/>
          <w:color w:val="auto"/>
        </w:rPr>
        <w:t>our ability to maintain our current research and development programs;</w:t>
      </w:r>
    </w:p>
    <w:p>
      <w:pPr>
        <w:spacing w:after="0" w:line="238" w:lineRule="exact"/>
        <w:rPr>
          <w:rFonts w:ascii="Arial" w:cs="Arial" w:eastAsia="Arial" w:hAnsi="Arial"/>
          <w:sz w:val="19"/>
          <w:szCs w:val="19"/>
          <w:color w:val="auto"/>
        </w:rPr>
      </w:pPr>
    </w:p>
    <w:p>
      <w:pPr>
        <w:ind w:left="920" w:hanging="458"/>
        <w:spacing w:after="0"/>
        <w:tabs>
          <w:tab w:leader="none" w:pos="920" w:val="left"/>
        </w:tabs>
        <w:numPr>
          <w:ilvl w:val="0"/>
          <w:numId w:val="63"/>
        </w:numPr>
        <w:rPr>
          <w:rFonts w:ascii="Arial" w:cs="Arial" w:eastAsia="Arial" w:hAnsi="Arial"/>
          <w:sz w:val="19"/>
          <w:szCs w:val="19"/>
          <w:color w:val="auto"/>
        </w:rPr>
      </w:pPr>
      <w:r>
        <w:rPr>
          <w:rFonts w:ascii="Times New Roman" w:cs="Times New Roman" w:eastAsia="Times New Roman" w:hAnsi="Times New Roman"/>
          <w:sz w:val="19"/>
          <w:szCs w:val="19"/>
          <w:color w:val="auto"/>
        </w:rPr>
        <w:t>our ability to establish an appropriate safety profile for our product candidates with IND-enabling studies;</w:t>
      </w:r>
    </w:p>
    <w:p>
      <w:pPr>
        <w:spacing w:after="0" w:line="238" w:lineRule="exact"/>
        <w:rPr>
          <w:rFonts w:ascii="Arial" w:cs="Arial" w:eastAsia="Arial" w:hAnsi="Arial"/>
          <w:sz w:val="19"/>
          <w:szCs w:val="19"/>
          <w:color w:val="auto"/>
        </w:rPr>
      </w:pPr>
    </w:p>
    <w:p>
      <w:pPr>
        <w:ind w:left="920" w:hanging="458"/>
        <w:spacing w:after="0"/>
        <w:tabs>
          <w:tab w:leader="none" w:pos="920" w:val="left"/>
        </w:tabs>
        <w:numPr>
          <w:ilvl w:val="0"/>
          <w:numId w:val="63"/>
        </w:numPr>
        <w:rPr>
          <w:rFonts w:ascii="Arial" w:cs="Arial" w:eastAsia="Arial" w:hAnsi="Arial"/>
          <w:sz w:val="19"/>
          <w:szCs w:val="19"/>
          <w:color w:val="auto"/>
        </w:rPr>
      </w:pPr>
      <w:r>
        <w:rPr>
          <w:rFonts w:ascii="Times New Roman" w:cs="Times New Roman" w:eastAsia="Times New Roman" w:hAnsi="Times New Roman"/>
          <w:sz w:val="19"/>
          <w:szCs w:val="19"/>
          <w:color w:val="auto"/>
        </w:rPr>
        <w:t>our ability to hire and retain key research and development personnel;</w:t>
      </w:r>
    </w:p>
    <w:p>
      <w:pPr>
        <w:spacing w:after="0" w:line="251" w:lineRule="exact"/>
        <w:rPr>
          <w:rFonts w:ascii="Arial" w:cs="Arial" w:eastAsia="Arial" w:hAnsi="Arial"/>
          <w:sz w:val="19"/>
          <w:szCs w:val="19"/>
          <w:color w:val="auto"/>
        </w:rPr>
      </w:pPr>
    </w:p>
    <w:p>
      <w:pPr>
        <w:ind w:left="920" w:hanging="458"/>
        <w:spacing w:after="0" w:line="232" w:lineRule="auto"/>
        <w:tabs>
          <w:tab w:leader="none" w:pos="920" w:val="left"/>
        </w:tabs>
        <w:numPr>
          <w:ilvl w:val="0"/>
          <w:numId w:val="63"/>
        </w:numPr>
        <w:rPr>
          <w:rFonts w:ascii="Arial" w:cs="Arial" w:eastAsia="Arial" w:hAnsi="Arial"/>
          <w:sz w:val="19"/>
          <w:szCs w:val="19"/>
          <w:color w:val="auto"/>
        </w:rPr>
      </w:pPr>
      <w:r>
        <w:rPr>
          <w:rFonts w:ascii="Times New Roman" w:cs="Times New Roman" w:eastAsia="Times New Roman" w:hAnsi="Times New Roman"/>
          <w:sz w:val="19"/>
          <w:szCs w:val="19"/>
          <w:color w:val="auto"/>
        </w:rPr>
        <w:t>the costs associated with the development of any additional product candidates we acquire or develop through collaborations, partnerships, licenses or similar transactions;</w:t>
      </w:r>
    </w:p>
    <w:p>
      <w:pPr>
        <w:spacing w:after="0" w:line="238" w:lineRule="exact"/>
        <w:rPr>
          <w:rFonts w:ascii="Arial" w:cs="Arial" w:eastAsia="Arial" w:hAnsi="Arial"/>
          <w:sz w:val="19"/>
          <w:szCs w:val="19"/>
          <w:color w:val="auto"/>
        </w:rPr>
      </w:pPr>
    </w:p>
    <w:p>
      <w:pPr>
        <w:ind w:left="920" w:hanging="458"/>
        <w:spacing w:after="0"/>
        <w:tabs>
          <w:tab w:leader="none" w:pos="920" w:val="left"/>
        </w:tabs>
        <w:numPr>
          <w:ilvl w:val="0"/>
          <w:numId w:val="63"/>
        </w:numPr>
        <w:rPr>
          <w:rFonts w:ascii="Arial" w:cs="Arial" w:eastAsia="Arial" w:hAnsi="Arial"/>
          <w:sz w:val="19"/>
          <w:szCs w:val="19"/>
          <w:color w:val="auto"/>
        </w:rPr>
      </w:pPr>
      <w:r>
        <w:rPr>
          <w:rFonts w:ascii="Times New Roman" w:cs="Times New Roman" w:eastAsia="Times New Roman" w:hAnsi="Times New Roman"/>
          <w:sz w:val="19"/>
          <w:szCs w:val="19"/>
          <w:color w:val="auto"/>
        </w:rPr>
        <w:t>our successful enrollment in and completion of clinical trials;</w:t>
      </w:r>
    </w:p>
    <w:p>
      <w:pPr>
        <w:spacing w:after="0" w:line="251" w:lineRule="exact"/>
        <w:rPr>
          <w:rFonts w:ascii="Arial" w:cs="Arial" w:eastAsia="Arial" w:hAnsi="Arial"/>
          <w:sz w:val="19"/>
          <w:szCs w:val="19"/>
          <w:color w:val="auto"/>
        </w:rPr>
      </w:pPr>
    </w:p>
    <w:p>
      <w:pPr>
        <w:ind w:left="920" w:hanging="458"/>
        <w:spacing w:after="0" w:line="232" w:lineRule="auto"/>
        <w:tabs>
          <w:tab w:leader="none" w:pos="920" w:val="left"/>
        </w:tabs>
        <w:numPr>
          <w:ilvl w:val="0"/>
          <w:numId w:val="63"/>
        </w:numPr>
        <w:rPr>
          <w:rFonts w:ascii="Arial" w:cs="Arial" w:eastAsia="Arial" w:hAnsi="Arial"/>
          <w:sz w:val="19"/>
          <w:szCs w:val="19"/>
          <w:color w:val="auto"/>
        </w:rPr>
      </w:pPr>
      <w:r>
        <w:rPr>
          <w:rFonts w:ascii="Times New Roman" w:cs="Times New Roman" w:eastAsia="Times New Roman" w:hAnsi="Times New Roman"/>
          <w:sz w:val="19"/>
          <w:szCs w:val="19"/>
          <w:color w:val="auto"/>
        </w:rPr>
        <w:t>our ability to successfully complete clinical trials with safety, potency and purity profiles that are satisfactory to the U.S. Food and Drug Administration, or the FDA, or any comparable foreign regulatory authority;</w:t>
      </w:r>
    </w:p>
    <w:p>
      <w:pPr>
        <w:spacing w:after="0" w:line="238" w:lineRule="exact"/>
        <w:rPr>
          <w:rFonts w:ascii="Arial" w:cs="Arial" w:eastAsia="Arial" w:hAnsi="Arial"/>
          <w:sz w:val="19"/>
          <w:szCs w:val="19"/>
          <w:color w:val="auto"/>
        </w:rPr>
      </w:pPr>
    </w:p>
    <w:p>
      <w:pPr>
        <w:ind w:left="920" w:hanging="458"/>
        <w:spacing w:after="0"/>
        <w:tabs>
          <w:tab w:leader="none" w:pos="920" w:val="left"/>
        </w:tabs>
        <w:numPr>
          <w:ilvl w:val="0"/>
          <w:numId w:val="63"/>
        </w:numPr>
        <w:rPr>
          <w:rFonts w:ascii="Arial" w:cs="Arial" w:eastAsia="Arial" w:hAnsi="Arial"/>
          <w:sz w:val="19"/>
          <w:szCs w:val="19"/>
          <w:color w:val="auto"/>
        </w:rPr>
      </w:pPr>
      <w:r>
        <w:rPr>
          <w:rFonts w:ascii="Times New Roman" w:cs="Times New Roman" w:eastAsia="Times New Roman" w:hAnsi="Times New Roman"/>
          <w:sz w:val="19"/>
          <w:szCs w:val="19"/>
          <w:color w:val="auto"/>
        </w:rPr>
        <w:t>our receipt of regulatory approvals from applicable regulatory authorities;</w:t>
      </w:r>
    </w:p>
    <w:p>
      <w:pPr>
        <w:spacing w:after="0" w:line="251" w:lineRule="exact"/>
        <w:rPr>
          <w:rFonts w:ascii="Arial" w:cs="Arial" w:eastAsia="Arial" w:hAnsi="Arial"/>
          <w:sz w:val="19"/>
          <w:szCs w:val="19"/>
          <w:color w:val="auto"/>
        </w:rPr>
      </w:pPr>
    </w:p>
    <w:p>
      <w:pPr>
        <w:ind w:left="920" w:hanging="458"/>
        <w:spacing w:after="0" w:line="232" w:lineRule="auto"/>
        <w:tabs>
          <w:tab w:leader="none" w:pos="920" w:val="left"/>
        </w:tabs>
        <w:numPr>
          <w:ilvl w:val="0"/>
          <w:numId w:val="63"/>
        </w:numPr>
        <w:rPr>
          <w:rFonts w:ascii="Arial" w:cs="Arial" w:eastAsia="Arial" w:hAnsi="Arial"/>
          <w:sz w:val="19"/>
          <w:szCs w:val="19"/>
          <w:color w:val="auto"/>
        </w:rPr>
      </w:pPr>
      <w:r>
        <w:rPr>
          <w:rFonts w:ascii="Times New Roman" w:cs="Times New Roman" w:eastAsia="Times New Roman" w:hAnsi="Times New Roman"/>
          <w:sz w:val="19"/>
          <w:szCs w:val="19"/>
          <w:color w:val="auto"/>
        </w:rPr>
        <w:t>our ability to successfully develop, obtain regulatory approval for, and then successfully commercialize, our product candidates;</w:t>
      </w:r>
    </w:p>
    <w:p>
      <w:pPr>
        <w:spacing w:after="0" w:line="238" w:lineRule="exact"/>
        <w:rPr>
          <w:rFonts w:ascii="Arial" w:cs="Arial" w:eastAsia="Arial" w:hAnsi="Arial"/>
          <w:sz w:val="19"/>
          <w:szCs w:val="19"/>
          <w:color w:val="auto"/>
        </w:rPr>
      </w:pPr>
    </w:p>
    <w:p>
      <w:pPr>
        <w:ind w:left="920" w:hanging="458"/>
        <w:spacing w:after="0"/>
        <w:tabs>
          <w:tab w:leader="none" w:pos="920" w:val="left"/>
        </w:tabs>
        <w:numPr>
          <w:ilvl w:val="0"/>
          <w:numId w:val="63"/>
        </w:numPr>
        <w:rPr>
          <w:rFonts w:ascii="Arial" w:cs="Arial" w:eastAsia="Arial" w:hAnsi="Arial"/>
          <w:sz w:val="19"/>
          <w:szCs w:val="19"/>
          <w:color w:val="auto"/>
        </w:rPr>
      </w:pPr>
      <w:r>
        <w:rPr>
          <w:rFonts w:ascii="Times New Roman" w:cs="Times New Roman" w:eastAsia="Times New Roman" w:hAnsi="Times New Roman"/>
          <w:sz w:val="19"/>
          <w:szCs w:val="19"/>
          <w:color w:val="auto"/>
        </w:rPr>
        <w:t>our ability to commercialize products, if and when approved, whether alone or in collaboration with others;</w:t>
      </w:r>
    </w:p>
    <w:p>
      <w:pPr>
        <w:spacing w:after="0" w:line="238" w:lineRule="exact"/>
        <w:rPr>
          <w:rFonts w:ascii="Arial" w:cs="Arial" w:eastAsia="Arial" w:hAnsi="Arial"/>
          <w:sz w:val="19"/>
          <w:szCs w:val="19"/>
          <w:color w:val="auto"/>
        </w:rPr>
      </w:pPr>
    </w:p>
    <w:p>
      <w:pPr>
        <w:ind w:left="920" w:hanging="458"/>
        <w:spacing w:after="0"/>
        <w:tabs>
          <w:tab w:leader="none" w:pos="920" w:val="left"/>
        </w:tabs>
        <w:numPr>
          <w:ilvl w:val="0"/>
          <w:numId w:val="63"/>
        </w:numPr>
        <w:rPr>
          <w:rFonts w:ascii="Arial" w:cs="Arial" w:eastAsia="Arial" w:hAnsi="Arial"/>
          <w:sz w:val="19"/>
          <w:szCs w:val="19"/>
          <w:color w:val="auto"/>
        </w:rPr>
      </w:pPr>
      <w:r>
        <w:rPr>
          <w:rFonts w:ascii="Times New Roman" w:cs="Times New Roman" w:eastAsia="Times New Roman" w:hAnsi="Times New Roman"/>
          <w:sz w:val="19"/>
          <w:szCs w:val="19"/>
          <w:color w:val="auto"/>
        </w:rPr>
        <w:t>the continued acceptable safety profiles of the product candidates following approval, if any;</w:t>
      </w:r>
    </w:p>
    <w:p>
      <w:pPr>
        <w:spacing w:after="0" w:line="251" w:lineRule="exact"/>
        <w:rPr>
          <w:rFonts w:ascii="Arial" w:cs="Arial" w:eastAsia="Arial" w:hAnsi="Arial"/>
          <w:sz w:val="19"/>
          <w:szCs w:val="19"/>
          <w:color w:val="auto"/>
        </w:rPr>
      </w:pPr>
    </w:p>
    <w:p>
      <w:pPr>
        <w:ind w:left="920" w:hanging="458"/>
        <w:spacing w:after="0" w:line="232" w:lineRule="auto"/>
        <w:tabs>
          <w:tab w:leader="none" w:pos="920" w:val="left"/>
        </w:tabs>
        <w:numPr>
          <w:ilvl w:val="0"/>
          <w:numId w:val="63"/>
        </w:numPr>
        <w:rPr>
          <w:rFonts w:ascii="Arial" w:cs="Arial" w:eastAsia="Arial" w:hAnsi="Arial"/>
          <w:sz w:val="19"/>
          <w:szCs w:val="19"/>
          <w:color w:val="auto"/>
        </w:rPr>
      </w:pPr>
      <w:r>
        <w:rPr>
          <w:rFonts w:ascii="Times New Roman" w:cs="Times New Roman" w:eastAsia="Times New Roman" w:hAnsi="Times New Roman"/>
          <w:sz w:val="19"/>
          <w:szCs w:val="19"/>
          <w:color w:val="auto"/>
        </w:rPr>
        <w:t>our ability to establish and maintain agreements with third-party manufacturers for clinical supply for our clinical trials and commercial manufacturing, if any of our product candidates are approved;</w:t>
      </w:r>
    </w:p>
    <w:p>
      <w:pPr>
        <w:spacing w:after="0" w:line="251" w:lineRule="exact"/>
        <w:rPr>
          <w:rFonts w:ascii="Arial" w:cs="Arial" w:eastAsia="Arial" w:hAnsi="Arial"/>
          <w:sz w:val="19"/>
          <w:szCs w:val="19"/>
          <w:color w:val="auto"/>
        </w:rPr>
      </w:pPr>
    </w:p>
    <w:p>
      <w:pPr>
        <w:ind w:left="920" w:hanging="458"/>
        <w:spacing w:after="0" w:line="232" w:lineRule="auto"/>
        <w:tabs>
          <w:tab w:leader="none" w:pos="920" w:val="left"/>
        </w:tabs>
        <w:numPr>
          <w:ilvl w:val="0"/>
          <w:numId w:val="63"/>
        </w:numPr>
        <w:rPr>
          <w:rFonts w:ascii="Arial" w:cs="Arial" w:eastAsia="Arial" w:hAnsi="Arial"/>
          <w:sz w:val="19"/>
          <w:szCs w:val="19"/>
          <w:color w:val="auto"/>
        </w:rPr>
      </w:pPr>
      <w:r>
        <w:rPr>
          <w:rFonts w:ascii="Times New Roman" w:cs="Times New Roman" w:eastAsia="Times New Roman" w:hAnsi="Times New Roman"/>
          <w:sz w:val="19"/>
          <w:szCs w:val="19"/>
          <w:color w:val="auto"/>
        </w:rPr>
        <w:t>the terms and timing of any collaboration, license or other arrangement, including the terms and timing of any milestone payments thereunder, if any;</w:t>
      </w:r>
    </w:p>
    <w:p>
      <w:pPr>
        <w:spacing w:after="0" w:line="251" w:lineRule="exact"/>
        <w:rPr>
          <w:rFonts w:ascii="Arial" w:cs="Arial" w:eastAsia="Arial" w:hAnsi="Arial"/>
          <w:sz w:val="19"/>
          <w:szCs w:val="19"/>
          <w:color w:val="auto"/>
        </w:rPr>
      </w:pPr>
    </w:p>
    <w:p>
      <w:pPr>
        <w:ind w:left="920" w:hanging="458"/>
        <w:spacing w:after="0" w:line="232" w:lineRule="auto"/>
        <w:tabs>
          <w:tab w:leader="none" w:pos="920" w:val="left"/>
        </w:tabs>
        <w:numPr>
          <w:ilvl w:val="0"/>
          <w:numId w:val="63"/>
        </w:numPr>
        <w:rPr>
          <w:rFonts w:ascii="Arial" w:cs="Arial" w:eastAsia="Arial" w:hAnsi="Arial"/>
          <w:sz w:val="19"/>
          <w:szCs w:val="19"/>
          <w:color w:val="auto"/>
        </w:rPr>
      </w:pPr>
      <w:r>
        <w:rPr>
          <w:rFonts w:ascii="Times New Roman" w:cs="Times New Roman" w:eastAsia="Times New Roman" w:hAnsi="Times New Roman"/>
          <w:sz w:val="19"/>
          <w:szCs w:val="19"/>
          <w:color w:val="auto"/>
        </w:rPr>
        <w:t>our ability to obtain and maintain patent, trade secret and other intellectual property protection and regulatory exclusivity for our product candidates if and when approved; and</w:t>
      </w:r>
    </w:p>
    <w:p>
      <w:pPr>
        <w:spacing w:after="0" w:line="238" w:lineRule="exact"/>
        <w:rPr>
          <w:rFonts w:ascii="Arial" w:cs="Arial" w:eastAsia="Arial" w:hAnsi="Arial"/>
          <w:sz w:val="19"/>
          <w:szCs w:val="19"/>
          <w:color w:val="auto"/>
        </w:rPr>
      </w:pPr>
    </w:p>
    <w:p>
      <w:pPr>
        <w:ind w:left="920" w:hanging="458"/>
        <w:spacing w:after="0"/>
        <w:tabs>
          <w:tab w:leader="none" w:pos="920" w:val="left"/>
        </w:tabs>
        <w:numPr>
          <w:ilvl w:val="0"/>
          <w:numId w:val="63"/>
        </w:numPr>
        <w:rPr>
          <w:rFonts w:ascii="Arial" w:cs="Arial" w:eastAsia="Arial" w:hAnsi="Arial"/>
          <w:sz w:val="19"/>
          <w:szCs w:val="19"/>
          <w:color w:val="auto"/>
        </w:rPr>
      </w:pPr>
      <w:r>
        <w:rPr>
          <w:rFonts w:ascii="Times New Roman" w:cs="Times New Roman" w:eastAsia="Times New Roman" w:hAnsi="Times New Roman"/>
          <w:sz w:val="19"/>
          <w:szCs w:val="19"/>
          <w:color w:val="auto"/>
        </w:rPr>
        <w:t>general economic conditions, including inflation and the imposition of new or revised global trade tariffs.</w:t>
      </w:r>
    </w:p>
    <w:p>
      <w:pPr>
        <w:spacing w:after="0" w:line="23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9"/>
          <w:szCs w:val="19"/>
          <w:color w:val="auto"/>
        </w:rPr>
        <w:t>A change in any of these variables with respect to the development of any of our product candidates would significantly change the costs, timing and viability associated with the development of that product candidate. We may never succeed in obtaining regulatory approval for any product candidate we may develop.</w:t>
      </w:r>
    </w:p>
    <w:p>
      <w:pPr>
        <w:sectPr>
          <w:pgSz w:w="12240" w:h="15840" w:orient="portrait"/>
          <w:cols w:equalWidth="0" w:num="1">
            <w:col w:w="10200"/>
          </w:cols>
          <w:pgMar w:left="1020" w:top="1347" w:right="1020" w:bottom="5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ectPr>
          <w:pgSz w:w="12240" w:h="15840" w:orient="portrait"/>
          <w:cols w:equalWidth="0" w:num="1">
            <w:col w:w="10200"/>
          </w:cols>
          <w:pgMar w:left="1020" w:top="1347" w:right="1020" w:bottom="556" w:gutter="0" w:footer="0" w:header="0"/>
          <w:type w:val="continuous"/>
        </w:sectPr>
      </w:pPr>
    </w:p>
    <w:bookmarkStart w:id="105" w:name="page106"/>
    <w:bookmarkEnd w:id="105"/>
    <w:p>
      <w:pPr>
        <w:ind w:left="460"/>
        <w:spacing w:after="0"/>
        <w:rPr>
          <w:sz w:val="20"/>
          <w:szCs w:val="20"/>
          <w:color w:val="auto"/>
        </w:rPr>
      </w:pPr>
      <w:r>
        <w:rPr>
          <w:rFonts w:ascii="Times New Roman" w:cs="Times New Roman" w:eastAsia="Times New Roman" w:hAnsi="Times New Roman"/>
          <w:sz w:val="19"/>
          <w:szCs w:val="19"/>
          <w:i w:val="1"/>
          <w:iCs w:val="1"/>
          <w:color w:val="auto"/>
        </w:rPr>
        <w:t>General and Administrative Expenses</w:t>
      </w:r>
    </w:p>
    <w:p>
      <w:pPr>
        <w:spacing w:after="0" w:line="26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General and administrative expenses consist primarily of personnel-related costs, including salaries, bonuses, benefits, recruiting and stock-based compensation, for personnel in our executive, finance, legal, business development, human resources and other administrative functions. General and administrative expenses also include legal fees relating to corporate matters; professional and consulting fees for accounting, auditing, tax, human resources and administrative consulting services; board of directors’ fees; insurance costs; and facility-related expenses, which include depreciation costs and other allocated expenses for rent, maintenance of facilities and other general administrative costs. These costs relate to the operation of the business and are in support of but separate from the research and development function and our individual development programs. Costs to secure and defend our intellectual property are expensed as incurred and are classified as general and administrative expenses.</w:t>
      </w:r>
    </w:p>
    <w:p>
      <w:pPr>
        <w:spacing w:after="0" w:line="23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We anticipate that our general and administrative expenses will remain consistent with historical levels as we maintain our infrastructure to support our research and development activities. We also expect to continue to incur significant expenses associated with operating as a public company, including increased costs for accounting, audit, legal, regulatory and tax-related services attributable to maintaining compliance with exchange listing standards and U.S. Securities and Exchange Commission, or SEC, requirements, directors’ and officers’ liability insurance costs and investor and public relations costs. We also expect to continue to incur additional expenses related to intellectual property as we file patent applications to protect intellectual property arising from our research and development activities. In the event we are unable to obtain sufficient additional capital in the future, we may need to implement cost reduction strategies that seek to reduce our general and administrative expenses while maintaining sufficient infrastructure to support our planned research and development activities and operations as a public company.</w:t>
      </w:r>
    </w:p>
    <w:p>
      <w:pPr>
        <w:spacing w:after="0" w:line="2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i w:val="1"/>
          <w:iCs w:val="1"/>
          <w:color w:val="auto"/>
        </w:rPr>
        <w:t>Restructuring</w:t>
      </w:r>
    </w:p>
    <w:p>
      <w:pPr>
        <w:spacing w:after="0" w:line="26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connection with a March 2024 strategic portfolio reprioritization and restructuring, we undertook efforts to reduce our expenses and streamline our operations, including a reduction in headcount of 15 employees, representing approximately 21% of our workforce immediately prior to the workforce reduction. Restructuring expense consists of costs directly incurred as a result of restructuring initiatives, and includes employee severance payments, benefits continuation, outplacement services and related expenses.</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i w:val="1"/>
          <w:iCs w:val="1"/>
          <w:color w:val="auto"/>
        </w:rPr>
        <w:t>Other Income, Net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i w:val="1"/>
          <w:iCs w:val="1"/>
          <w:color w:val="auto"/>
        </w:rPr>
        <w:t>Change in Fair Value of Common Stock Warrant Liabilities</w:t>
      </w:r>
    </w:p>
    <w:p>
      <w:pPr>
        <w:spacing w:after="0" w:line="26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For the Series A warrants and Series C warrants, the change in fair value of common stock warrant liabilities consists of the change in the fair value of the common stock warrant liabilities from the issuance date of June 5, 2025 to December 31, 2025. For the Series B warrants, the change in fair value of common stock warrant liabilities consists of the change in the fair value of the common stock warrant liabilities from the issuance date of June 5, 2025 to the earlier of (i) the exercise date for any Series B warrants exercised before December 2, 2025 and (ii) December 2, 2025 for any Series B warrants unexercised as of such date.</w:t>
      </w:r>
    </w:p>
    <w:p>
      <w:pPr>
        <w:spacing w:after="0" w:line="2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i w:val="1"/>
          <w:iCs w:val="1"/>
          <w:color w:val="auto"/>
        </w:rPr>
        <w:t>Other Income, Net</w:t>
      </w:r>
    </w:p>
    <w:p>
      <w:pPr>
        <w:spacing w:after="0" w:line="26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Other income, net consists primarily of the portion of the issuance costs we incurred in connection with the issuance of the prefunded warrants and common stock warrants in June 2025 in connection with a follow-on offering which were allocated to the common stock warrant liabilities, interest income earned from our cash and cash equivalents, interest expense principally on the note payable under our former debt arrangement with Pacific Western Bank, or PacWest, and amortization of the debt discount related to debt issuance costs.</w:t>
      </w:r>
    </w:p>
    <w:p>
      <w:pPr>
        <w:spacing w:after="0" w:line="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b w:val="1"/>
          <w:bCs w:val="1"/>
          <w:i w:val="1"/>
          <w:iCs w:val="1"/>
          <w:color w:val="auto"/>
        </w:rPr>
        <w:t>Income Taxes</w:t>
      </w:r>
    </w:p>
    <w:p>
      <w:pPr>
        <w:spacing w:after="0" w:line="26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Since our inception, we have not recorded any U.S. federal or state income tax benefits for the net losses we have incurred in each year or for our earned research and development tax credits, due to our uncertainty of realizing a benefit from those items. As of December 31, 2025, we had federal and state net operating loss, or NOL, carryforwards of $263.5 million and $234.6 million, respectively, which may be available to offset future taxable income. Substantially all of our federal NOLs are not subject to expiration and our state NOL carryforwards will expire beginning in 2038. These loss carryforwards are available to reduce future federal taxable income, if any. As of December 31, 2025, we also had federal and state research and development credit carryforwards of approximately $12.3 million and $4.7 million, respectively, which may be available to offset any future income tax and which will begin to expire in 2033. These loss and credit carryforwards are subject to review and possible adjustment by the appropriate taxing authorities.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Utilization of our NOL carryforwards and research and development credit carryforwards may be subject to a substantial annual</w:t>
      </w:r>
    </w:p>
    <w:p>
      <w:pPr>
        <w:sectPr>
          <w:pgSz w:w="12240" w:h="15840" w:orient="portrait"/>
          <w:cols w:equalWidth="0" w:num="1">
            <w:col w:w="10200"/>
          </w:cols>
          <w:pgMar w:left="1020" w:top="1310" w:right="1020" w:bottom="556" w:gutter="0" w:footer="0" w:header="0"/>
        </w:sect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ectPr>
          <w:pgSz w:w="12240" w:h="15840" w:orient="portrait"/>
          <w:cols w:equalWidth="0" w:num="1">
            <w:col w:w="10200"/>
          </w:cols>
          <w:pgMar w:left="1020" w:top="1310" w:right="1020" w:bottom="556" w:gutter="0" w:footer="0" w:header="0"/>
          <w:type w:val="continuous"/>
        </w:sectPr>
      </w:pPr>
    </w:p>
    <w:bookmarkStart w:id="106" w:name="page107"/>
    <w:bookmarkEnd w:id="106"/>
    <w:p>
      <w:pPr>
        <w:jc w:val="both"/>
        <w:spacing w:after="0" w:line="237" w:lineRule="auto"/>
        <w:rPr>
          <w:sz w:val="20"/>
          <w:szCs w:val="20"/>
          <w:color w:val="auto"/>
        </w:rPr>
      </w:pPr>
      <w:r>
        <w:rPr>
          <w:rFonts w:ascii="Times New Roman" w:cs="Times New Roman" w:eastAsia="Times New Roman" w:hAnsi="Times New Roman"/>
          <w:sz w:val="19"/>
          <w:szCs w:val="19"/>
          <w:color w:val="auto"/>
        </w:rPr>
        <w:t>limitation due to ownership change limitations that have occurred previously or that could occur in the future in accordance with Section 382 of the Internal Revenue Code of 1986, as amended, or the Code, as well as similar state provisions. These “ownership changes”, as defined by Section 382 of the Code, may limit the amount of NOL and research and development credit carryforwards that can be utilized annually to offset future taxable income and taxes, respectively. In general, an ownership change as defined by Section 382 of the Code results from transactions increasing the ownership of certain stockholders or public groups in the stock of a corporation by more than 50% over a three-year period. In the second quarter of 2024, we had an ownership change as defined by Sections 382 and 383 of the Code. As a result, if we earn net taxable income, our ability to use our pre-change NOL carryforwards and other pre-change tax attributes to offset such taxable income may be subject to limitations, which could result in increased future tax liability to us and could have an adverse effect on our future results of operations.</w:t>
      </w:r>
    </w:p>
    <w:p>
      <w:pPr>
        <w:spacing w:after="0" w:line="2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addition, we have not yet conducted a study of our research and development credit carryforwards. Such a study may result in an adjustment to our research and development credit carryforwards; however, until a study is completed and any adjustment is known, no amount is being presented as an uncertain tax position. A full valuation allowance has been provided against our research and development credits, and, if an adjustment is required, this adjustment would be offset by an adjustment to the valuation allowance. Thus, there would be no impact to the balance sheet or statement of operations and comprehensive loss if an adjustment were required.</w:t>
      </w:r>
    </w:p>
    <w:p>
      <w:pPr>
        <w:spacing w:after="0" w:line="22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9"/>
          <w:szCs w:val="19"/>
          <w:color w:val="auto"/>
        </w:rPr>
        <w:t>Income taxes are determined at the applicable tax rates adjusted for non-deductible expenses, research and development tax credits and other permanent differences. Our income tax provision may be significantly affected by changes to our estimates.</w:t>
      </w:r>
    </w:p>
    <w:p>
      <w:pPr>
        <w:sectPr>
          <w:pgSz w:w="12240" w:h="15840" w:orient="portrait"/>
          <w:cols w:equalWidth="0" w:num="1">
            <w:col w:w="10200"/>
          </w:cols>
          <w:pgMar w:left="1020" w:top="1347" w:right="1020" w:bottom="5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ectPr>
          <w:pgSz w:w="12240" w:h="15840" w:orient="portrait"/>
          <w:cols w:equalWidth="0" w:num="1">
            <w:col w:w="10200"/>
          </w:cols>
          <w:pgMar w:left="1020" w:top="1347" w:right="1020" w:bottom="556"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19"/>
          <w:szCs w:val="19"/>
          <w:b w:val="1"/>
          <w:bCs w:val="1"/>
          <w:color w:val="auto"/>
        </w:rPr>
        <w:t>Results of Operations</w:t>
      </w:r>
    </w:p>
    <w:p>
      <w:pPr>
        <w:spacing w:after="0" w:line="2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i w:val="1"/>
          <w:iCs w:val="1"/>
          <w:color w:val="auto"/>
        </w:rPr>
        <w:t>Comparison of the Years Ended December 31, 2025 and 2024</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summarizes our results of operations for the years ended December 31, 2025 and 2024 (in thousands):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20" w:type="dxa"/>
            <w:vAlign w:val="bottom"/>
            <w:gridSpan w:val="4"/>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Year Ended</w:t>
            </w: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7"/>
        </w:trPr>
        <w:tc>
          <w:tcPr>
            <w:tcW w:w="5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gridSpan w:val="4"/>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1"/>
        </w:trPr>
        <w:tc>
          <w:tcPr>
            <w:tcW w:w="5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30"/>
              <w:spacing w:after="0"/>
              <w:rPr>
                <w:sz w:val="20"/>
                <w:szCs w:val="20"/>
                <w:color w:val="auto"/>
              </w:rPr>
            </w:pPr>
            <w:r>
              <w:rPr>
                <w:rFonts w:ascii="Times New Roman" w:cs="Times New Roman" w:eastAsia="Times New Roman" w:hAnsi="Times New Roman"/>
                <w:sz w:val="15"/>
                <w:szCs w:val="15"/>
                <w:b w:val="1"/>
                <w:bCs w:val="1"/>
                <w:color w:val="auto"/>
              </w:rPr>
              <w:t>2025</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ind w:right="407"/>
              <w:spacing w:after="0"/>
              <w:rPr>
                <w:sz w:val="20"/>
                <w:szCs w:val="20"/>
                <w:color w:val="auto"/>
              </w:rPr>
            </w:pPr>
            <w:r>
              <w:rPr>
                <w:rFonts w:ascii="Times New Roman" w:cs="Times New Roman" w:eastAsia="Times New Roman" w:hAnsi="Times New Roman"/>
                <w:sz w:val="15"/>
                <w:szCs w:val="15"/>
                <w:b w:val="1"/>
                <w:bCs w:val="1"/>
                <w:color w:val="auto"/>
              </w:rPr>
              <w:t>2024</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5"/>
                <w:szCs w:val="15"/>
                <w:b w:val="1"/>
                <w:bCs w:val="1"/>
                <w:color w:val="auto"/>
              </w:rPr>
              <w:t>Change</w:t>
            </w:r>
          </w:p>
        </w:tc>
      </w:tr>
      <w:tr>
        <w:trPr>
          <w:trHeight w:val="225"/>
        </w:trPr>
        <w:tc>
          <w:tcPr>
            <w:tcW w:w="5800" w:type="dxa"/>
            <w:vAlign w:val="bottom"/>
            <w:tcBorders>
              <w:top w:val="single" w:sz="8" w:color="D5EEEE"/>
            </w:tcBorders>
            <w:shd w:val="clear" w:color="auto" w:fill="D5EEEE"/>
          </w:tcPr>
          <w:p>
            <w:pPr>
              <w:spacing w:after="0"/>
              <w:rPr>
                <w:sz w:val="20"/>
                <w:szCs w:val="20"/>
                <w:color w:val="auto"/>
              </w:rPr>
            </w:pPr>
            <w:r>
              <w:rPr>
                <w:rFonts w:ascii="Times New Roman" w:cs="Times New Roman" w:eastAsia="Times New Roman" w:hAnsi="Times New Roman"/>
                <w:sz w:val="19"/>
                <w:szCs w:val="19"/>
                <w:color w:val="auto"/>
              </w:rPr>
              <w:t>Revenue</w:t>
            </w:r>
          </w:p>
        </w:tc>
        <w:tc>
          <w:tcPr>
            <w:tcW w:w="300" w:type="dxa"/>
            <w:vAlign w:val="bottom"/>
            <w:tcBorders>
              <w:top w:val="single" w:sz="8" w:color="auto"/>
            </w:tcBorders>
            <w:shd w:val="clear" w:color="auto" w:fill="D5EEEE"/>
          </w:tcPr>
          <w:p>
            <w:pPr>
              <w:spacing w:after="0"/>
              <w:rPr>
                <w:sz w:val="19"/>
                <w:szCs w:val="19"/>
                <w:color w:val="auto"/>
              </w:rPr>
            </w:pPr>
          </w:p>
        </w:tc>
        <w:tc>
          <w:tcPr>
            <w:tcW w:w="1020" w:type="dxa"/>
            <w:vAlign w:val="bottom"/>
            <w:tcBorders>
              <w:top w:val="single" w:sz="8" w:color="auto"/>
            </w:tcBorders>
            <w:shd w:val="clear" w:color="auto" w:fill="D5EEEE"/>
          </w:tcPr>
          <w:p>
            <w:pPr>
              <w:spacing w:after="0"/>
              <w:rPr>
                <w:sz w:val="19"/>
                <w:szCs w:val="19"/>
                <w:color w:val="auto"/>
              </w:rPr>
            </w:pPr>
          </w:p>
        </w:tc>
        <w:tc>
          <w:tcPr>
            <w:tcW w:w="140" w:type="dxa"/>
            <w:vAlign w:val="bottom"/>
            <w:tcBorders>
              <w:top w:val="single" w:sz="8" w:color="D5EEEE"/>
            </w:tcBorders>
            <w:shd w:val="clear" w:color="auto" w:fill="D5EEEE"/>
          </w:tcPr>
          <w:p>
            <w:pPr>
              <w:spacing w:after="0"/>
              <w:rPr>
                <w:sz w:val="19"/>
                <w:szCs w:val="19"/>
                <w:color w:val="auto"/>
              </w:rPr>
            </w:pPr>
          </w:p>
        </w:tc>
        <w:tc>
          <w:tcPr>
            <w:tcW w:w="60" w:type="dxa"/>
            <w:vAlign w:val="bottom"/>
            <w:tcBorders>
              <w:top w:val="single" w:sz="8" w:color="D5EEEE"/>
            </w:tcBorders>
            <w:shd w:val="clear" w:color="auto" w:fill="D5EEEE"/>
          </w:tcPr>
          <w:p>
            <w:pPr>
              <w:spacing w:after="0"/>
              <w:rPr>
                <w:sz w:val="19"/>
                <w:szCs w:val="19"/>
                <w:color w:val="auto"/>
              </w:rPr>
            </w:pPr>
          </w:p>
        </w:tc>
        <w:tc>
          <w:tcPr>
            <w:tcW w:w="400" w:type="dxa"/>
            <w:vAlign w:val="bottom"/>
            <w:tcBorders>
              <w:top w:val="single" w:sz="8" w:color="auto"/>
            </w:tcBorders>
            <w:shd w:val="clear" w:color="auto" w:fill="D5EEEE"/>
          </w:tcPr>
          <w:p>
            <w:pPr>
              <w:spacing w:after="0"/>
              <w:rPr>
                <w:sz w:val="19"/>
                <w:szCs w:val="19"/>
                <w:color w:val="auto"/>
              </w:rPr>
            </w:pPr>
          </w:p>
        </w:tc>
        <w:tc>
          <w:tcPr>
            <w:tcW w:w="900" w:type="dxa"/>
            <w:vAlign w:val="bottom"/>
            <w:tcBorders>
              <w:top w:val="single" w:sz="8" w:color="auto"/>
            </w:tcBorders>
            <w:shd w:val="clear" w:color="auto" w:fill="D5EEEE"/>
          </w:tcPr>
          <w:p>
            <w:pPr>
              <w:spacing w:after="0"/>
              <w:rPr>
                <w:sz w:val="19"/>
                <w:szCs w:val="19"/>
                <w:color w:val="auto"/>
              </w:rPr>
            </w:pPr>
          </w:p>
        </w:tc>
        <w:tc>
          <w:tcPr>
            <w:tcW w:w="200" w:type="dxa"/>
            <w:vAlign w:val="bottom"/>
            <w:tcBorders>
              <w:top w:val="single" w:sz="8" w:color="D5EEEE"/>
            </w:tcBorders>
            <w:shd w:val="clear" w:color="auto" w:fill="D5EEEE"/>
          </w:tcPr>
          <w:p>
            <w:pPr>
              <w:spacing w:after="0"/>
              <w:rPr>
                <w:sz w:val="19"/>
                <w:szCs w:val="19"/>
                <w:color w:val="auto"/>
              </w:rPr>
            </w:pPr>
          </w:p>
        </w:tc>
        <w:tc>
          <w:tcPr>
            <w:tcW w:w="240" w:type="dxa"/>
            <w:vAlign w:val="bottom"/>
            <w:tcBorders>
              <w:top w:val="single" w:sz="8" w:color="auto"/>
            </w:tcBorders>
            <w:shd w:val="clear" w:color="auto" w:fill="D5EEEE"/>
          </w:tcPr>
          <w:p>
            <w:pPr>
              <w:spacing w:after="0"/>
              <w:rPr>
                <w:sz w:val="19"/>
                <w:szCs w:val="19"/>
                <w:color w:val="auto"/>
              </w:rPr>
            </w:pPr>
          </w:p>
        </w:tc>
        <w:tc>
          <w:tcPr>
            <w:tcW w:w="1060" w:type="dxa"/>
            <w:vAlign w:val="bottom"/>
            <w:tcBorders>
              <w:top w:val="single" w:sz="8" w:color="auto"/>
            </w:tcBorders>
            <w:shd w:val="clear" w:color="auto" w:fill="D5EEEE"/>
          </w:tcPr>
          <w:p>
            <w:pPr>
              <w:spacing w:after="0"/>
              <w:rPr>
                <w:sz w:val="19"/>
                <w:szCs w:val="19"/>
                <w:color w:val="auto"/>
              </w:rPr>
            </w:pPr>
          </w:p>
        </w:tc>
        <w:tc>
          <w:tcPr>
            <w:tcW w:w="80" w:type="dxa"/>
            <w:vAlign w:val="bottom"/>
            <w:tcBorders>
              <w:top w:val="single" w:sz="8" w:color="D5EEEE"/>
            </w:tcBorders>
            <w:shd w:val="clear" w:color="auto" w:fill="D5EEEE"/>
          </w:tcPr>
          <w:p>
            <w:pPr>
              <w:spacing w:after="0"/>
              <w:rPr>
                <w:sz w:val="19"/>
                <w:szCs w:val="19"/>
                <w:color w:val="auto"/>
              </w:rPr>
            </w:pPr>
          </w:p>
        </w:tc>
      </w:tr>
      <w:tr>
        <w:trPr>
          <w:trHeight w:val="230"/>
        </w:trPr>
        <w:tc>
          <w:tcPr>
            <w:tcW w:w="580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Collaboration and license revenue</w:t>
            </w:r>
          </w:p>
        </w:tc>
        <w:tc>
          <w:tcPr>
            <w:tcW w:w="300" w:type="dxa"/>
            <w:vAlign w:val="bottom"/>
          </w:tcPr>
          <w:p>
            <w:pPr>
              <w:jc w:val="right"/>
              <w:ind w:right="106"/>
              <w:spacing w:after="0"/>
              <w:rPr>
                <w:sz w:val="20"/>
                <w:szCs w:val="20"/>
                <w:color w:val="auto"/>
              </w:rPr>
            </w:pPr>
            <w:r>
              <w:rPr>
                <w:rFonts w:ascii="Times New Roman" w:cs="Times New Roman" w:eastAsia="Times New Roman" w:hAnsi="Times New Roman"/>
                <w:sz w:val="19"/>
                <w:szCs w:val="19"/>
                <w:color w:val="auto"/>
                <w:w w:val="8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43,766</w:t>
            </w:r>
          </w:p>
        </w:tc>
        <w:tc>
          <w:tcPr>
            <w:tcW w:w="140" w:type="dxa"/>
            <w:vAlign w:val="bottom"/>
          </w:tcPr>
          <w:p>
            <w:pPr>
              <w:spacing w:after="0"/>
              <w:rPr>
                <w:sz w:val="20"/>
                <w:szCs w:val="20"/>
                <w:color w:val="auto"/>
              </w:rPr>
            </w:pPr>
          </w:p>
        </w:tc>
        <w:tc>
          <w:tcPr>
            <w:tcW w:w="460" w:type="dxa"/>
            <w:vAlign w:val="bottom"/>
            <w:gridSpan w:val="2"/>
          </w:tcPr>
          <w:p>
            <w:pPr>
              <w:jc w:val="right"/>
              <w:ind w:right="300"/>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6,344</w:t>
            </w:r>
          </w:p>
        </w:tc>
        <w:tc>
          <w:tcPr>
            <w:tcW w:w="200" w:type="dxa"/>
            <w:vAlign w:val="bottom"/>
          </w:tcPr>
          <w:p>
            <w:pPr>
              <w:spacing w:after="0"/>
              <w:rPr>
                <w:sz w:val="20"/>
                <w:szCs w:val="20"/>
                <w:color w:val="auto"/>
              </w:rPr>
            </w:pPr>
          </w:p>
        </w:tc>
        <w:tc>
          <w:tcPr>
            <w:tcW w:w="240" w:type="dxa"/>
            <w:vAlign w:val="bottom"/>
          </w:tcPr>
          <w:p>
            <w:pPr>
              <w:jc w:val="right"/>
              <w:ind w:right="46"/>
              <w:spacing w:after="0"/>
              <w:rPr>
                <w:sz w:val="20"/>
                <w:szCs w:val="20"/>
                <w:color w:val="auto"/>
              </w:rPr>
            </w:pPr>
            <w:r>
              <w:rPr>
                <w:rFonts w:ascii="Times New Roman" w:cs="Times New Roman" w:eastAsia="Times New Roman" w:hAnsi="Times New Roman"/>
                <w:sz w:val="19"/>
                <w:szCs w:val="19"/>
                <w:color w:val="auto"/>
                <w:w w:val="8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37,422</w:t>
            </w:r>
          </w:p>
        </w:tc>
        <w:tc>
          <w:tcPr>
            <w:tcW w:w="80" w:type="dxa"/>
            <w:vAlign w:val="bottom"/>
          </w:tcPr>
          <w:p>
            <w:pPr>
              <w:spacing w:after="0"/>
              <w:rPr>
                <w:sz w:val="20"/>
                <w:szCs w:val="20"/>
                <w:color w:val="auto"/>
              </w:rPr>
            </w:pPr>
          </w:p>
        </w:tc>
      </w:tr>
      <w:tr>
        <w:trPr>
          <w:trHeight w:val="225"/>
        </w:trPr>
        <w:tc>
          <w:tcPr>
            <w:tcW w:w="5800" w:type="dxa"/>
            <w:vAlign w:val="bottom"/>
            <w:tcBorders>
              <w:top w:val="single" w:sz="8" w:color="D5EEEE"/>
            </w:tcBorders>
            <w:shd w:val="clear" w:color="auto" w:fill="D5EEEE"/>
          </w:tcPr>
          <w:p>
            <w:pPr>
              <w:spacing w:after="0"/>
              <w:rPr>
                <w:sz w:val="20"/>
                <w:szCs w:val="20"/>
                <w:color w:val="auto"/>
              </w:rPr>
            </w:pPr>
            <w:r>
              <w:rPr>
                <w:rFonts w:ascii="Times New Roman" w:cs="Times New Roman" w:eastAsia="Times New Roman" w:hAnsi="Times New Roman"/>
                <w:sz w:val="19"/>
                <w:szCs w:val="19"/>
                <w:color w:val="auto"/>
              </w:rPr>
              <w:t>Total revenue</w:t>
            </w:r>
          </w:p>
        </w:tc>
        <w:tc>
          <w:tcPr>
            <w:tcW w:w="300" w:type="dxa"/>
            <w:vAlign w:val="bottom"/>
            <w:tcBorders>
              <w:top w:val="single" w:sz="8" w:color="auto"/>
            </w:tcBorders>
            <w:shd w:val="clear" w:color="auto" w:fill="D5EEEE"/>
          </w:tcPr>
          <w:p>
            <w:pPr>
              <w:spacing w:after="0"/>
              <w:rPr>
                <w:sz w:val="19"/>
                <w:szCs w:val="19"/>
                <w:color w:val="auto"/>
              </w:rPr>
            </w:pPr>
          </w:p>
        </w:tc>
        <w:tc>
          <w:tcPr>
            <w:tcW w:w="102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43,766</w:t>
            </w:r>
          </w:p>
        </w:tc>
        <w:tc>
          <w:tcPr>
            <w:tcW w:w="140" w:type="dxa"/>
            <w:vAlign w:val="bottom"/>
            <w:tcBorders>
              <w:top w:val="single" w:sz="8" w:color="D5EEEE"/>
            </w:tcBorders>
            <w:shd w:val="clear" w:color="auto" w:fill="D5EEEE"/>
          </w:tcPr>
          <w:p>
            <w:pPr>
              <w:spacing w:after="0"/>
              <w:rPr>
                <w:sz w:val="19"/>
                <w:szCs w:val="19"/>
                <w:color w:val="auto"/>
              </w:rPr>
            </w:pPr>
          </w:p>
        </w:tc>
        <w:tc>
          <w:tcPr>
            <w:tcW w:w="60" w:type="dxa"/>
            <w:vAlign w:val="bottom"/>
            <w:tcBorders>
              <w:top w:val="single" w:sz="8" w:color="D5EEEE"/>
            </w:tcBorders>
            <w:shd w:val="clear" w:color="auto" w:fill="D5EEEE"/>
          </w:tcPr>
          <w:p>
            <w:pPr>
              <w:spacing w:after="0"/>
              <w:rPr>
                <w:sz w:val="19"/>
                <w:szCs w:val="19"/>
                <w:color w:val="auto"/>
              </w:rPr>
            </w:pPr>
          </w:p>
        </w:tc>
        <w:tc>
          <w:tcPr>
            <w:tcW w:w="400" w:type="dxa"/>
            <w:vAlign w:val="bottom"/>
            <w:tcBorders>
              <w:top w:val="single" w:sz="8" w:color="auto"/>
            </w:tcBorders>
            <w:shd w:val="clear" w:color="auto" w:fill="D5EEEE"/>
          </w:tcPr>
          <w:p>
            <w:pPr>
              <w:spacing w:after="0"/>
              <w:rPr>
                <w:sz w:val="19"/>
                <w:szCs w:val="19"/>
                <w:color w:val="auto"/>
              </w:rPr>
            </w:pPr>
          </w:p>
        </w:tc>
        <w:tc>
          <w:tcPr>
            <w:tcW w:w="90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6,344</w:t>
            </w:r>
          </w:p>
        </w:tc>
        <w:tc>
          <w:tcPr>
            <w:tcW w:w="200" w:type="dxa"/>
            <w:vAlign w:val="bottom"/>
            <w:tcBorders>
              <w:top w:val="single" w:sz="8" w:color="D5EEEE"/>
            </w:tcBorders>
            <w:shd w:val="clear" w:color="auto" w:fill="D5EEEE"/>
          </w:tcPr>
          <w:p>
            <w:pPr>
              <w:spacing w:after="0"/>
              <w:rPr>
                <w:sz w:val="19"/>
                <w:szCs w:val="19"/>
                <w:color w:val="auto"/>
              </w:rPr>
            </w:pPr>
          </w:p>
        </w:tc>
        <w:tc>
          <w:tcPr>
            <w:tcW w:w="240" w:type="dxa"/>
            <w:vAlign w:val="bottom"/>
            <w:tcBorders>
              <w:top w:val="single" w:sz="8" w:color="auto"/>
            </w:tcBorders>
            <w:shd w:val="clear" w:color="auto" w:fill="D5EEEE"/>
          </w:tcPr>
          <w:p>
            <w:pPr>
              <w:spacing w:after="0"/>
              <w:rPr>
                <w:sz w:val="19"/>
                <w:szCs w:val="19"/>
                <w:color w:val="auto"/>
              </w:rPr>
            </w:pPr>
          </w:p>
        </w:tc>
        <w:tc>
          <w:tcPr>
            <w:tcW w:w="106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37,422</w:t>
            </w:r>
          </w:p>
        </w:tc>
        <w:tc>
          <w:tcPr>
            <w:tcW w:w="80" w:type="dxa"/>
            <w:vAlign w:val="bottom"/>
            <w:tcBorders>
              <w:top w:val="single" w:sz="8" w:color="D5EEEE"/>
            </w:tcBorders>
            <w:shd w:val="clear" w:color="auto" w:fill="D5EEEE"/>
          </w:tcPr>
          <w:p>
            <w:pPr>
              <w:spacing w:after="0"/>
              <w:rPr>
                <w:sz w:val="19"/>
                <w:szCs w:val="19"/>
                <w:color w:val="auto"/>
              </w:rPr>
            </w:pPr>
          </w:p>
        </w:tc>
      </w:tr>
      <w:tr>
        <w:trPr>
          <w:trHeight w:val="230"/>
        </w:trPr>
        <w:tc>
          <w:tcPr>
            <w:tcW w:w="5800" w:type="dxa"/>
            <w:vAlign w:val="bottom"/>
          </w:tcPr>
          <w:p>
            <w:pPr>
              <w:spacing w:after="0"/>
              <w:rPr>
                <w:sz w:val="20"/>
                <w:szCs w:val="20"/>
                <w:color w:val="auto"/>
              </w:rPr>
            </w:pPr>
            <w:r>
              <w:rPr>
                <w:rFonts w:ascii="Times New Roman" w:cs="Times New Roman" w:eastAsia="Times New Roman" w:hAnsi="Times New Roman"/>
                <w:sz w:val="19"/>
                <w:szCs w:val="19"/>
                <w:color w:val="auto"/>
              </w:rPr>
              <w:t>Operating expenses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1"/>
        </w:trPr>
        <w:tc>
          <w:tcPr>
            <w:tcW w:w="5800" w:type="dxa"/>
            <w:vAlign w:val="bottom"/>
            <w:shd w:val="clear" w:color="auto" w:fill="D5EEEE"/>
          </w:tcPr>
          <w:p>
            <w:pPr>
              <w:ind w:left="100"/>
              <w:spacing w:after="0"/>
              <w:rPr>
                <w:sz w:val="20"/>
                <w:szCs w:val="20"/>
                <w:color w:val="auto"/>
              </w:rPr>
            </w:pPr>
            <w:r>
              <w:rPr>
                <w:rFonts w:ascii="Times New Roman" w:cs="Times New Roman" w:eastAsia="Times New Roman" w:hAnsi="Times New Roman"/>
                <w:sz w:val="19"/>
                <w:szCs w:val="19"/>
                <w:color w:val="auto"/>
              </w:rPr>
              <w:t>Research and development</w:t>
            </w:r>
          </w:p>
        </w:tc>
        <w:tc>
          <w:tcPr>
            <w:tcW w:w="300" w:type="dxa"/>
            <w:vAlign w:val="bottom"/>
            <w:shd w:val="clear" w:color="auto" w:fill="D5EEEE"/>
          </w:tcPr>
          <w:p>
            <w:pPr>
              <w:jc w:val="right"/>
              <w:ind w:right="106"/>
              <w:spacing w:after="0"/>
              <w:rPr>
                <w:sz w:val="20"/>
                <w:szCs w:val="20"/>
                <w:color w:val="auto"/>
              </w:rPr>
            </w:pPr>
            <w:r>
              <w:rPr>
                <w:rFonts w:ascii="Times New Roman" w:cs="Times New Roman" w:eastAsia="Times New Roman" w:hAnsi="Times New Roman"/>
                <w:sz w:val="19"/>
                <w:szCs w:val="19"/>
                <w:color w:val="auto"/>
                <w:w w:val="83"/>
              </w:rPr>
              <w:t>$</w:t>
            </w:r>
          </w:p>
        </w:tc>
        <w:tc>
          <w:tcPr>
            <w:tcW w:w="10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56,039</w:t>
            </w:r>
          </w:p>
        </w:tc>
        <w:tc>
          <w:tcPr>
            <w:tcW w:w="140" w:type="dxa"/>
            <w:vAlign w:val="bottom"/>
            <w:shd w:val="clear" w:color="auto" w:fill="D5EEEE"/>
          </w:tcPr>
          <w:p>
            <w:pPr>
              <w:spacing w:after="0"/>
              <w:rPr>
                <w:sz w:val="20"/>
                <w:szCs w:val="20"/>
                <w:color w:val="auto"/>
              </w:rPr>
            </w:pPr>
          </w:p>
        </w:tc>
        <w:tc>
          <w:tcPr>
            <w:tcW w:w="460" w:type="dxa"/>
            <w:vAlign w:val="bottom"/>
            <w:gridSpan w:val="2"/>
            <w:shd w:val="clear" w:color="auto" w:fill="D5EEEE"/>
          </w:tcPr>
          <w:p>
            <w:pPr>
              <w:jc w:val="right"/>
              <w:ind w:right="300"/>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41,211</w:t>
            </w:r>
          </w:p>
        </w:tc>
        <w:tc>
          <w:tcPr>
            <w:tcW w:w="200" w:type="dxa"/>
            <w:vAlign w:val="bottom"/>
            <w:shd w:val="clear" w:color="auto" w:fill="D5EEEE"/>
          </w:tcPr>
          <w:p>
            <w:pPr>
              <w:spacing w:after="0"/>
              <w:rPr>
                <w:sz w:val="20"/>
                <w:szCs w:val="20"/>
                <w:color w:val="auto"/>
              </w:rPr>
            </w:pPr>
          </w:p>
        </w:tc>
        <w:tc>
          <w:tcPr>
            <w:tcW w:w="240" w:type="dxa"/>
            <w:vAlign w:val="bottom"/>
            <w:shd w:val="clear" w:color="auto" w:fill="D5EEEE"/>
          </w:tcPr>
          <w:p>
            <w:pPr>
              <w:jc w:val="right"/>
              <w:ind w:right="46"/>
              <w:spacing w:after="0"/>
              <w:rPr>
                <w:sz w:val="20"/>
                <w:szCs w:val="20"/>
                <w:color w:val="auto"/>
              </w:rPr>
            </w:pPr>
            <w:r>
              <w:rPr>
                <w:rFonts w:ascii="Times New Roman" w:cs="Times New Roman" w:eastAsia="Times New Roman" w:hAnsi="Times New Roman"/>
                <w:sz w:val="19"/>
                <w:szCs w:val="19"/>
                <w:color w:val="auto"/>
                <w:w w:val="83"/>
              </w:rPr>
              <w:t>$</w:t>
            </w:r>
          </w:p>
        </w:tc>
        <w:tc>
          <w:tcPr>
            <w:tcW w:w="10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14,828</w:t>
            </w:r>
          </w:p>
        </w:tc>
        <w:tc>
          <w:tcPr>
            <w:tcW w:w="80" w:type="dxa"/>
            <w:vAlign w:val="bottom"/>
            <w:shd w:val="clear" w:color="auto" w:fill="D5EEEE"/>
          </w:tcPr>
          <w:p>
            <w:pPr>
              <w:spacing w:after="0"/>
              <w:rPr>
                <w:sz w:val="20"/>
                <w:szCs w:val="20"/>
                <w:color w:val="auto"/>
              </w:rPr>
            </w:pPr>
          </w:p>
        </w:tc>
      </w:tr>
      <w:tr>
        <w:trPr>
          <w:trHeight w:val="230"/>
        </w:trPr>
        <w:tc>
          <w:tcPr>
            <w:tcW w:w="580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General and administrative</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29,709</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24,778</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4,931</w:t>
            </w:r>
          </w:p>
        </w:tc>
        <w:tc>
          <w:tcPr>
            <w:tcW w:w="80" w:type="dxa"/>
            <w:vAlign w:val="bottom"/>
          </w:tcPr>
          <w:p>
            <w:pPr>
              <w:spacing w:after="0"/>
              <w:rPr>
                <w:sz w:val="20"/>
                <w:szCs w:val="20"/>
                <w:color w:val="auto"/>
              </w:rPr>
            </w:pPr>
          </w:p>
        </w:tc>
      </w:tr>
      <w:tr>
        <w:trPr>
          <w:trHeight w:val="231"/>
        </w:trPr>
        <w:tc>
          <w:tcPr>
            <w:tcW w:w="5800" w:type="dxa"/>
            <w:vAlign w:val="bottom"/>
            <w:shd w:val="clear" w:color="auto" w:fill="D5EEEE"/>
          </w:tcPr>
          <w:p>
            <w:pPr>
              <w:ind w:left="100"/>
              <w:spacing w:after="0"/>
              <w:rPr>
                <w:sz w:val="20"/>
                <w:szCs w:val="20"/>
                <w:color w:val="auto"/>
              </w:rPr>
            </w:pPr>
            <w:r>
              <w:rPr>
                <w:rFonts w:ascii="Times New Roman" w:cs="Times New Roman" w:eastAsia="Times New Roman" w:hAnsi="Times New Roman"/>
                <w:sz w:val="19"/>
                <w:szCs w:val="19"/>
                <w:color w:val="auto"/>
              </w:rPr>
              <w:t>Restructuring</w:t>
            </w:r>
          </w:p>
        </w:tc>
        <w:tc>
          <w:tcPr>
            <w:tcW w:w="300" w:type="dxa"/>
            <w:vAlign w:val="bottom"/>
            <w:shd w:val="clear" w:color="auto" w:fill="D5EEEE"/>
          </w:tcPr>
          <w:p>
            <w:pPr>
              <w:spacing w:after="0"/>
              <w:rPr>
                <w:sz w:val="20"/>
                <w:szCs w:val="20"/>
                <w:color w:val="auto"/>
              </w:rPr>
            </w:pPr>
          </w:p>
        </w:tc>
        <w:tc>
          <w:tcPr>
            <w:tcW w:w="1160" w:type="dxa"/>
            <w:vAlign w:val="bottom"/>
            <w:gridSpan w:val="2"/>
            <w:shd w:val="clear" w:color="auto" w:fill="D5EEEE"/>
          </w:tcPr>
          <w:p>
            <w:pPr>
              <w:jc w:val="right"/>
              <w:ind w:right="140"/>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shd w:val="clear" w:color="auto" w:fill="D5EEEE"/>
          </w:tcPr>
          <w:p>
            <w:pPr>
              <w:spacing w:after="0"/>
              <w:rPr>
                <w:sz w:val="20"/>
                <w:szCs w:val="20"/>
                <w:color w:val="auto"/>
              </w:rPr>
            </w:pPr>
          </w:p>
        </w:tc>
        <w:tc>
          <w:tcPr>
            <w:tcW w:w="400" w:type="dxa"/>
            <w:vAlign w:val="bottom"/>
            <w:shd w:val="clear" w:color="auto" w:fill="D5EEEE"/>
          </w:tcPr>
          <w:p>
            <w:pPr>
              <w:spacing w:after="0"/>
              <w:rPr>
                <w:sz w:val="20"/>
                <w:szCs w:val="20"/>
                <w:color w:val="auto"/>
              </w:rPr>
            </w:pPr>
          </w:p>
        </w:tc>
        <w:tc>
          <w:tcPr>
            <w:tcW w:w="9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937</w:t>
            </w:r>
          </w:p>
        </w:tc>
        <w:tc>
          <w:tcPr>
            <w:tcW w:w="200" w:type="dxa"/>
            <w:vAlign w:val="bottom"/>
            <w:shd w:val="clear" w:color="auto" w:fill="D5EEEE"/>
          </w:tcPr>
          <w:p>
            <w:pPr>
              <w:spacing w:after="0"/>
              <w:rPr>
                <w:sz w:val="20"/>
                <w:szCs w:val="20"/>
                <w:color w:val="auto"/>
              </w:rPr>
            </w:pPr>
          </w:p>
        </w:tc>
        <w:tc>
          <w:tcPr>
            <w:tcW w:w="240" w:type="dxa"/>
            <w:vAlign w:val="bottom"/>
            <w:shd w:val="clear" w:color="auto" w:fill="D5EEEE"/>
          </w:tcPr>
          <w:p>
            <w:pPr>
              <w:spacing w:after="0"/>
              <w:rPr>
                <w:sz w:val="20"/>
                <w:szCs w:val="20"/>
                <w:color w:val="auto"/>
              </w:rPr>
            </w:pPr>
          </w:p>
        </w:tc>
        <w:tc>
          <w:tcPr>
            <w:tcW w:w="1140" w:type="dxa"/>
            <w:vAlign w:val="bottom"/>
            <w:gridSpan w:val="2"/>
            <w:shd w:val="clear" w:color="auto" w:fill="D5EEEE"/>
          </w:tcPr>
          <w:p>
            <w:pPr>
              <w:jc w:val="right"/>
              <w:ind w:right="20"/>
              <w:spacing w:after="0"/>
              <w:rPr>
                <w:sz w:val="20"/>
                <w:szCs w:val="20"/>
                <w:color w:val="auto"/>
              </w:rPr>
            </w:pPr>
            <w:r>
              <w:rPr>
                <w:rFonts w:ascii="Times New Roman" w:cs="Times New Roman" w:eastAsia="Times New Roman" w:hAnsi="Times New Roman"/>
                <w:sz w:val="19"/>
                <w:szCs w:val="19"/>
                <w:color w:val="auto"/>
              </w:rPr>
              <w:t>(937)</w:t>
            </w:r>
          </w:p>
        </w:tc>
      </w:tr>
      <w:tr>
        <w:trPr>
          <w:trHeight w:val="224"/>
        </w:trPr>
        <w:tc>
          <w:tcPr>
            <w:tcW w:w="5800" w:type="dxa"/>
            <w:vAlign w:val="bottom"/>
            <w:tcBorders>
              <w:bottom w:val="single" w:sz="8" w:color="D5EEEE"/>
            </w:tcBorders>
          </w:tcPr>
          <w:p>
            <w:pPr>
              <w:spacing w:after="0"/>
              <w:rPr>
                <w:sz w:val="20"/>
                <w:szCs w:val="20"/>
                <w:color w:val="auto"/>
              </w:rPr>
            </w:pPr>
            <w:r>
              <w:rPr>
                <w:rFonts w:ascii="Times New Roman" w:cs="Times New Roman" w:eastAsia="Times New Roman" w:hAnsi="Times New Roman"/>
                <w:sz w:val="19"/>
                <w:szCs w:val="19"/>
                <w:color w:val="auto"/>
              </w:rPr>
              <w:t>Total operating expenses</w:t>
            </w: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85,748</w:t>
            </w:r>
          </w:p>
        </w:tc>
        <w:tc>
          <w:tcPr>
            <w:tcW w:w="140" w:type="dxa"/>
            <w:vAlign w:val="bottom"/>
            <w:tcBorders>
              <w:bottom w:val="single" w:sz="8" w:color="D5EEEE"/>
            </w:tcBorders>
          </w:tcPr>
          <w:p>
            <w:pPr>
              <w:spacing w:after="0"/>
              <w:rPr>
                <w:sz w:val="19"/>
                <w:szCs w:val="19"/>
                <w:color w:val="auto"/>
              </w:rPr>
            </w:pPr>
          </w:p>
        </w:tc>
        <w:tc>
          <w:tcPr>
            <w:tcW w:w="60" w:type="dxa"/>
            <w:vAlign w:val="bottom"/>
            <w:tcBorders>
              <w:bottom w:val="single" w:sz="8" w:color="D5EEEE"/>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66,926</w:t>
            </w:r>
          </w:p>
        </w:tc>
        <w:tc>
          <w:tcPr>
            <w:tcW w:w="200" w:type="dxa"/>
            <w:vAlign w:val="bottom"/>
            <w:tcBorders>
              <w:bottom w:val="single" w:sz="8" w:color="D5EEEE"/>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18,822</w:t>
            </w:r>
          </w:p>
        </w:tc>
        <w:tc>
          <w:tcPr>
            <w:tcW w:w="80" w:type="dxa"/>
            <w:vAlign w:val="bottom"/>
            <w:tcBorders>
              <w:bottom w:val="single" w:sz="8" w:color="D5EEEE"/>
            </w:tcBorders>
          </w:tcPr>
          <w:p>
            <w:pPr>
              <w:spacing w:after="0"/>
              <w:rPr>
                <w:sz w:val="19"/>
                <w:szCs w:val="19"/>
                <w:color w:val="auto"/>
              </w:rPr>
            </w:pPr>
          </w:p>
        </w:tc>
      </w:tr>
      <w:tr>
        <w:trPr>
          <w:trHeight w:val="225"/>
        </w:trPr>
        <w:tc>
          <w:tcPr>
            <w:tcW w:w="5800" w:type="dxa"/>
            <w:vAlign w:val="bottom"/>
            <w:shd w:val="clear" w:color="auto" w:fill="D5EEEE"/>
          </w:tcPr>
          <w:p>
            <w:pPr>
              <w:ind w:left="180"/>
              <w:spacing w:after="0"/>
              <w:rPr>
                <w:sz w:val="20"/>
                <w:szCs w:val="20"/>
                <w:color w:val="auto"/>
              </w:rPr>
            </w:pPr>
            <w:r>
              <w:rPr>
                <w:rFonts w:ascii="Times New Roman" w:cs="Times New Roman" w:eastAsia="Times New Roman" w:hAnsi="Times New Roman"/>
                <w:sz w:val="19"/>
                <w:szCs w:val="19"/>
                <w:color w:val="auto"/>
              </w:rPr>
              <w:t>Loss from operations</w:t>
            </w:r>
          </w:p>
        </w:tc>
        <w:tc>
          <w:tcPr>
            <w:tcW w:w="300" w:type="dxa"/>
            <w:vAlign w:val="bottom"/>
            <w:shd w:val="clear" w:color="auto" w:fill="D5EEEE"/>
          </w:tcPr>
          <w:p>
            <w:pPr>
              <w:spacing w:after="0"/>
              <w:rPr>
                <w:sz w:val="19"/>
                <w:szCs w:val="19"/>
                <w:color w:val="auto"/>
              </w:rPr>
            </w:pPr>
          </w:p>
        </w:tc>
        <w:tc>
          <w:tcPr>
            <w:tcW w:w="10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(41,982)</w:t>
            </w:r>
          </w:p>
        </w:tc>
        <w:tc>
          <w:tcPr>
            <w:tcW w:w="140" w:type="dxa"/>
            <w:vAlign w:val="bottom"/>
            <w:shd w:val="clear" w:color="auto" w:fill="D5EEEE"/>
          </w:tcPr>
          <w:p>
            <w:pPr>
              <w:spacing w:after="0"/>
              <w:rPr>
                <w:sz w:val="19"/>
                <w:szCs w:val="19"/>
                <w:color w:val="auto"/>
              </w:rPr>
            </w:pPr>
          </w:p>
        </w:tc>
        <w:tc>
          <w:tcPr>
            <w:tcW w:w="60" w:type="dxa"/>
            <w:vAlign w:val="bottom"/>
            <w:shd w:val="clear" w:color="auto" w:fill="D5EEEE"/>
          </w:tcPr>
          <w:p>
            <w:pPr>
              <w:spacing w:after="0"/>
              <w:rPr>
                <w:sz w:val="19"/>
                <w:szCs w:val="19"/>
                <w:color w:val="auto"/>
              </w:rPr>
            </w:pPr>
          </w:p>
        </w:tc>
        <w:tc>
          <w:tcPr>
            <w:tcW w:w="400" w:type="dxa"/>
            <w:vAlign w:val="bottom"/>
            <w:shd w:val="clear" w:color="auto" w:fill="D5EEEE"/>
          </w:tcPr>
          <w:p>
            <w:pPr>
              <w:spacing w:after="0"/>
              <w:rPr>
                <w:sz w:val="19"/>
                <w:szCs w:val="19"/>
                <w:color w:val="auto"/>
              </w:rPr>
            </w:pPr>
          </w:p>
        </w:tc>
        <w:tc>
          <w:tcPr>
            <w:tcW w:w="9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(60,582)</w:t>
            </w:r>
          </w:p>
        </w:tc>
        <w:tc>
          <w:tcPr>
            <w:tcW w:w="200" w:type="dxa"/>
            <w:vAlign w:val="bottom"/>
            <w:shd w:val="clear" w:color="auto" w:fill="D5EEEE"/>
          </w:tcPr>
          <w:p>
            <w:pPr>
              <w:spacing w:after="0"/>
              <w:rPr>
                <w:sz w:val="19"/>
                <w:szCs w:val="19"/>
                <w:color w:val="auto"/>
              </w:rPr>
            </w:pPr>
          </w:p>
        </w:tc>
        <w:tc>
          <w:tcPr>
            <w:tcW w:w="240" w:type="dxa"/>
            <w:vAlign w:val="bottom"/>
            <w:shd w:val="clear" w:color="auto" w:fill="D5EEEE"/>
          </w:tcPr>
          <w:p>
            <w:pPr>
              <w:spacing w:after="0"/>
              <w:rPr>
                <w:sz w:val="19"/>
                <w:szCs w:val="19"/>
                <w:color w:val="auto"/>
              </w:rPr>
            </w:pPr>
          </w:p>
        </w:tc>
        <w:tc>
          <w:tcPr>
            <w:tcW w:w="10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18,600</w:t>
            </w:r>
          </w:p>
        </w:tc>
        <w:tc>
          <w:tcPr>
            <w:tcW w:w="80" w:type="dxa"/>
            <w:vAlign w:val="bottom"/>
            <w:shd w:val="clear" w:color="auto" w:fill="D5EEEE"/>
          </w:tcPr>
          <w:p>
            <w:pPr>
              <w:spacing w:after="0"/>
              <w:rPr>
                <w:sz w:val="19"/>
                <w:szCs w:val="19"/>
                <w:color w:val="auto"/>
              </w:rPr>
            </w:pPr>
          </w:p>
        </w:tc>
      </w:tr>
      <w:tr>
        <w:trPr>
          <w:trHeight w:val="230"/>
        </w:trPr>
        <w:tc>
          <w:tcPr>
            <w:tcW w:w="5800" w:type="dxa"/>
            <w:vAlign w:val="bottom"/>
          </w:tcPr>
          <w:p>
            <w:pPr>
              <w:spacing w:after="0"/>
              <w:rPr>
                <w:sz w:val="20"/>
                <w:szCs w:val="20"/>
                <w:color w:val="auto"/>
              </w:rPr>
            </w:pPr>
            <w:r>
              <w:rPr>
                <w:rFonts w:ascii="Times New Roman" w:cs="Times New Roman" w:eastAsia="Times New Roman" w:hAnsi="Times New Roman"/>
                <w:sz w:val="19"/>
                <w:szCs w:val="19"/>
                <w:color w:val="auto"/>
              </w:rPr>
              <w:t>Other income, net</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1"/>
        </w:trPr>
        <w:tc>
          <w:tcPr>
            <w:tcW w:w="5800" w:type="dxa"/>
            <w:vAlign w:val="bottom"/>
            <w:shd w:val="clear" w:color="auto" w:fill="D5EEEE"/>
          </w:tcPr>
          <w:p>
            <w:pPr>
              <w:ind w:left="100"/>
              <w:spacing w:after="0"/>
              <w:rPr>
                <w:sz w:val="20"/>
                <w:szCs w:val="20"/>
                <w:color w:val="auto"/>
              </w:rPr>
            </w:pPr>
            <w:r>
              <w:rPr>
                <w:rFonts w:ascii="Times New Roman" w:cs="Times New Roman" w:eastAsia="Times New Roman" w:hAnsi="Times New Roman"/>
                <w:sz w:val="19"/>
                <w:szCs w:val="19"/>
                <w:color w:val="auto"/>
              </w:rPr>
              <w:t>Change in fair value of common stock warrant liabilities</w:t>
            </w:r>
          </w:p>
        </w:tc>
        <w:tc>
          <w:tcPr>
            <w:tcW w:w="300" w:type="dxa"/>
            <w:vAlign w:val="bottom"/>
            <w:shd w:val="clear" w:color="auto" w:fill="D5EEEE"/>
          </w:tcPr>
          <w:p>
            <w:pPr>
              <w:spacing w:after="0"/>
              <w:rPr>
                <w:sz w:val="20"/>
                <w:szCs w:val="20"/>
                <w:color w:val="auto"/>
              </w:rPr>
            </w:pPr>
          </w:p>
        </w:tc>
        <w:tc>
          <w:tcPr>
            <w:tcW w:w="10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5,845</w:t>
            </w:r>
          </w:p>
        </w:tc>
        <w:tc>
          <w:tcPr>
            <w:tcW w:w="140" w:type="dxa"/>
            <w:vAlign w:val="bottom"/>
            <w:shd w:val="clear" w:color="auto" w:fill="D5EEEE"/>
          </w:tcPr>
          <w:p>
            <w:pPr>
              <w:spacing w:after="0"/>
              <w:rPr>
                <w:sz w:val="20"/>
                <w:szCs w:val="20"/>
                <w:color w:val="auto"/>
              </w:rPr>
            </w:pPr>
          </w:p>
        </w:tc>
        <w:tc>
          <w:tcPr>
            <w:tcW w:w="60" w:type="dxa"/>
            <w:vAlign w:val="bottom"/>
            <w:shd w:val="clear" w:color="auto" w:fill="D5EEEE"/>
          </w:tcPr>
          <w:p>
            <w:pPr>
              <w:spacing w:after="0"/>
              <w:rPr>
                <w:sz w:val="20"/>
                <w:szCs w:val="20"/>
                <w:color w:val="auto"/>
              </w:rPr>
            </w:pPr>
          </w:p>
        </w:tc>
        <w:tc>
          <w:tcPr>
            <w:tcW w:w="400" w:type="dxa"/>
            <w:vAlign w:val="bottom"/>
            <w:shd w:val="clear" w:color="auto" w:fill="D5EEEE"/>
          </w:tcPr>
          <w:p>
            <w:pPr>
              <w:spacing w:after="0"/>
              <w:rPr>
                <w:sz w:val="20"/>
                <w:szCs w:val="20"/>
                <w:color w:val="auto"/>
              </w:rPr>
            </w:pPr>
          </w:p>
        </w:tc>
        <w:tc>
          <w:tcPr>
            <w:tcW w:w="1100" w:type="dxa"/>
            <w:vAlign w:val="bottom"/>
            <w:gridSpan w:val="2"/>
            <w:shd w:val="clear" w:color="auto" w:fill="D5EEEE"/>
          </w:tcPr>
          <w:p>
            <w:pPr>
              <w:jc w:val="right"/>
              <w:ind w:right="220"/>
              <w:spacing w:after="0"/>
              <w:rPr>
                <w:sz w:val="20"/>
                <w:szCs w:val="20"/>
                <w:color w:val="auto"/>
              </w:rPr>
            </w:pPr>
            <w:r>
              <w:rPr>
                <w:rFonts w:ascii="Times New Roman" w:cs="Times New Roman" w:eastAsia="Times New Roman" w:hAnsi="Times New Roman"/>
                <w:sz w:val="19"/>
                <w:szCs w:val="19"/>
                <w:color w:val="auto"/>
              </w:rPr>
              <w:t>—</w:t>
            </w:r>
          </w:p>
        </w:tc>
        <w:tc>
          <w:tcPr>
            <w:tcW w:w="240" w:type="dxa"/>
            <w:vAlign w:val="bottom"/>
            <w:shd w:val="clear" w:color="auto" w:fill="D5EEEE"/>
          </w:tcPr>
          <w:p>
            <w:pPr>
              <w:spacing w:after="0"/>
              <w:rPr>
                <w:sz w:val="20"/>
                <w:szCs w:val="20"/>
                <w:color w:val="auto"/>
              </w:rPr>
            </w:pPr>
          </w:p>
        </w:tc>
        <w:tc>
          <w:tcPr>
            <w:tcW w:w="10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5,845</w:t>
            </w:r>
          </w:p>
        </w:tc>
        <w:tc>
          <w:tcPr>
            <w:tcW w:w="80" w:type="dxa"/>
            <w:vAlign w:val="bottom"/>
            <w:shd w:val="clear" w:color="auto" w:fill="D5EEEE"/>
          </w:tcPr>
          <w:p>
            <w:pPr>
              <w:spacing w:after="0"/>
              <w:rPr>
                <w:sz w:val="20"/>
                <w:szCs w:val="20"/>
                <w:color w:val="auto"/>
              </w:rPr>
            </w:pPr>
          </w:p>
        </w:tc>
      </w:tr>
      <w:tr>
        <w:trPr>
          <w:trHeight w:val="230"/>
        </w:trPr>
        <w:tc>
          <w:tcPr>
            <w:tcW w:w="580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Other income,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1,101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2,341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(1,240)</w:t>
            </w:r>
          </w:p>
        </w:tc>
      </w:tr>
      <w:tr>
        <w:trPr>
          <w:trHeight w:val="225"/>
        </w:trPr>
        <w:tc>
          <w:tcPr>
            <w:tcW w:w="5800" w:type="dxa"/>
            <w:vAlign w:val="bottom"/>
            <w:tcBorders>
              <w:top w:val="single" w:sz="8" w:color="D5EEEE"/>
              <w:bottom w:val="single" w:sz="8" w:color="D5EEEE"/>
            </w:tcBorders>
            <w:shd w:val="clear" w:color="auto" w:fill="D5EEEE"/>
          </w:tcPr>
          <w:p>
            <w:pPr>
              <w:ind w:left="280"/>
              <w:spacing w:after="0"/>
              <w:rPr>
                <w:sz w:val="20"/>
                <w:szCs w:val="20"/>
                <w:color w:val="auto"/>
              </w:rPr>
            </w:pPr>
            <w:r>
              <w:rPr>
                <w:rFonts w:ascii="Times New Roman" w:cs="Times New Roman" w:eastAsia="Times New Roman" w:hAnsi="Times New Roman"/>
                <w:sz w:val="19"/>
                <w:szCs w:val="19"/>
                <w:color w:val="auto"/>
              </w:rPr>
              <w:t>Total other income, net</w:t>
            </w:r>
          </w:p>
        </w:tc>
        <w:tc>
          <w:tcPr>
            <w:tcW w:w="300" w:type="dxa"/>
            <w:vAlign w:val="bottom"/>
            <w:tcBorders>
              <w:top w:val="single" w:sz="8" w:color="auto"/>
              <w:bottom w:val="single" w:sz="8" w:color="auto"/>
            </w:tcBorders>
            <w:shd w:val="clear" w:color="auto" w:fill="D5EEEE"/>
          </w:tcPr>
          <w:p>
            <w:pPr>
              <w:spacing w:after="0"/>
              <w:rPr>
                <w:sz w:val="19"/>
                <w:szCs w:val="19"/>
                <w:color w:val="auto"/>
              </w:rPr>
            </w:pPr>
          </w:p>
        </w:tc>
        <w:tc>
          <w:tcPr>
            <w:tcW w:w="1020" w:type="dxa"/>
            <w:vAlign w:val="bottom"/>
            <w:tcBorders>
              <w:top w:val="single" w:sz="8" w:color="auto"/>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6,946</w:t>
            </w:r>
          </w:p>
        </w:tc>
        <w:tc>
          <w:tcPr>
            <w:tcW w:w="140" w:type="dxa"/>
            <w:vAlign w:val="bottom"/>
            <w:tcBorders>
              <w:top w:val="single" w:sz="8" w:color="D5EEEE"/>
              <w:bottom w:val="single" w:sz="8" w:color="D5EEEE"/>
            </w:tcBorders>
            <w:shd w:val="clear" w:color="auto" w:fill="D5EEEE"/>
          </w:tcPr>
          <w:p>
            <w:pPr>
              <w:spacing w:after="0"/>
              <w:rPr>
                <w:sz w:val="19"/>
                <w:szCs w:val="19"/>
                <w:color w:val="auto"/>
              </w:rPr>
            </w:pPr>
          </w:p>
        </w:tc>
        <w:tc>
          <w:tcPr>
            <w:tcW w:w="60" w:type="dxa"/>
            <w:vAlign w:val="bottom"/>
            <w:tcBorders>
              <w:top w:val="single" w:sz="8" w:color="D5EEEE"/>
              <w:bottom w:val="single" w:sz="8" w:color="D5EEEE"/>
            </w:tcBorders>
            <w:shd w:val="clear" w:color="auto" w:fill="D5EEEE"/>
          </w:tcPr>
          <w:p>
            <w:pPr>
              <w:spacing w:after="0"/>
              <w:rPr>
                <w:sz w:val="19"/>
                <w:szCs w:val="19"/>
                <w:color w:val="auto"/>
              </w:rPr>
            </w:pPr>
          </w:p>
        </w:tc>
        <w:tc>
          <w:tcPr>
            <w:tcW w:w="400" w:type="dxa"/>
            <w:vAlign w:val="bottom"/>
            <w:tcBorders>
              <w:top w:val="single" w:sz="8" w:color="auto"/>
              <w:bottom w:val="single" w:sz="8" w:color="auto"/>
            </w:tcBorders>
            <w:shd w:val="clear" w:color="auto" w:fill="D5EEEE"/>
          </w:tcPr>
          <w:p>
            <w:pPr>
              <w:spacing w:after="0"/>
              <w:rPr>
                <w:sz w:val="19"/>
                <w:szCs w:val="19"/>
                <w:color w:val="auto"/>
              </w:rPr>
            </w:pPr>
          </w:p>
        </w:tc>
        <w:tc>
          <w:tcPr>
            <w:tcW w:w="900" w:type="dxa"/>
            <w:vAlign w:val="bottom"/>
            <w:tcBorders>
              <w:top w:val="single" w:sz="8" w:color="auto"/>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2,341</w:t>
            </w:r>
          </w:p>
        </w:tc>
        <w:tc>
          <w:tcPr>
            <w:tcW w:w="200" w:type="dxa"/>
            <w:vAlign w:val="bottom"/>
            <w:tcBorders>
              <w:top w:val="single" w:sz="8" w:color="D5EEEE"/>
              <w:bottom w:val="single" w:sz="8" w:color="D5EEEE"/>
            </w:tcBorders>
            <w:shd w:val="clear" w:color="auto" w:fill="D5EEEE"/>
          </w:tcPr>
          <w:p>
            <w:pPr>
              <w:spacing w:after="0"/>
              <w:rPr>
                <w:sz w:val="19"/>
                <w:szCs w:val="19"/>
                <w:color w:val="auto"/>
              </w:rPr>
            </w:pPr>
          </w:p>
        </w:tc>
        <w:tc>
          <w:tcPr>
            <w:tcW w:w="240" w:type="dxa"/>
            <w:vAlign w:val="bottom"/>
            <w:tcBorders>
              <w:top w:val="single" w:sz="8" w:color="auto"/>
              <w:bottom w:val="single" w:sz="8" w:color="auto"/>
            </w:tcBorders>
            <w:shd w:val="clear" w:color="auto" w:fill="D5EEEE"/>
          </w:tcPr>
          <w:p>
            <w:pPr>
              <w:spacing w:after="0"/>
              <w:rPr>
                <w:sz w:val="19"/>
                <w:szCs w:val="19"/>
                <w:color w:val="auto"/>
              </w:rPr>
            </w:pPr>
          </w:p>
        </w:tc>
        <w:tc>
          <w:tcPr>
            <w:tcW w:w="1060" w:type="dxa"/>
            <w:vAlign w:val="bottom"/>
            <w:tcBorders>
              <w:top w:val="single" w:sz="8" w:color="auto"/>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4,605</w:t>
            </w:r>
          </w:p>
        </w:tc>
        <w:tc>
          <w:tcPr>
            <w:tcW w:w="80" w:type="dxa"/>
            <w:vAlign w:val="bottom"/>
            <w:tcBorders>
              <w:top w:val="single" w:sz="8" w:color="D5EEEE"/>
              <w:bottom w:val="single" w:sz="8" w:color="D5EEEE"/>
            </w:tcBorders>
            <w:shd w:val="clear" w:color="auto" w:fill="D5EEEE"/>
          </w:tcPr>
          <w:p>
            <w:pPr>
              <w:spacing w:after="0"/>
              <w:rPr>
                <w:sz w:val="19"/>
                <w:szCs w:val="19"/>
                <w:color w:val="auto"/>
              </w:rPr>
            </w:pPr>
          </w:p>
        </w:tc>
      </w:tr>
      <w:tr>
        <w:trPr>
          <w:trHeight w:val="225"/>
        </w:trPr>
        <w:tc>
          <w:tcPr>
            <w:tcW w:w="5800" w:type="dxa"/>
            <w:vAlign w:val="bottom"/>
          </w:tcPr>
          <w:p>
            <w:pPr>
              <w:spacing w:after="0"/>
              <w:rPr>
                <w:sz w:val="20"/>
                <w:szCs w:val="20"/>
                <w:color w:val="auto"/>
              </w:rPr>
            </w:pPr>
            <w:r>
              <w:rPr>
                <w:rFonts w:ascii="Times New Roman" w:cs="Times New Roman" w:eastAsia="Times New Roman" w:hAnsi="Times New Roman"/>
                <w:sz w:val="19"/>
                <w:szCs w:val="19"/>
                <w:color w:val="auto"/>
              </w:rPr>
              <w:t>Net loss</w:t>
            </w:r>
          </w:p>
        </w:tc>
        <w:tc>
          <w:tcPr>
            <w:tcW w:w="300" w:type="dxa"/>
            <w:vAlign w:val="bottom"/>
          </w:tcPr>
          <w:p>
            <w:pPr>
              <w:jc w:val="right"/>
              <w:ind w:right="106"/>
              <w:spacing w:after="0"/>
              <w:rPr>
                <w:sz w:val="20"/>
                <w:szCs w:val="20"/>
                <w:color w:val="auto"/>
              </w:rPr>
            </w:pPr>
            <w:r>
              <w:rPr>
                <w:rFonts w:ascii="Times New Roman" w:cs="Times New Roman" w:eastAsia="Times New Roman" w:hAnsi="Times New Roman"/>
                <w:sz w:val="19"/>
                <w:szCs w:val="19"/>
                <w:color w:val="auto"/>
                <w:w w:val="83"/>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(35,036)</w:t>
            </w:r>
          </w:p>
        </w:tc>
        <w:tc>
          <w:tcPr>
            <w:tcW w:w="460" w:type="dxa"/>
            <w:vAlign w:val="bottom"/>
            <w:gridSpan w:val="2"/>
          </w:tcPr>
          <w:p>
            <w:pPr>
              <w:jc w:val="right"/>
              <w:ind w:right="300"/>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9"/>
                <w:szCs w:val="19"/>
                <w:color w:val="auto"/>
              </w:rPr>
              <w:t>(58,241)</w:t>
            </w:r>
          </w:p>
        </w:tc>
        <w:tc>
          <w:tcPr>
            <w:tcW w:w="240" w:type="dxa"/>
            <w:vAlign w:val="bottom"/>
          </w:tcPr>
          <w:p>
            <w:pPr>
              <w:jc w:val="right"/>
              <w:ind w:right="46"/>
              <w:spacing w:after="0"/>
              <w:rPr>
                <w:sz w:val="20"/>
                <w:szCs w:val="20"/>
                <w:color w:val="auto"/>
              </w:rPr>
            </w:pPr>
            <w:r>
              <w:rPr>
                <w:rFonts w:ascii="Times New Roman" w:cs="Times New Roman" w:eastAsia="Times New Roman" w:hAnsi="Times New Roman"/>
                <w:sz w:val="19"/>
                <w:szCs w:val="19"/>
                <w:color w:val="auto"/>
                <w:w w:val="8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23,205</w:t>
            </w:r>
          </w:p>
        </w:tc>
        <w:tc>
          <w:tcPr>
            <w:tcW w:w="80" w:type="dxa"/>
            <w:vAlign w:val="bottom"/>
          </w:tcPr>
          <w:p>
            <w:pPr>
              <w:spacing w:after="0"/>
              <w:rPr>
                <w:sz w:val="19"/>
                <w:szCs w:val="19"/>
                <w:color w:val="auto"/>
              </w:rPr>
            </w:pPr>
          </w:p>
        </w:tc>
      </w:tr>
      <w:tr>
        <w:trPr>
          <w:trHeight w:val="20"/>
        </w:trPr>
        <w:tc>
          <w:tcPr>
            <w:tcW w:w="58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3667760</wp:posOffset>
            </wp:positionH>
            <wp:positionV relativeFrom="paragraph">
              <wp:posOffset>-2270125</wp:posOffset>
            </wp:positionV>
            <wp:extent cx="1824990" cy="36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8">
                      <a:extLst>
                        <a:ext uri="{28A0092B-C50C-407E-A947-70E740481C1C}"/>
                      </a:extLst>
                    </a:blip>
                    <a:srcRect/>
                    <a:stretch>
                      <a:fillRect/>
                    </a:stretch>
                  </pic:blipFill>
                  <pic:spPr bwMode="auto">
                    <a:xfrm>
                      <a:off x="0" y="0"/>
                      <a:ext cx="1824990" cy="36195"/>
                    </a:xfrm>
                    <a:prstGeom prst="rect">
                      <a:avLst/>
                    </a:prstGeom>
                    <a:noFill/>
                  </pic:spPr>
                </pic:pic>
              </a:graphicData>
            </a:graphic>
          </wp:anchor>
        </w:drawing>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i w:val="1"/>
          <w:iCs w:val="1"/>
          <w:color w:val="auto"/>
        </w:rPr>
        <w:t>Collaboration and License Revenue</w:t>
      </w:r>
    </w:p>
    <w:p>
      <w:pPr>
        <w:spacing w:after="0" w:line="26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Collaboration and license revenue increased by $37.4 million from $6.3 million for the year ended December 31, 2024 to $43.8 million for the year ended December 31, 2025. The increase was due to collaboration and license revenue recognized under the collaboration, license and option agreement that we entered into in February 2025 with AbbVie and an increase in collaboration and license revenue recognized under the license agreement with Gilead, which included a cumulative catch-up of collaboration and license revenue of $7.0 million related to the adjustment of the overall transaction price due to the achievement of the $17.5 million development milestone during the third quarter of 2025.</w:t>
      </w:r>
    </w:p>
    <w:p>
      <w:pPr>
        <w:spacing w:after="0" w:line="2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i w:val="1"/>
          <w:iCs w:val="1"/>
          <w:color w:val="auto"/>
        </w:rPr>
        <w:t>Research and Development Expenses</w:t>
      </w:r>
    </w:p>
    <w:p>
      <w:pPr>
        <w:spacing w:after="0" w:line="26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9"/>
          <w:szCs w:val="19"/>
          <w:color w:val="auto"/>
        </w:rPr>
        <w:t>The following table summarizes our research and development expenses for the years ended December 31, 2025 and 2024 (in thousands):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40" w:type="dxa"/>
            <w:vAlign w:val="bottom"/>
            <w:gridSpan w:val="3"/>
          </w:tcPr>
          <w:p>
            <w:pPr>
              <w:jc w:val="right"/>
              <w:ind w:right="56"/>
              <w:spacing w:after="0"/>
              <w:rPr>
                <w:sz w:val="20"/>
                <w:szCs w:val="20"/>
                <w:color w:val="auto"/>
              </w:rPr>
            </w:pPr>
            <w:r>
              <w:rPr>
                <w:rFonts w:ascii="Times New Roman" w:cs="Times New Roman" w:eastAsia="Times New Roman" w:hAnsi="Times New Roman"/>
                <w:sz w:val="15"/>
                <w:szCs w:val="15"/>
                <w:b w:val="1"/>
                <w:bCs w:val="1"/>
                <w:color w:val="auto"/>
              </w:rPr>
              <w:t>Year Ended</w:t>
            </w: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7"/>
        </w:trPr>
        <w:tc>
          <w:tcPr>
            <w:tcW w:w="5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1"/>
        </w:trPr>
        <w:tc>
          <w:tcPr>
            <w:tcW w:w="5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31"/>
              <w:spacing w:after="0"/>
              <w:rPr>
                <w:sz w:val="20"/>
                <w:szCs w:val="20"/>
                <w:color w:val="auto"/>
              </w:rPr>
            </w:pPr>
            <w:r>
              <w:rPr>
                <w:rFonts w:ascii="Times New Roman" w:cs="Times New Roman" w:eastAsia="Times New Roman" w:hAnsi="Times New Roman"/>
                <w:sz w:val="15"/>
                <w:szCs w:val="15"/>
                <w:b w:val="1"/>
                <w:bCs w:val="1"/>
                <w:color w:val="auto"/>
              </w:rPr>
              <w:t>2025</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jc w:val="right"/>
              <w:ind w:right="408"/>
              <w:spacing w:after="0"/>
              <w:rPr>
                <w:sz w:val="20"/>
                <w:szCs w:val="20"/>
                <w:color w:val="auto"/>
              </w:rPr>
            </w:pPr>
            <w:r>
              <w:rPr>
                <w:rFonts w:ascii="Times New Roman" w:cs="Times New Roman" w:eastAsia="Times New Roman" w:hAnsi="Times New Roman"/>
                <w:sz w:val="15"/>
                <w:szCs w:val="15"/>
                <w:b w:val="1"/>
                <w:bCs w:val="1"/>
                <w:color w:val="auto"/>
              </w:rPr>
              <w:t>2024</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jc w:val="right"/>
              <w:ind w:right="421"/>
              <w:spacing w:after="0"/>
              <w:rPr>
                <w:sz w:val="20"/>
                <w:szCs w:val="20"/>
                <w:color w:val="auto"/>
              </w:rPr>
            </w:pPr>
            <w:r>
              <w:rPr>
                <w:rFonts w:ascii="Times New Roman" w:cs="Times New Roman" w:eastAsia="Times New Roman" w:hAnsi="Times New Roman"/>
                <w:sz w:val="15"/>
                <w:szCs w:val="15"/>
                <w:b w:val="1"/>
                <w:bCs w:val="1"/>
                <w:color w:val="auto"/>
              </w:rPr>
              <w:t>Change</w:t>
            </w:r>
          </w:p>
        </w:tc>
      </w:tr>
      <w:tr>
        <w:trPr>
          <w:trHeight w:val="225"/>
        </w:trPr>
        <w:tc>
          <w:tcPr>
            <w:tcW w:w="5780" w:type="dxa"/>
            <w:vAlign w:val="bottom"/>
            <w:tcBorders>
              <w:top w:val="single" w:sz="8" w:color="D5EEEE"/>
            </w:tcBorders>
            <w:shd w:val="clear" w:color="auto" w:fill="D5EEEE"/>
          </w:tcPr>
          <w:p>
            <w:pPr>
              <w:spacing w:after="0"/>
              <w:rPr>
                <w:sz w:val="20"/>
                <w:szCs w:val="20"/>
                <w:color w:val="auto"/>
              </w:rPr>
            </w:pPr>
            <w:r>
              <w:rPr>
                <w:rFonts w:ascii="Times New Roman" w:cs="Times New Roman" w:eastAsia="Times New Roman" w:hAnsi="Times New Roman"/>
                <w:sz w:val="19"/>
                <w:szCs w:val="19"/>
                <w:color w:val="auto"/>
              </w:rPr>
              <w:t>vilastobart</w:t>
            </w:r>
          </w:p>
        </w:tc>
        <w:tc>
          <w:tcPr>
            <w:tcW w:w="300" w:type="dxa"/>
            <w:vAlign w:val="bottom"/>
            <w:tcBorders>
              <w:top w:val="single" w:sz="8" w:color="auto"/>
            </w:tcBorders>
            <w:shd w:val="clear" w:color="auto" w:fill="D5EEEE"/>
          </w:tcPr>
          <w:p>
            <w:pPr>
              <w:jc w:val="right"/>
              <w:ind w:right="106"/>
              <w:spacing w:after="0"/>
              <w:rPr>
                <w:sz w:val="20"/>
                <w:szCs w:val="20"/>
                <w:color w:val="auto"/>
              </w:rPr>
            </w:pPr>
            <w:r>
              <w:rPr>
                <w:rFonts w:ascii="Times New Roman" w:cs="Times New Roman" w:eastAsia="Times New Roman" w:hAnsi="Times New Roman"/>
                <w:sz w:val="19"/>
                <w:szCs w:val="19"/>
                <w:color w:val="auto"/>
                <w:w w:val="83"/>
              </w:rPr>
              <w:t>$</w:t>
            </w:r>
          </w:p>
        </w:tc>
        <w:tc>
          <w:tcPr>
            <w:tcW w:w="102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6,637</w:t>
            </w:r>
          </w:p>
        </w:tc>
        <w:tc>
          <w:tcPr>
            <w:tcW w:w="200" w:type="dxa"/>
            <w:vAlign w:val="bottom"/>
            <w:tcBorders>
              <w:top w:val="single" w:sz="8" w:color="D5EEEE"/>
            </w:tcBorders>
            <w:shd w:val="clear" w:color="auto" w:fill="D5EEEE"/>
          </w:tcPr>
          <w:p>
            <w:pPr>
              <w:spacing w:after="0"/>
              <w:rPr>
                <w:sz w:val="19"/>
                <w:szCs w:val="19"/>
                <w:color w:val="auto"/>
              </w:rPr>
            </w:pPr>
          </w:p>
        </w:tc>
        <w:tc>
          <w:tcPr>
            <w:tcW w:w="420" w:type="dxa"/>
            <w:vAlign w:val="bottom"/>
            <w:tcBorders>
              <w:top w:val="single" w:sz="8" w:color="auto"/>
            </w:tcBorders>
            <w:shd w:val="clear" w:color="auto" w:fill="D5EEEE"/>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7,232</w:t>
            </w:r>
          </w:p>
        </w:tc>
        <w:tc>
          <w:tcPr>
            <w:tcW w:w="200" w:type="dxa"/>
            <w:vAlign w:val="bottom"/>
            <w:tcBorders>
              <w:top w:val="single" w:sz="8" w:color="D5EEEE"/>
            </w:tcBorders>
            <w:shd w:val="clear" w:color="auto" w:fill="D5EEEE"/>
          </w:tcPr>
          <w:p>
            <w:pPr>
              <w:spacing w:after="0"/>
              <w:rPr>
                <w:sz w:val="19"/>
                <w:szCs w:val="19"/>
                <w:color w:val="auto"/>
              </w:rPr>
            </w:pPr>
          </w:p>
        </w:tc>
        <w:tc>
          <w:tcPr>
            <w:tcW w:w="260" w:type="dxa"/>
            <w:vAlign w:val="bottom"/>
            <w:tcBorders>
              <w:top w:val="single" w:sz="8" w:color="auto"/>
            </w:tcBorders>
            <w:shd w:val="clear" w:color="auto" w:fill="D5EEEE"/>
          </w:tcPr>
          <w:p>
            <w:pPr>
              <w:jc w:val="right"/>
              <w:ind w:right="66"/>
              <w:spacing w:after="0"/>
              <w:rPr>
                <w:sz w:val="20"/>
                <w:szCs w:val="20"/>
                <w:color w:val="auto"/>
              </w:rPr>
            </w:pPr>
            <w:r>
              <w:rPr>
                <w:rFonts w:ascii="Times New Roman" w:cs="Times New Roman" w:eastAsia="Times New Roman" w:hAnsi="Times New Roman"/>
                <w:sz w:val="19"/>
                <w:szCs w:val="19"/>
                <w:color w:val="auto"/>
                <w:w w:val="83"/>
              </w:rPr>
              <w:t>$</w:t>
            </w:r>
          </w:p>
        </w:tc>
        <w:tc>
          <w:tcPr>
            <w:tcW w:w="106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(595</w:t>
            </w:r>
          </w:p>
        </w:tc>
        <w:tc>
          <w:tcPr>
            <w:tcW w:w="80" w:type="dxa"/>
            <w:vAlign w:val="bottom"/>
            <w:tcBorders>
              <w:top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5EEEE"/>
              </w:rPr>
              <w:t>)</w:t>
            </w:r>
          </w:p>
        </w:tc>
      </w:tr>
      <w:tr>
        <w:trPr>
          <w:trHeight w:val="230"/>
        </w:trPr>
        <w:tc>
          <w:tcPr>
            <w:tcW w:w="5780" w:type="dxa"/>
            <w:vAlign w:val="bottom"/>
          </w:tcPr>
          <w:p>
            <w:pPr>
              <w:spacing w:after="0"/>
              <w:rPr>
                <w:sz w:val="20"/>
                <w:szCs w:val="20"/>
                <w:color w:val="auto"/>
              </w:rPr>
            </w:pPr>
            <w:r>
              <w:rPr>
                <w:rFonts w:ascii="Times New Roman" w:cs="Times New Roman" w:eastAsia="Times New Roman" w:hAnsi="Times New Roman"/>
                <w:sz w:val="19"/>
                <w:szCs w:val="19"/>
                <w:color w:val="auto"/>
              </w:rPr>
              <w:t>efarindodekin alfa</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7,826</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5,085</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2,741</w:t>
            </w:r>
          </w:p>
        </w:tc>
        <w:tc>
          <w:tcPr>
            <w:tcW w:w="80" w:type="dxa"/>
            <w:vAlign w:val="bottom"/>
          </w:tcPr>
          <w:p>
            <w:pPr>
              <w:spacing w:after="0"/>
              <w:rPr>
                <w:sz w:val="20"/>
                <w:szCs w:val="20"/>
                <w:color w:val="auto"/>
              </w:rPr>
            </w:pPr>
          </w:p>
        </w:tc>
      </w:tr>
      <w:tr>
        <w:trPr>
          <w:trHeight w:val="231"/>
        </w:trPr>
        <w:tc>
          <w:tcPr>
            <w:tcW w:w="5780" w:type="dxa"/>
            <w:vAlign w:val="bottom"/>
            <w:shd w:val="clear" w:color="auto" w:fill="D5EEEE"/>
          </w:tcPr>
          <w:p>
            <w:pPr>
              <w:spacing w:after="0"/>
              <w:rPr>
                <w:sz w:val="20"/>
                <w:szCs w:val="20"/>
                <w:color w:val="auto"/>
              </w:rPr>
            </w:pPr>
            <w:r>
              <w:rPr>
                <w:rFonts w:ascii="Times New Roman" w:cs="Times New Roman" w:eastAsia="Times New Roman" w:hAnsi="Times New Roman"/>
                <w:sz w:val="19"/>
                <w:szCs w:val="19"/>
                <w:color w:val="auto"/>
              </w:rPr>
              <w:t>XTX501</w:t>
            </w:r>
          </w:p>
        </w:tc>
        <w:tc>
          <w:tcPr>
            <w:tcW w:w="300" w:type="dxa"/>
            <w:vAlign w:val="bottom"/>
            <w:shd w:val="clear" w:color="auto" w:fill="D5EEEE"/>
          </w:tcPr>
          <w:p>
            <w:pPr>
              <w:spacing w:after="0"/>
              <w:rPr>
                <w:sz w:val="20"/>
                <w:szCs w:val="20"/>
                <w:color w:val="auto"/>
              </w:rPr>
            </w:pPr>
          </w:p>
        </w:tc>
        <w:tc>
          <w:tcPr>
            <w:tcW w:w="10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9,471</w:t>
            </w:r>
          </w:p>
        </w:tc>
        <w:tc>
          <w:tcPr>
            <w:tcW w:w="200" w:type="dxa"/>
            <w:vAlign w:val="bottom"/>
            <w:shd w:val="clear" w:color="auto" w:fill="D5EEEE"/>
          </w:tcPr>
          <w:p>
            <w:pPr>
              <w:spacing w:after="0"/>
              <w:rPr>
                <w:sz w:val="20"/>
                <w:szCs w:val="20"/>
                <w:color w:val="auto"/>
              </w:rPr>
            </w:pPr>
          </w:p>
        </w:tc>
        <w:tc>
          <w:tcPr>
            <w:tcW w:w="420" w:type="dxa"/>
            <w:vAlign w:val="bottom"/>
            <w:shd w:val="clear" w:color="auto" w:fill="D5EEEE"/>
          </w:tcPr>
          <w:p>
            <w:pPr>
              <w:spacing w:after="0"/>
              <w:rPr>
                <w:sz w:val="20"/>
                <w:szCs w:val="20"/>
                <w:color w:val="auto"/>
              </w:rPr>
            </w:pPr>
          </w:p>
        </w:tc>
        <w:tc>
          <w:tcPr>
            <w:tcW w:w="8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00" w:type="dxa"/>
            <w:vAlign w:val="bottom"/>
            <w:shd w:val="clear" w:color="auto" w:fill="D5EEEE"/>
          </w:tcPr>
          <w:p>
            <w:pPr>
              <w:spacing w:after="0"/>
              <w:rPr>
                <w:sz w:val="20"/>
                <w:szCs w:val="20"/>
                <w:color w:val="auto"/>
              </w:rPr>
            </w:pPr>
          </w:p>
        </w:tc>
        <w:tc>
          <w:tcPr>
            <w:tcW w:w="260" w:type="dxa"/>
            <w:vAlign w:val="bottom"/>
            <w:shd w:val="clear" w:color="auto" w:fill="D5EEEE"/>
          </w:tcPr>
          <w:p>
            <w:pPr>
              <w:spacing w:after="0"/>
              <w:rPr>
                <w:sz w:val="20"/>
                <w:szCs w:val="20"/>
                <w:color w:val="auto"/>
              </w:rPr>
            </w:pPr>
          </w:p>
        </w:tc>
        <w:tc>
          <w:tcPr>
            <w:tcW w:w="10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9,471</w:t>
            </w:r>
          </w:p>
        </w:tc>
        <w:tc>
          <w:tcPr>
            <w:tcW w:w="80" w:type="dxa"/>
            <w:vAlign w:val="bottom"/>
            <w:shd w:val="clear" w:color="auto" w:fill="D5EEEE"/>
          </w:tcPr>
          <w:p>
            <w:pPr>
              <w:spacing w:after="0"/>
              <w:rPr>
                <w:sz w:val="20"/>
                <w:szCs w:val="20"/>
                <w:color w:val="auto"/>
              </w:rPr>
            </w:pPr>
          </w:p>
        </w:tc>
      </w:tr>
      <w:tr>
        <w:trPr>
          <w:trHeight w:val="230"/>
        </w:trPr>
        <w:tc>
          <w:tcPr>
            <w:tcW w:w="5780" w:type="dxa"/>
            <w:vAlign w:val="bottom"/>
          </w:tcPr>
          <w:p>
            <w:pPr>
              <w:spacing w:after="0"/>
              <w:rPr>
                <w:sz w:val="20"/>
                <w:szCs w:val="20"/>
                <w:color w:val="auto"/>
              </w:rPr>
            </w:pPr>
            <w:r>
              <w:rPr>
                <w:rFonts w:ascii="Times New Roman" w:cs="Times New Roman" w:eastAsia="Times New Roman" w:hAnsi="Times New Roman"/>
                <w:sz w:val="19"/>
                <w:szCs w:val="19"/>
                <w:color w:val="auto"/>
              </w:rPr>
              <w:t>XTX202</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79</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5,208</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(5,129)</w:t>
            </w:r>
          </w:p>
        </w:tc>
      </w:tr>
      <w:tr>
        <w:trPr>
          <w:trHeight w:val="231"/>
        </w:trPr>
        <w:tc>
          <w:tcPr>
            <w:tcW w:w="5780" w:type="dxa"/>
            <w:vAlign w:val="bottom"/>
            <w:shd w:val="clear" w:color="auto" w:fill="D5EEEE"/>
          </w:tcPr>
          <w:p>
            <w:pPr>
              <w:spacing w:after="0"/>
              <w:rPr>
                <w:sz w:val="20"/>
                <w:szCs w:val="20"/>
                <w:color w:val="auto"/>
              </w:rPr>
            </w:pPr>
            <w:r>
              <w:rPr>
                <w:rFonts w:ascii="Times New Roman" w:cs="Times New Roman" w:eastAsia="Times New Roman" w:hAnsi="Times New Roman"/>
                <w:sz w:val="19"/>
                <w:szCs w:val="19"/>
                <w:color w:val="auto"/>
              </w:rPr>
              <w:t>Other early programs and indirect research and development</w:t>
            </w:r>
          </w:p>
        </w:tc>
        <w:tc>
          <w:tcPr>
            <w:tcW w:w="300" w:type="dxa"/>
            <w:vAlign w:val="bottom"/>
            <w:shd w:val="clear" w:color="auto" w:fill="D5EEEE"/>
          </w:tcPr>
          <w:p>
            <w:pPr>
              <w:spacing w:after="0"/>
              <w:rPr>
                <w:sz w:val="20"/>
                <w:szCs w:val="20"/>
                <w:color w:val="auto"/>
              </w:rPr>
            </w:pPr>
          </w:p>
        </w:tc>
        <w:tc>
          <w:tcPr>
            <w:tcW w:w="10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11,686</w:t>
            </w:r>
          </w:p>
        </w:tc>
        <w:tc>
          <w:tcPr>
            <w:tcW w:w="200" w:type="dxa"/>
            <w:vAlign w:val="bottom"/>
            <w:shd w:val="clear" w:color="auto" w:fill="D5EEEE"/>
          </w:tcPr>
          <w:p>
            <w:pPr>
              <w:spacing w:after="0"/>
              <w:rPr>
                <w:sz w:val="20"/>
                <w:szCs w:val="20"/>
                <w:color w:val="auto"/>
              </w:rPr>
            </w:pPr>
          </w:p>
        </w:tc>
        <w:tc>
          <w:tcPr>
            <w:tcW w:w="420" w:type="dxa"/>
            <w:vAlign w:val="bottom"/>
            <w:shd w:val="clear" w:color="auto" w:fill="D5EEEE"/>
          </w:tcPr>
          <w:p>
            <w:pPr>
              <w:spacing w:after="0"/>
              <w:rPr>
                <w:sz w:val="20"/>
                <w:szCs w:val="20"/>
                <w:color w:val="auto"/>
              </w:rPr>
            </w:pPr>
          </w:p>
        </w:tc>
        <w:tc>
          <w:tcPr>
            <w:tcW w:w="8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7,771</w:t>
            </w:r>
          </w:p>
        </w:tc>
        <w:tc>
          <w:tcPr>
            <w:tcW w:w="200" w:type="dxa"/>
            <w:vAlign w:val="bottom"/>
            <w:shd w:val="clear" w:color="auto" w:fill="D5EEEE"/>
          </w:tcPr>
          <w:p>
            <w:pPr>
              <w:spacing w:after="0"/>
              <w:rPr>
                <w:sz w:val="20"/>
                <w:szCs w:val="20"/>
                <w:color w:val="auto"/>
              </w:rPr>
            </w:pPr>
          </w:p>
        </w:tc>
        <w:tc>
          <w:tcPr>
            <w:tcW w:w="260" w:type="dxa"/>
            <w:vAlign w:val="bottom"/>
            <w:shd w:val="clear" w:color="auto" w:fill="D5EEEE"/>
          </w:tcPr>
          <w:p>
            <w:pPr>
              <w:spacing w:after="0"/>
              <w:rPr>
                <w:sz w:val="20"/>
                <w:szCs w:val="20"/>
                <w:color w:val="auto"/>
              </w:rPr>
            </w:pPr>
          </w:p>
        </w:tc>
        <w:tc>
          <w:tcPr>
            <w:tcW w:w="10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3,915</w:t>
            </w:r>
          </w:p>
        </w:tc>
        <w:tc>
          <w:tcPr>
            <w:tcW w:w="80" w:type="dxa"/>
            <w:vAlign w:val="bottom"/>
            <w:shd w:val="clear" w:color="auto" w:fill="D5EEEE"/>
          </w:tcPr>
          <w:p>
            <w:pPr>
              <w:spacing w:after="0"/>
              <w:rPr>
                <w:sz w:val="20"/>
                <w:szCs w:val="20"/>
                <w:color w:val="auto"/>
              </w:rPr>
            </w:pPr>
          </w:p>
        </w:tc>
      </w:tr>
      <w:tr>
        <w:trPr>
          <w:trHeight w:val="230"/>
        </w:trPr>
        <w:tc>
          <w:tcPr>
            <w:tcW w:w="5780" w:type="dxa"/>
            <w:vAlign w:val="bottom"/>
            <w:tcBorders>
              <w:bottom w:val="single" w:sz="8" w:color="D5EEEE"/>
            </w:tcBorders>
          </w:tcPr>
          <w:p>
            <w:pPr>
              <w:spacing w:after="0"/>
              <w:rPr>
                <w:sz w:val="20"/>
                <w:szCs w:val="20"/>
                <w:color w:val="auto"/>
              </w:rPr>
            </w:pPr>
            <w:r>
              <w:rPr>
                <w:rFonts w:ascii="Times New Roman" w:cs="Times New Roman" w:eastAsia="Times New Roman" w:hAnsi="Times New Roman"/>
                <w:sz w:val="19"/>
                <w:szCs w:val="19"/>
                <w:color w:val="auto"/>
              </w:rPr>
              <w:t>Personnel-related</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20,340</w:t>
            </w:r>
          </w:p>
        </w:tc>
        <w:tc>
          <w:tcPr>
            <w:tcW w:w="200" w:type="dxa"/>
            <w:vAlign w:val="bottom"/>
            <w:tcBorders>
              <w:bottom w:val="single" w:sz="8" w:color="D5EEEE"/>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15,915</w:t>
            </w:r>
          </w:p>
        </w:tc>
        <w:tc>
          <w:tcPr>
            <w:tcW w:w="200" w:type="dxa"/>
            <w:vAlign w:val="bottom"/>
            <w:tcBorders>
              <w:bottom w:val="single" w:sz="8" w:color="D5EEEE"/>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4,425</w:t>
            </w:r>
          </w:p>
        </w:tc>
        <w:tc>
          <w:tcPr>
            <w:tcW w:w="80" w:type="dxa"/>
            <w:vAlign w:val="bottom"/>
            <w:tcBorders>
              <w:bottom w:val="single" w:sz="8" w:color="D5EEEE"/>
            </w:tcBorders>
          </w:tcPr>
          <w:p>
            <w:pPr>
              <w:spacing w:after="0"/>
              <w:rPr>
                <w:sz w:val="20"/>
                <w:szCs w:val="20"/>
                <w:color w:val="auto"/>
              </w:rPr>
            </w:pPr>
          </w:p>
        </w:tc>
      </w:tr>
      <w:tr>
        <w:trPr>
          <w:trHeight w:val="245"/>
        </w:trPr>
        <w:tc>
          <w:tcPr>
            <w:tcW w:w="5780" w:type="dxa"/>
            <w:vAlign w:val="bottom"/>
            <w:tcBorders>
              <w:bottom w:val="single" w:sz="8" w:color="D5EEEE"/>
            </w:tcBorders>
            <w:shd w:val="clear" w:color="auto" w:fill="D5EEEE"/>
          </w:tcPr>
          <w:p>
            <w:pPr>
              <w:spacing w:after="0"/>
              <w:rPr>
                <w:sz w:val="20"/>
                <w:szCs w:val="20"/>
                <w:color w:val="auto"/>
              </w:rPr>
            </w:pPr>
            <w:r>
              <w:rPr>
                <w:rFonts w:ascii="Times New Roman" w:cs="Times New Roman" w:eastAsia="Times New Roman" w:hAnsi="Times New Roman"/>
                <w:sz w:val="19"/>
                <w:szCs w:val="19"/>
                <w:color w:val="auto"/>
              </w:rPr>
              <w:t>Total research and development expenses</w:t>
            </w:r>
          </w:p>
        </w:tc>
        <w:tc>
          <w:tcPr>
            <w:tcW w:w="300" w:type="dxa"/>
            <w:vAlign w:val="bottom"/>
            <w:tcBorders>
              <w:bottom w:val="single" w:sz="8" w:color="auto"/>
            </w:tcBorders>
            <w:shd w:val="clear" w:color="auto" w:fill="D5EEEE"/>
          </w:tcPr>
          <w:p>
            <w:pPr>
              <w:jc w:val="right"/>
              <w:ind w:right="106"/>
              <w:spacing w:after="0"/>
              <w:rPr>
                <w:sz w:val="20"/>
                <w:szCs w:val="20"/>
                <w:color w:val="auto"/>
              </w:rPr>
            </w:pPr>
            <w:r>
              <w:rPr>
                <w:rFonts w:ascii="Times New Roman" w:cs="Times New Roman" w:eastAsia="Times New Roman" w:hAnsi="Times New Roman"/>
                <w:sz w:val="19"/>
                <w:szCs w:val="19"/>
                <w:color w:val="auto"/>
                <w:w w:val="83"/>
              </w:rPr>
              <w:t>$</w:t>
            </w:r>
          </w:p>
        </w:tc>
        <w:tc>
          <w:tcPr>
            <w:tcW w:w="10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56,039</w:t>
            </w:r>
          </w:p>
        </w:tc>
        <w:tc>
          <w:tcPr>
            <w:tcW w:w="200" w:type="dxa"/>
            <w:vAlign w:val="bottom"/>
            <w:tcBorders>
              <w:bottom w:val="single" w:sz="8" w:color="D5EEEE"/>
            </w:tcBorders>
            <w:shd w:val="clear" w:color="auto" w:fill="D5EEEE"/>
          </w:tcPr>
          <w:p>
            <w:pPr>
              <w:spacing w:after="0"/>
              <w:rPr>
                <w:sz w:val="21"/>
                <w:szCs w:val="21"/>
                <w:color w:val="auto"/>
              </w:rPr>
            </w:pPr>
          </w:p>
        </w:tc>
        <w:tc>
          <w:tcPr>
            <w:tcW w:w="420" w:type="dxa"/>
            <w:vAlign w:val="bottom"/>
            <w:tcBorders>
              <w:bottom w:val="single" w:sz="8" w:color="auto"/>
            </w:tcBorders>
            <w:shd w:val="clear" w:color="auto" w:fill="D5EEEE"/>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41,211</w:t>
            </w:r>
          </w:p>
        </w:tc>
        <w:tc>
          <w:tcPr>
            <w:tcW w:w="200" w:type="dxa"/>
            <w:vAlign w:val="bottom"/>
            <w:tcBorders>
              <w:bottom w:val="single" w:sz="8" w:color="D5EEEE"/>
            </w:tcBorders>
            <w:shd w:val="clear" w:color="auto" w:fill="D5EEEE"/>
          </w:tcPr>
          <w:p>
            <w:pPr>
              <w:spacing w:after="0"/>
              <w:rPr>
                <w:sz w:val="21"/>
                <w:szCs w:val="21"/>
                <w:color w:val="auto"/>
              </w:rPr>
            </w:pPr>
          </w:p>
        </w:tc>
        <w:tc>
          <w:tcPr>
            <w:tcW w:w="260" w:type="dxa"/>
            <w:vAlign w:val="bottom"/>
            <w:tcBorders>
              <w:bottom w:val="single" w:sz="8" w:color="auto"/>
            </w:tcBorders>
            <w:shd w:val="clear" w:color="auto" w:fill="D5EEEE"/>
          </w:tcPr>
          <w:p>
            <w:pPr>
              <w:jc w:val="right"/>
              <w:ind w:right="66"/>
              <w:spacing w:after="0"/>
              <w:rPr>
                <w:sz w:val="20"/>
                <w:szCs w:val="20"/>
                <w:color w:val="auto"/>
              </w:rPr>
            </w:pPr>
            <w:r>
              <w:rPr>
                <w:rFonts w:ascii="Times New Roman" w:cs="Times New Roman" w:eastAsia="Times New Roman" w:hAnsi="Times New Roman"/>
                <w:sz w:val="19"/>
                <w:szCs w:val="19"/>
                <w:color w:val="auto"/>
                <w:w w:val="83"/>
              </w:rPr>
              <w:t>$</w:t>
            </w:r>
          </w:p>
        </w:tc>
        <w:tc>
          <w:tcPr>
            <w:tcW w:w="10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14,828</w:t>
            </w:r>
          </w:p>
        </w:tc>
        <w:tc>
          <w:tcPr>
            <w:tcW w:w="80" w:type="dxa"/>
            <w:vAlign w:val="bottom"/>
            <w:tcBorders>
              <w:bottom w:val="single" w:sz="8" w:color="D5EEEE"/>
            </w:tcBorders>
            <w:shd w:val="clear" w:color="auto" w:fill="D5EEEE"/>
          </w:tcPr>
          <w:p>
            <w:pPr>
              <w:spacing w:after="0"/>
              <w:rPr>
                <w:sz w:val="21"/>
                <w:szCs w:val="21"/>
                <w:color w:val="auto"/>
              </w:rPr>
            </w:pPr>
          </w:p>
        </w:tc>
      </w:tr>
      <w:tr>
        <w:trPr>
          <w:trHeight w:val="20"/>
        </w:trPr>
        <w:tc>
          <w:tcPr>
            <w:tcW w:w="5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3655060</wp:posOffset>
            </wp:positionH>
            <wp:positionV relativeFrom="paragraph">
              <wp:posOffset>-1209675</wp:posOffset>
            </wp:positionV>
            <wp:extent cx="1829435" cy="36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9">
                      <a:extLst>
                        <a:ext uri="{28A0092B-C50C-407E-A947-70E740481C1C}"/>
                      </a:extLst>
                    </a:blip>
                    <a:srcRect/>
                    <a:stretch>
                      <a:fillRect/>
                    </a:stretch>
                  </pic:blipFill>
                  <pic:spPr bwMode="auto">
                    <a:xfrm>
                      <a:off x="0" y="0"/>
                      <a:ext cx="1829435" cy="36195"/>
                    </a:xfrm>
                    <a:prstGeom prst="rect">
                      <a:avLst/>
                    </a:prstGeom>
                    <a:noFill/>
                  </pic:spPr>
                </pic:pic>
              </a:graphicData>
            </a:graphic>
          </wp:anchor>
        </w:drawing>
      </w:r>
    </w:p>
    <w:p>
      <w:pPr>
        <w:spacing w:after="0" w:line="21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9"/>
          <w:szCs w:val="19"/>
          <w:color w:val="auto"/>
        </w:rPr>
        <w:t>Research and development expenses increased by $14.8 million from $41.2 million for the year ended December 31, 2024 to $56.0 million for the year ended December 31, 2025. The changes in research and development expenses were primarily due to the following:</w:t>
      </w:r>
    </w:p>
    <w:p>
      <w:pPr>
        <w:spacing w:after="0" w:line="253" w:lineRule="exact"/>
        <w:rPr>
          <w:sz w:val="20"/>
          <w:szCs w:val="20"/>
          <w:color w:val="auto"/>
        </w:rPr>
      </w:pPr>
    </w:p>
    <w:p>
      <w:pPr>
        <w:jc w:val="both"/>
        <w:ind w:left="920" w:hanging="458"/>
        <w:spacing w:after="0" w:line="234" w:lineRule="auto"/>
        <w:tabs>
          <w:tab w:leader="none" w:pos="920" w:val="left"/>
        </w:tabs>
        <w:numPr>
          <w:ilvl w:val="0"/>
          <w:numId w:val="64"/>
        </w:numPr>
        <w:rPr>
          <w:rFonts w:ascii="Arial" w:cs="Arial" w:eastAsia="Arial" w:hAnsi="Arial"/>
          <w:sz w:val="19"/>
          <w:szCs w:val="19"/>
          <w:color w:val="auto"/>
        </w:rPr>
      </w:pPr>
      <w:r>
        <w:rPr>
          <w:rFonts w:ascii="Times New Roman" w:cs="Times New Roman" w:eastAsia="Times New Roman" w:hAnsi="Times New Roman"/>
          <w:sz w:val="19"/>
          <w:szCs w:val="19"/>
          <w:color w:val="auto"/>
        </w:rPr>
        <w:t>vilastobart costs decreased by $0.6 million, primarily driven by $4.5 million in aggregate development milestones that we incurred during the year ended December 31, 2024 under our CTLA-4 monoclonal antibody license agreement with WuXi Biologics and our amended and restated exclusive license agreement with City of Hope, for which there were no</w:t>
      </w:r>
    </w:p>
    <w:p>
      <w:pPr>
        <w:sectPr>
          <w:pgSz w:w="12240" w:h="15840" w:orient="portrait"/>
          <w:cols w:equalWidth="0" w:num="1">
            <w:col w:w="10200"/>
          </w:cols>
          <w:pgMar w:left="1020" w:top="1335" w:right="1020" w:bottom="556" w:gutter="0" w:footer="0" w:header="0"/>
        </w:sect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ectPr>
          <w:pgSz w:w="12240" w:h="15840" w:orient="portrait"/>
          <w:cols w:equalWidth="0" w:num="1">
            <w:col w:w="10200"/>
          </w:cols>
          <w:pgMar w:left="1020" w:top="1335" w:right="1020" w:bottom="556" w:gutter="0" w:footer="0" w:header="0"/>
          <w:type w:val="continuous"/>
        </w:sectPr>
      </w:pPr>
    </w:p>
    <w:bookmarkStart w:id="108" w:name="page109"/>
    <w:bookmarkEnd w:id="108"/>
    <w:p>
      <w:pPr>
        <w:jc w:val="both"/>
        <w:ind w:left="920"/>
        <w:spacing w:after="0" w:line="234" w:lineRule="auto"/>
        <w:rPr>
          <w:sz w:val="20"/>
          <w:szCs w:val="20"/>
          <w:color w:val="auto"/>
        </w:rPr>
      </w:pPr>
      <w:r>
        <w:rPr>
          <w:rFonts w:ascii="Times New Roman" w:cs="Times New Roman" w:eastAsia="Times New Roman" w:hAnsi="Times New Roman"/>
          <w:sz w:val="19"/>
          <w:szCs w:val="19"/>
          <w:color w:val="auto"/>
        </w:rPr>
        <w:t>comparable costs during the year ended December 31, 2025, partially offset by a $3.8 million increase in clinical development activities related to our ongoing Phase 1/2 clinical trial evaluating vilastobart in combination with atezolizumab, and a $0.1 million increase in manufacturing activities;</w:t>
      </w:r>
    </w:p>
    <w:p>
      <w:pPr>
        <w:spacing w:after="0" w:line="253" w:lineRule="exact"/>
        <w:rPr>
          <w:sz w:val="20"/>
          <w:szCs w:val="20"/>
          <w:color w:val="auto"/>
        </w:rPr>
      </w:pPr>
    </w:p>
    <w:p>
      <w:pPr>
        <w:jc w:val="both"/>
        <w:ind w:left="920" w:hanging="458"/>
        <w:spacing w:after="0" w:line="234" w:lineRule="auto"/>
        <w:tabs>
          <w:tab w:leader="none" w:pos="920" w:val="left"/>
        </w:tabs>
        <w:numPr>
          <w:ilvl w:val="0"/>
          <w:numId w:val="65"/>
        </w:numPr>
        <w:rPr>
          <w:rFonts w:ascii="Arial" w:cs="Arial" w:eastAsia="Arial" w:hAnsi="Arial"/>
          <w:sz w:val="19"/>
          <w:szCs w:val="19"/>
          <w:color w:val="auto"/>
        </w:rPr>
      </w:pPr>
      <w:r>
        <w:rPr>
          <w:rFonts w:ascii="Times New Roman" w:cs="Times New Roman" w:eastAsia="Times New Roman" w:hAnsi="Times New Roman"/>
          <w:sz w:val="19"/>
          <w:szCs w:val="19"/>
          <w:color w:val="auto"/>
        </w:rPr>
        <w:t>efarindodekin alfa costs increased by $2.7 million, primarily driven by an increase in clinical development activities related to initiating our Phase 2 clinical trial evaluating efarindodekin alfa as a monotherapy in patients with certain advanced solid tumors during the year ended December 31, 2025;</w:t>
      </w:r>
    </w:p>
    <w:p>
      <w:pPr>
        <w:spacing w:after="0" w:line="252" w:lineRule="exact"/>
        <w:rPr>
          <w:rFonts w:ascii="Arial" w:cs="Arial" w:eastAsia="Arial" w:hAnsi="Arial"/>
          <w:sz w:val="19"/>
          <w:szCs w:val="19"/>
          <w:color w:val="auto"/>
        </w:rPr>
      </w:pPr>
    </w:p>
    <w:p>
      <w:pPr>
        <w:jc w:val="both"/>
        <w:ind w:left="920" w:hanging="458"/>
        <w:spacing w:after="0" w:line="234" w:lineRule="auto"/>
        <w:tabs>
          <w:tab w:leader="none" w:pos="920" w:val="left"/>
        </w:tabs>
        <w:numPr>
          <w:ilvl w:val="0"/>
          <w:numId w:val="65"/>
        </w:numPr>
        <w:rPr>
          <w:rFonts w:ascii="Arial" w:cs="Arial" w:eastAsia="Arial" w:hAnsi="Arial"/>
          <w:sz w:val="19"/>
          <w:szCs w:val="19"/>
          <w:color w:val="auto"/>
        </w:rPr>
      </w:pPr>
      <w:r>
        <w:rPr>
          <w:rFonts w:ascii="Times New Roman" w:cs="Times New Roman" w:eastAsia="Times New Roman" w:hAnsi="Times New Roman"/>
          <w:sz w:val="19"/>
          <w:szCs w:val="19"/>
          <w:color w:val="auto"/>
        </w:rPr>
        <w:t>XTX501 costs for the year ended December 31, 2025 consisted of manufacturing activities related to IND-enabling studies and pre-clinical development activities; for the year ended December 31, 2024, XTX501 costs were not separately tracked as we had not begun performing IND-enabling studies;</w:t>
      </w:r>
    </w:p>
    <w:p>
      <w:pPr>
        <w:spacing w:after="0" w:line="252" w:lineRule="exact"/>
        <w:rPr>
          <w:rFonts w:ascii="Arial" w:cs="Arial" w:eastAsia="Arial" w:hAnsi="Arial"/>
          <w:sz w:val="19"/>
          <w:szCs w:val="19"/>
          <w:color w:val="auto"/>
        </w:rPr>
      </w:pPr>
    </w:p>
    <w:p>
      <w:pPr>
        <w:ind w:left="920" w:hanging="458"/>
        <w:spacing w:after="0" w:line="232" w:lineRule="auto"/>
        <w:tabs>
          <w:tab w:leader="none" w:pos="920" w:val="left"/>
        </w:tabs>
        <w:numPr>
          <w:ilvl w:val="0"/>
          <w:numId w:val="65"/>
        </w:numPr>
        <w:rPr>
          <w:rFonts w:ascii="Arial" w:cs="Arial" w:eastAsia="Arial" w:hAnsi="Arial"/>
          <w:sz w:val="19"/>
          <w:szCs w:val="19"/>
          <w:color w:val="auto"/>
        </w:rPr>
      </w:pPr>
      <w:r>
        <w:rPr>
          <w:rFonts w:ascii="Times New Roman" w:cs="Times New Roman" w:eastAsia="Times New Roman" w:hAnsi="Times New Roman"/>
          <w:sz w:val="19"/>
          <w:szCs w:val="19"/>
          <w:color w:val="auto"/>
        </w:rPr>
        <w:t>XTX202 costs decreased by $5.1 million, primarily driven by a decrease in clinical development activities as a result of discontinuing further investment in XTX202;</w:t>
      </w:r>
    </w:p>
    <w:p>
      <w:pPr>
        <w:spacing w:after="0" w:line="251" w:lineRule="exact"/>
        <w:rPr>
          <w:rFonts w:ascii="Arial" w:cs="Arial" w:eastAsia="Arial" w:hAnsi="Arial"/>
          <w:sz w:val="19"/>
          <w:szCs w:val="19"/>
          <w:color w:val="auto"/>
        </w:rPr>
      </w:pPr>
    </w:p>
    <w:p>
      <w:pPr>
        <w:jc w:val="both"/>
        <w:ind w:left="920" w:hanging="458"/>
        <w:spacing w:after="0" w:line="234" w:lineRule="auto"/>
        <w:tabs>
          <w:tab w:leader="none" w:pos="920" w:val="left"/>
        </w:tabs>
        <w:numPr>
          <w:ilvl w:val="0"/>
          <w:numId w:val="65"/>
        </w:numPr>
        <w:rPr>
          <w:rFonts w:ascii="Arial" w:cs="Arial" w:eastAsia="Arial" w:hAnsi="Arial"/>
          <w:sz w:val="19"/>
          <w:szCs w:val="19"/>
          <w:color w:val="auto"/>
        </w:rPr>
      </w:pPr>
      <w:r>
        <w:rPr>
          <w:rFonts w:ascii="Times New Roman" w:cs="Times New Roman" w:eastAsia="Times New Roman" w:hAnsi="Times New Roman"/>
          <w:sz w:val="19"/>
          <w:szCs w:val="19"/>
          <w:color w:val="auto"/>
        </w:rPr>
        <w:t>other early programs and indirect research and development costs increased by $3.9 million, primarily driven by an increase in external expenses related to preclinical research and development activities, including costs related to our collaboration and license agreement with AbbVie that we entered into in February 2025; and</w:t>
      </w:r>
    </w:p>
    <w:p>
      <w:pPr>
        <w:spacing w:after="0" w:line="252" w:lineRule="exact"/>
        <w:rPr>
          <w:rFonts w:ascii="Arial" w:cs="Arial" w:eastAsia="Arial" w:hAnsi="Arial"/>
          <w:sz w:val="19"/>
          <w:szCs w:val="19"/>
          <w:color w:val="auto"/>
        </w:rPr>
      </w:pPr>
    </w:p>
    <w:p>
      <w:pPr>
        <w:jc w:val="both"/>
        <w:ind w:left="920" w:hanging="458"/>
        <w:spacing w:after="0" w:line="234" w:lineRule="auto"/>
        <w:tabs>
          <w:tab w:leader="none" w:pos="920" w:val="left"/>
        </w:tabs>
        <w:numPr>
          <w:ilvl w:val="0"/>
          <w:numId w:val="65"/>
        </w:numPr>
        <w:rPr>
          <w:rFonts w:ascii="Arial" w:cs="Arial" w:eastAsia="Arial" w:hAnsi="Arial"/>
          <w:sz w:val="19"/>
          <w:szCs w:val="19"/>
          <w:color w:val="auto"/>
        </w:rPr>
      </w:pPr>
      <w:r>
        <w:rPr>
          <w:rFonts w:ascii="Times New Roman" w:cs="Times New Roman" w:eastAsia="Times New Roman" w:hAnsi="Times New Roman"/>
          <w:sz w:val="19"/>
          <w:szCs w:val="19"/>
          <w:color w:val="auto"/>
        </w:rPr>
        <w:t>personnel-related costs increased by $4.4 million, primarily driven by a $3.8 million increase in salaries, bonuses and benefits due to higher research and development headcount, a $0.4 million increase in stock-based compensation and a $0.2 million increase in recruiting and other personnel-related costs.</w:t>
      </w:r>
    </w:p>
    <w:p>
      <w:pPr>
        <w:spacing w:after="0" w:line="2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i w:val="1"/>
          <w:iCs w:val="1"/>
          <w:color w:val="auto"/>
        </w:rPr>
        <w:t>General and Administrative Expenses</w:t>
      </w:r>
    </w:p>
    <w:p>
      <w:pPr>
        <w:spacing w:after="0" w:line="26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9"/>
          <w:szCs w:val="19"/>
          <w:color w:val="auto"/>
        </w:rPr>
        <w:t>The following table summarizes our general and administrative expenses for the years ended December 31, 2025 and 2024 (in thousands):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40" w:type="dxa"/>
            <w:vAlign w:val="bottom"/>
            <w:gridSpan w:val="3"/>
          </w:tcPr>
          <w:p>
            <w:pPr>
              <w:jc w:val="right"/>
              <w:ind w:right="56"/>
              <w:spacing w:after="0"/>
              <w:rPr>
                <w:sz w:val="20"/>
                <w:szCs w:val="20"/>
                <w:color w:val="auto"/>
              </w:rPr>
            </w:pPr>
            <w:r>
              <w:rPr>
                <w:rFonts w:ascii="Times New Roman" w:cs="Times New Roman" w:eastAsia="Times New Roman" w:hAnsi="Times New Roman"/>
                <w:sz w:val="15"/>
                <w:szCs w:val="15"/>
                <w:b w:val="1"/>
                <w:bCs w:val="1"/>
                <w:color w:val="auto"/>
              </w:rPr>
              <w:t>Year Ended</w:t>
            </w: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7"/>
        </w:trPr>
        <w:tc>
          <w:tcPr>
            <w:tcW w:w="5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2"/>
        </w:trPr>
        <w:tc>
          <w:tcPr>
            <w:tcW w:w="5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34"/>
              <w:spacing w:after="0"/>
              <w:rPr>
                <w:sz w:val="20"/>
                <w:szCs w:val="20"/>
                <w:color w:val="auto"/>
              </w:rPr>
            </w:pPr>
            <w:r>
              <w:rPr>
                <w:rFonts w:ascii="Times New Roman" w:cs="Times New Roman" w:eastAsia="Times New Roman" w:hAnsi="Times New Roman"/>
                <w:sz w:val="15"/>
                <w:szCs w:val="15"/>
                <w:b w:val="1"/>
                <w:bCs w:val="1"/>
                <w:color w:val="auto"/>
              </w:rPr>
              <w:t>2025</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jc w:val="right"/>
              <w:ind w:right="409"/>
              <w:spacing w:after="0"/>
              <w:rPr>
                <w:sz w:val="20"/>
                <w:szCs w:val="20"/>
                <w:color w:val="auto"/>
              </w:rPr>
            </w:pPr>
            <w:r>
              <w:rPr>
                <w:rFonts w:ascii="Times New Roman" w:cs="Times New Roman" w:eastAsia="Times New Roman" w:hAnsi="Times New Roman"/>
                <w:sz w:val="15"/>
                <w:szCs w:val="15"/>
                <w:b w:val="1"/>
                <w:bCs w:val="1"/>
                <w:color w:val="auto"/>
              </w:rPr>
              <w:t>2024</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5"/>
                <w:szCs w:val="15"/>
                <w:b w:val="1"/>
                <w:bCs w:val="1"/>
                <w:color w:val="auto"/>
              </w:rPr>
              <w:t>Change</w:t>
            </w:r>
          </w:p>
        </w:tc>
      </w:tr>
      <w:tr>
        <w:trPr>
          <w:trHeight w:val="225"/>
        </w:trPr>
        <w:tc>
          <w:tcPr>
            <w:tcW w:w="5780" w:type="dxa"/>
            <w:vAlign w:val="bottom"/>
            <w:tcBorders>
              <w:top w:val="single" w:sz="8" w:color="D5EEEE"/>
            </w:tcBorders>
            <w:shd w:val="clear" w:color="auto" w:fill="D5EEEE"/>
          </w:tcPr>
          <w:p>
            <w:pPr>
              <w:spacing w:after="0"/>
              <w:rPr>
                <w:sz w:val="20"/>
                <w:szCs w:val="20"/>
                <w:color w:val="auto"/>
              </w:rPr>
            </w:pPr>
            <w:r>
              <w:rPr>
                <w:rFonts w:ascii="Times New Roman" w:cs="Times New Roman" w:eastAsia="Times New Roman" w:hAnsi="Times New Roman"/>
                <w:sz w:val="19"/>
                <w:szCs w:val="19"/>
                <w:color w:val="auto"/>
              </w:rPr>
              <w:t>Personnel-related</w:t>
            </w:r>
          </w:p>
        </w:tc>
        <w:tc>
          <w:tcPr>
            <w:tcW w:w="300" w:type="dxa"/>
            <w:vAlign w:val="bottom"/>
            <w:tcBorders>
              <w:top w:val="single" w:sz="8" w:color="auto"/>
            </w:tcBorders>
            <w:shd w:val="clear" w:color="auto" w:fill="D5EEEE"/>
          </w:tcPr>
          <w:p>
            <w:pPr>
              <w:jc w:val="right"/>
              <w:ind w:right="106"/>
              <w:spacing w:after="0"/>
              <w:rPr>
                <w:sz w:val="20"/>
                <w:szCs w:val="20"/>
                <w:color w:val="auto"/>
              </w:rPr>
            </w:pPr>
            <w:r>
              <w:rPr>
                <w:rFonts w:ascii="Times New Roman" w:cs="Times New Roman" w:eastAsia="Times New Roman" w:hAnsi="Times New Roman"/>
                <w:sz w:val="19"/>
                <w:szCs w:val="19"/>
                <w:color w:val="auto"/>
                <w:w w:val="83"/>
              </w:rPr>
              <w:t>$</w:t>
            </w:r>
          </w:p>
        </w:tc>
        <w:tc>
          <w:tcPr>
            <w:tcW w:w="102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16,321</w:t>
            </w:r>
          </w:p>
        </w:tc>
        <w:tc>
          <w:tcPr>
            <w:tcW w:w="200" w:type="dxa"/>
            <w:vAlign w:val="bottom"/>
            <w:tcBorders>
              <w:top w:val="single" w:sz="8" w:color="D5EEEE"/>
            </w:tcBorders>
            <w:shd w:val="clear" w:color="auto" w:fill="D5EEEE"/>
          </w:tcPr>
          <w:p>
            <w:pPr>
              <w:spacing w:after="0"/>
              <w:rPr>
                <w:sz w:val="19"/>
                <w:szCs w:val="19"/>
                <w:color w:val="auto"/>
              </w:rPr>
            </w:pPr>
          </w:p>
        </w:tc>
        <w:tc>
          <w:tcPr>
            <w:tcW w:w="420" w:type="dxa"/>
            <w:vAlign w:val="bottom"/>
            <w:tcBorders>
              <w:top w:val="single" w:sz="8" w:color="auto"/>
            </w:tcBorders>
            <w:shd w:val="clear" w:color="auto" w:fill="D5EEEE"/>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14,646</w:t>
            </w:r>
          </w:p>
        </w:tc>
        <w:tc>
          <w:tcPr>
            <w:tcW w:w="200" w:type="dxa"/>
            <w:vAlign w:val="bottom"/>
            <w:tcBorders>
              <w:top w:val="single" w:sz="8" w:color="D5EEEE"/>
            </w:tcBorders>
            <w:shd w:val="clear" w:color="auto" w:fill="D5EEEE"/>
          </w:tcPr>
          <w:p>
            <w:pPr>
              <w:spacing w:after="0"/>
              <w:rPr>
                <w:sz w:val="19"/>
                <w:szCs w:val="19"/>
                <w:color w:val="auto"/>
              </w:rPr>
            </w:pPr>
          </w:p>
        </w:tc>
        <w:tc>
          <w:tcPr>
            <w:tcW w:w="260" w:type="dxa"/>
            <w:vAlign w:val="bottom"/>
            <w:tcBorders>
              <w:top w:val="single" w:sz="8" w:color="auto"/>
            </w:tcBorders>
            <w:shd w:val="clear" w:color="auto" w:fill="D5EEEE"/>
          </w:tcPr>
          <w:p>
            <w:pPr>
              <w:jc w:val="right"/>
              <w:ind w:right="66"/>
              <w:spacing w:after="0"/>
              <w:rPr>
                <w:sz w:val="20"/>
                <w:szCs w:val="20"/>
                <w:color w:val="auto"/>
              </w:rPr>
            </w:pPr>
            <w:r>
              <w:rPr>
                <w:rFonts w:ascii="Times New Roman" w:cs="Times New Roman" w:eastAsia="Times New Roman" w:hAnsi="Times New Roman"/>
                <w:sz w:val="19"/>
                <w:szCs w:val="19"/>
                <w:color w:val="auto"/>
                <w:w w:val="83"/>
              </w:rPr>
              <w:t>$</w:t>
            </w:r>
          </w:p>
        </w:tc>
        <w:tc>
          <w:tcPr>
            <w:tcW w:w="106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1,675</w:t>
            </w:r>
          </w:p>
        </w:tc>
        <w:tc>
          <w:tcPr>
            <w:tcW w:w="80" w:type="dxa"/>
            <w:vAlign w:val="bottom"/>
            <w:tcBorders>
              <w:top w:val="single" w:sz="8" w:color="D5EEEE"/>
            </w:tcBorders>
            <w:shd w:val="clear" w:color="auto" w:fill="D5EEEE"/>
          </w:tcPr>
          <w:p>
            <w:pPr>
              <w:spacing w:after="0"/>
              <w:rPr>
                <w:sz w:val="19"/>
                <w:szCs w:val="19"/>
                <w:color w:val="auto"/>
              </w:rPr>
            </w:pPr>
          </w:p>
        </w:tc>
      </w:tr>
      <w:tr>
        <w:trPr>
          <w:trHeight w:val="230"/>
        </w:trPr>
        <w:tc>
          <w:tcPr>
            <w:tcW w:w="5780" w:type="dxa"/>
            <w:vAlign w:val="bottom"/>
          </w:tcPr>
          <w:p>
            <w:pPr>
              <w:spacing w:after="0"/>
              <w:rPr>
                <w:sz w:val="20"/>
                <w:szCs w:val="20"/>
                <w:color w:val="auto"/>
              </w:rPr>
            </w:pPr>
            <w:r>
              <w:rPr>
                <w:rFonts w:ascii="Times New Roman" w:cs="Times New Roman" w:eastAsia="Times New Roman" w:hAnsi="Times New Roman"/>
                <w:sz w:val="19"/>
                <w:szCs w:val="19"/>
                <w:color w:val="auto"/>
              </w:rPr>
              <w:t>Professional and consulting fees</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9,963</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6,354</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3,609</w:t>
            </w:r>
          </w:p>
        </w:tc>
        <w:tc>
          <w:tcPr>
            <w:tcW w:w="80" w:type="dxa"/>
            <w:vAlign w:val="bottom"/>
          </w:tcPr>
          <w:p>
            <w:pPr>
              <w:spacing w:after="0"/>
              <w:rPr>
                <w:sz w:val="20"/>
                <w:szCs w:val="20"/>
                <w:color w:val="auto"/>
              </w:rPr>
            </w:pPr>
          </w:p>
        </w:tc>
      </w:tr>
      <w:tr>
        <w:trPr>
          <w:trHeight w:val="230"/>
        </w:trPr>
        <w:tc>
          <w:tcPr>
            <w:tcW w:w="5780" w:type="dxa"/>
            <w:vAlign w:val="bottom"/>
            <w:shd w:val="clear" w:color="auto" w:fill="D5EEEE"/>
          </w:tcPr>
          <w:p>
            <w:pPr>
              <w:spacing w:after="0"/>
              <w:rPr>
                <w:sz w:val="20"/>
                <w:szCs w:val="20"/>
                <w:color w:val="auto"/>
              </w:rPr>
            </w:pPr>
            <w:r>
              <w:rPr>
                <w:rFonts w:ascii="Times New Roman" w:cs="Times New Roman" w:eastAsia="Times New Roman" w:hAnsi="Times New Roman"/>
                <w:sz w:val="19"/>
                <w:szCs w:val="19"/>
                <w:color w:val="auto"/>
              </w:rPr>
              <w:t>Facility-related and other general and administrative expenses</w:t>
            </w:r>
          </w:p>
        </w:tc>
        <w:tc>
          <w:tcPr>
            <w:tcW w:w="300" w:type="dxa"/>
            <w:vAlign w:val="bottom"/>
            <w:shd w:val="clear" w:color="auto" w:fill="D5EEEE"/>
          </w:tcPr>
          <w:p>
            <w:pPr>
              <w:spacing w:after="0"/>
              <w:rPr>
                <w:sz w:val="20"/>
                <w:szCs w:val="20"/>
                <w:color w:val="auto"/>
              </w:rPr>
            </w:pPr>
          </w:p>
        </w:tc>
        <w:tc>
          <w:tcPr>
            <w:tcW w:w="10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3,425</w:t>
            </w:r>
          </w:p>
        </w:tc>
        <w:tc>
          <w:tcPr>
            <w:tcW w:w="200" w:type="dxa"/>
            <w:vAlign w:val="bottom"/>
            <w:shd w:val="clear" w:color="auto" w:fill="D5EEEE"/>
          </w:tcPr>
          <w:p>
            <w:pPr>
              <w:spacing w:after="0"/>
              <w:rPr>
                <w:sz w:val="20"/>
                <w:szCs w:val="20"/>
                <w:color w:val="auto"/>
              </w:rPr>
            </w:pPr>
          </w:p>
        </w:tc>
        <w:tc>
          <w:tcPr>
            <w:tcW w:w="420" w:type="dxa"/>
            <w:vAlign w:val="bottom"/>
            <w:shd w:val="clear" w:color="auto" w:fill="D5EEEE"/>
          </w:tcPr>
          <w:p>
            <w:pPr>
              <w:spacing w:after="0"/>
              <w:rPr>
                <w:sz w:val="20"/>
                <w:szCs w:val="20"/>
                <w:color w:val="auto"/>
              </w:rPr>
            </w:pPr>
          </w:p>
        </w:tc>
        <w:tc>
          <w:tcPr>
            <w:tcW w:w="8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3,778</w:t>
            </w:r>
          </w:p>
        </w:tc>
        <w:tc>
          <w:tcPr>
            <w:tcW w:w="200" w:type="dxa"/>
            <w:vAlign w:val="bottom"/>
            <w:shd w:val="clear" w:color="auto" w:fill="D5EEEE"/>
          </w:tcPr>
          <w:p>
            <w:pPr>
              <w:spacing w:after="0"/>
              <w:rPr>
                <w:sz w:val="20"/>
                <w:szCs w:val="20"/>
                <w:color w:val="auto"/>
              </w:rPr>
            </w:pPr>
          </w:p>
        </w:tc>
        <w:tc>
          <w:tcPr>
            <w:tcW w:w="260" w:type="dxa"/>
            <w:vAlign w:val="bottom"/>
            <w:shd w:val="clear" w:color="auto" w:fill="D5EEEE"/>
          </w:tcPr>
          <w:p>
            <w:pPr>
              <w:spacing w:after="0"/>
              <w:rPr>
                <w:sz w:val="20"/>
                <w:szCs w:val="20"/>
                <w:color w:val="auto"/>
              </w:rPr>
            </w:pPr>
          </w:p>
        </w:tc>
        <w:tc>
          <w:tcPr>
            <w:tcW w:w="1140" w:type="dxa"/>
            <w:vAlign w:val="bottom"/>
            <w:gridSpan w:val="2"/>
            <w:shd w:val="clear" w:color="auto" w:fill="D5EEEE"/>
          </w:tcPr>
          <w:p>
            <w:pPr>
              <w:jc w:val="right"/>
              <w:ind w:right="20"/>
              <w:spacing w:after="0"/>
              <w:rPr>
                <w:sz w:val="20"/>
                <w:szCs w:val="20"/>
                <w:color w:val="auto"/>
              </w:rPr>
            </w:pPr>
            <w:r>
              <w:rPr>
                <w:rFonts w:ascii="Times New Roman" w:cs="Times New Roman" w:eastAsia="Times New Roman" w:hAnsi="Times New Roman"/>
                <w:sz w:val="19"/>
                <w:szCs w:val="19"/>
                <w:color w:val="auto"/>
              </w:rPr>
              <w:t>(353)</w:t>
            </w:r>
          </w:p>
        </w:tc>
      </w:tr>
      <w:tr>
        <w:trPr>
          <w:trHeight w:val="20"/>
        </w:trPr>
        <w:tc>
          <w:tcPr>
            <w:tcW w:w="57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5"/>
        </w:trPr>
        <w:tc>
          <w:tcPr>
            <w:tcW w:w="5780" w:type="dxa"/>
            <w:vAlign w:val="bottom"/>
          </w:tcPr>
          <w:p>
            <w:pPr>
              <w:spacing w:after="0"/>
              <w:rPr>
                <w:sz w:val="20"/>
                <w:szCs w:val="20"/>
                <w:color w:val="auto"/>
              </w:rPr>
            </w:pPr>
            <w:r>
              <w:rPr>
                <w:rFonts w:ascii="Times New Roman" w:cs="Times New Roman" w:eastAsia="Times New Roman" w:hAnsi="Times New Roman"/>
                <w:sz w:val="19"/>
                <w:szCs w:val="19"/>
                <w:color w:val="auto"/>
              </w:rPr>
              <w:t>Total general and administrative expenses</w:t>
            </w:r>
          </w:p>
        </w:tc>
        <w:tc>
          <w:tcPr>
            <w:tcW w:w="300" w:type="dxa"/>
            <w:vAlign w:val="bottom"/>
          </w:tcPr>
          <w:p>
            <w:pPr>
              <w:jc w:val="right"/>
              <w:ind w:right="106"/>
              <w:spacing w:after="0"/>
              <w:rPr>
                <w:sz w:val="20"/>
                <w:szCs w:val="20"/>
                <w:color w:val="auto"/>
              </w:rPr>
            </w:pPr>
            <w:r>
              <w:rPr>
                <w:rFonts w:ascii="Times New Roman" w:cs="Times New Roman" w:eastAsia="Times New Roman" w:hAnsi="Times New Roman"/>
                <w:sz w:val="19"/>
                <w:szCs w:val="19"/>
                <w:color w:val="auto"/>
                <w:w w:val="8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29,709</w:t>
            </w:r>
          </w:p>
        </w:tc>
        <w:tc>
          <w:tcPr>
            <w:tcW w:w="620" w:type="dxa"/>
            <w:vAlign w:val="bottom"/>
            <w:gridSpan w:val="2"/>
          </w:tcPr>
          <w:p>
            <w:pPr>
              <w:jc w:val="right"/>
              <w:ind w:right="256"/>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24,778</w:t>
            </w:r>
          </w:p>
        </w:tc>
        <w:tc>
          <w:tcPr>
            <w:tcW w:w="460" w:type="dxa"/>
            <w:vAlign w:val="bottom"/>
            <w:gridSpan w:val="2"/>
          </w:tcPr>
          <w:p>
            <w:pPr>
              <w:jc w:val="right"/>
              <w:ind w:right="66"/>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4,931</w:t>
            </w:r>
          </w:p>
        </w:tc>
        <w:tc>
          <w:tcPr>
            <w:tcW w:w="80" w:type="dxa"/>
            <w:vAlign w:val="bottom"/>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3655060</wp:posOffset>
            </wp:positionH>
            <wp:positionV relativeFrom="paragraph">
              <wp:posOffset>-770890</wp:posOffset>
            </wp:positionV>
            <wp:extent cx="1829435" cy="36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0">
                      <a:extLst>
                        <a:ext uri="{28A0092B-C50C-407E-A947-70E740481C1C}"/>
                      </a:extLst>
                    </a:blip>
                    <a:srcRect/>
                    <a:stretch>
                      <a:fillRect/>
                    </a:stretch>
                  </pic:blipFill>
                  <pic:spPr bwMode="auto">
                    <a:xfrm>
                      <a:off x="0" y="0"/>
                      <a:ext cx="1829435" cy="3619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9"/>
          <w:szCs w:val="19"/>
          <w:color w:val="auto"/>
        </w:rPr>
        <w:t>General and administrative expenses increased by $4.9 million from $24.8 million for the year ended December 31, 2024 to $29.7 million for the year ended December 31, 2025. The changes in general and administrative expenses were primarily due to the following:</w:t>
      </w:r>
    </w:p>
    <w:p>
      <w:pPr>
        <w:spacing w:after="0" w:line="253" w:lineRule="exact"/>
        <w:rPr>
          <w:sz w:val="20"/>
          <w:szCs w:val="20"/>
          <w:color w:val="auto"/>
        </w:rPr>
      </w:pPr>
    </w:p>
    <w:p>
      <w:pPr>
        <w:jc w:val="both"/>
        <w:ind w:left="920" w:hanging="458"/>
        <w:spacing w:after="0" w:line="234" w:lineRule="auto"/>
        <w:tabs>
          <w:tab w:leader="none" w:pos="920" w:val="left"/>
        </w:tabs>
        <w:numPr>
          <w:ilvl w:val="0"/>
          <w:numId w:val="66"/>
        </w:numPr>
        <w:rPr>
          <w:rFonts w:ascii="Arial" w:cs="Arial" w:eastAsia="Arial" w:hAnsi="Arial"/>
          <w:sz w:val="19"/>
          <w:szCs w:val="19"/>
          <w:color w:val="auto"/>
        </w:rPr>
      </w:pPr>
      <w:r>
        <w:rPr>
          <w:rFonts w:ascii="Times New Roman" w:cs="Times New Roman" w:eastAsia="Times New Roman" w:hAnsi="Times New Roman"/>
          <w:sz w:val="19"/>
          <w:szCs w:val="19"/>
          <w:color w:val="auto"/>
        </w:rPr>
        <w:t>personnel-related costs increased by $1.7 million, primarily driven by a $1.7 million increase in salaries, bonuses and benefits due to higher general and administrative headcount and a $0.1 million increase in stock-based compensation, partially offset by a $0.1 million decrease in recruiting and other personnel-related costs;</w:t>
      </w:r>
    </w:p>
    <w:p>
      <w:pPr>
        <w:spacing w:after="0" w:line="252" w:lineRule="exact"/>
        <w:rPr>
          <w:rFonts w:ascii="Arial" w:cs="Arial" w:eastAsia="Arial" w:hAnsi="Arial"/>
          <w:sz w:val="19"/>
          <w:szCs w:val="19"/>
          <w:color w:val="auto"/>
        </w:rPr>
      </w:pPr>
    </w:p>
    <w:p>
      <w:pPr>
        <w:ind w:left="920" w:hanging="458"/>
        <w:spacing w:after="0" w:line="232" w:lineRule="auto"/>
        <w:tabs>
          <w:tab w:leader="none" w:pos="920" w:val="left"/>
        </w:tabs>
        <w:numPr>
          <w:ilvl w:val="0"/>
          <w:numId w:val="66"/>
        </w:numPr>
        <w:rPr>
          <w:rFonts w:ascii="Arial" w:cs="Arial" w:eastAsia="Arial" w:hAnsi="Arial"/>
          <w:sz w:val="19"/>
          <w:szCs w:val="19"/>
          <w:color w:val="auto"/>
        </w:rPr>
      </w:pPr>
      <w:r>
        <w:rPr>
          <w:rFonts w:ascii="Times New Roman" w:cs="Times New Roman" w:eastAsia="Times New Roman" w:hAnsi="Times New Roman"/>
          <w:sz w:val="19"/>
          <w:szCs w:val="19"/>
          <w:color w:val="auto"/>
        </w:rPr>
        <w:t>professional and consulting fees increased by $3.6 million, primarily driven by an increase in legal fees and other professional costs; and</w:t>
      </w:r>
    </w:p>
    <w:p>
      <w:pPr>
        <w:spacing w:after="0" w:line="251" w:lineRule="exact"/>
        <w:rPr>
          <w:rFonts w:ascii="Arial" w:cs="Arial" w:eastAsia="Arial" w:hAnsi="Arial"/>
          <w:sz w:val="19"/>
          <w:szCs w:val="19"/>
          <w:color w:val="auto"/>
        </w:rPr>
      </w:pPr>
    </w:p>
    <w:p>
      <w:pPr>
        <w:ind w:left="920" w:hanging="458"/>
        <w:spacing w:after="0" w:line="232" w:lineRule="auto"/>
        <w:tabs>
          <w:tab w:leader="none" w:pos="920" w:val="left"/>
        </w:tabs>
        <w:numPr>
          <w:ilvl w:val="0"/>
          <w:numId w:val="66"/>
        </w:numPr>
        <w:rPr>
          <w:rFonts w:ascii="Arial" w:cs="Arial" w:eastAsia="Arial" w:hAnsi="Arial"/>
          <w:sz w:val="19"/>
          <w:szCs w:val="19"/>
          <w:color w:val="auto"/>
        </w:rPr>
      </w:pPr>
      <w:r>
        <w:rPr>
          <w:rFonts w:ascii="Times New Roman" w:cs="Times New Roman" w:eastAsia="Times New Roman" w:hAnsi="Times New Roman"/>
          <w:sz w:val="19"/>
          <w:szCs w:val="19"/>
          <w:color w:val="auto"/>
        </w:rPr>
        <w:t>facility-related and other general and administrative expenses decreased by $0.4 million, primarily driven by a decrease in costs related to directors’ and officers’ liability insurance.</w:t>
      </w:r>
    </w:p>
    <w:p>
      <w:pPr>
        <w:spacing w:after="0" w:line="2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i w:val="1"/>
          <w:iCs w:val="1"/>
          <w:color w:val="auto"/>
        </w:rPr>
        <w:t>Restructuring</w:t>
      </w:r>
    </w:p>
    <w:p>
      <w:pPr>
        <w:spacing w:after="0" w:line="26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9"/>
          <w:szCs w:val="19"/>
          <w:color w:val="auto"/>
        </w:rPr>
        <w:t>We did not recognize any restructuring expenses for the year ended December 31, 2025. We recognized $0.9 million in restructuring expenses for the year ended December 31, 2024. The restructuring expenses were associated with a workforce reduction announced in March 2024 and consisted of employee severance, benefits continuation and outplacement service costs.</w:t>
      </w:r>
    </w:p>
    <w:p>
      <w:pPr>
        <w:sectPr>
          <w:pgSz w:w="12240" w:h="15840" w:orient="portrait"/>
          <w:cols w:equalWidth="0" w:num="1">
            <w:col w:w="10200"/>
          </w:cols>
          <w:pgMar w:left="1020" w:top="1347" w:right="1020" w:bottom="556"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ectPr>
          <w:pgSz w:w="12240" w:h="15840" w:orient="portrait"/>
          <w:cols w:equalWidth="0" w:num="1">
            <w:col w:w="10200"/>
          </w:cols>
          <w:pgMar w:left="1020" w:top="1347" w:right="1020" w:bottom="556" w:gutter="0" w:footer="0" w:header="0"/>
          <w:type w:val="continuous"/>
        </w:sectPr>
      </w:pPr>
    </w:p>
    <w:bookmarkStart w:id="109" w:name="page110"/>
    <w:bookmarkEnd w:id="109"/>
    <w:p>
      <w:pPr>
        <w:ind w:left="460"/>
        <w:spacing w:after="0"/>
        <w:rPr>
          <w:sz w:val="20"/>
          <w:szCs w:val="20"/>
          <w:color w:val="auto"/>
        </w:rPr>
      </w:pPr>
      <w:r>
        <w:rPr>
          <w:rFonts w:ascii="Times New Roman" w:cs="Times New Roman" w:eastAsia="Times New Roman" w:hAnsi="Times New Roman"/>
          <w:sz w:val="19"/>
          <w:szCs w:val="19"/>
          <w:i w:val="1"/>
          <w:iCs w:val="1"/>
          <w:color w:val="auto"/>
        </w:rPr>
        <w:t>Change in Fair Value of Common Stock Warrant Liabilities</w:t>
      </w:r>
    </w:p>
    <w:p>
      <w:pPr>
        <w:spacing w:after="0" w:line="262"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9"/>
          <w:szCs w:val="19"/>
          <w:color w:val="auto"/>
        </w:rPr>
        <w:t>The change in fair value of common stock warrant liabilities for the year ended December 31, 2025 was due to a gain of $5.8 million, which consisted of:</w:t>
      </w:r>
    </w:p>
    <w:p>
      <w:pPr>
        <w:spacing w:after="0" w:line="139" w:lineRule="exact"/>
        <w:rPr>
          <w:sz w:val="20"/>
          <w:szCs w:val="20"/>
          <w:color w:val="auto"/>
        </w:rPr>
      </w:pPr>
    </w:p>
    <w:p>
      <w:pPr>
        <w:ind w:left="920" w:right="60" w:hanging="458"/>
        <w:spacing w:after="0" w:line="234" w:lineRule="auto"/>
        <w:tabs>
          <w:tab w:leader="none" w:pos="920" w:val="left"/>
        </w:tabs>
        <w:numPr>
          <w:ilvl w:val="0"/>
          <w:numId w:val="67"/>
        </w:numPr>
        <w:rPr>
          <w:rFonts w:ascii="Arial" w:cs="Arial" w:eastAsia="Arial" w:hAnsi="Arial"/>
          <w:sz w:val="19"/>
          <w:szCs w:val="19"/>
          <w:color w:val="auto"/>
        </w:rPr>
      </w:pPr>
      <w:r>
        <w:rPr>
          <w:rFonts w:ascii="Times New Roman" w:cs="Times New Roman" w:eastAsia="Times New Roman" w:hAnsi="Times New Roman"/>
          <w:sz w:val="19"/>
          <w:szCs w:val="19"/>
          <w:color w:val="auto"/>
        </w:rPr>
        <w:t>a $3.7 million gain on the decrease in the fair value of the Series A common stock warrant liabilities between the issuance date of June 5, 2025 and December 31, 2025, which was primarily driven by a decrease in the price per share of our common stock;</w:t>
      </w:r>
    </w:p>
    <w:p>
      <w:pPr>
        <w:spacing w:after="0" w:line="138" w:lineRule="exact"/>
        <w:rPr>
          <w:rFonts w:ascii="Arial" w:cs="Arial" w:eastAsia="Arial" w:hAnsi="Arial"/>
          <w:sz w:val="19"/>
          <w:szCs w:val="19"/>
          <w:color w:val="auto"/>
        </w:rPr>
      </w:pPr>
    </w:p>
    <w:p>
      <w:pPr>
        <w:ind w:left="920" w:right="60" w:hanging="458"/>
        <w:spacing w:after="0" w:line="234" w:lineRule="auto"/>
        <w:tabs>
          <w:tab w:leader="none" w:pos="920" w:val="left"/>
        </w:tabs>
        <w:numPr>
          <w:ilvl w:val="0"/>
          <w:numId w:val="67"/>
        </w:numPr>
        <w:rPr>
          <w:rFonts w:ascii="Arial" w:cs="Arial" w:eastAsia="Arial" w:hAnsi="Arial"/>
          <w:sz w:val="19"/>
          <w:szCs w:val="19"/>
          <w:color w:val="auto"/>
        </w:rPr>
      </w:pPr>
      <w:r>
        <w:rPr>
          <w:rFonts w:ascii="Times New Roman" w:cs="Times New Roman" w:eastAsia="Times New Roman" w:hAnsi="Times New Roman"/>
          <w:sz w:val="19"/>
          <w:szCs w:val="19"/>
          <w:color w:val="auto"/>
        </w:rPr>
        <w:t>a $3.5 million gain on the decrease in the fair value of the Series B common stock warrant liabilities between the issuance date of June 5, 2025 and December 2, 2025, which was primarily driven by a decrease in the price per share of our common stock; and</w:t>
      </w:r>
    </w:p>
    <w:p>
      <w:pPr>
        <w:spacing w:after="0" w:line="138" w:lineRule="exact"/>
        <w:rPr>
          <w:rFonts w:ascii="Arial" w:cs="Arial" w:eastAsia="Arial" w:hAnsi="Arial"/>
          <w:sz w:val="19"/>
          <w:szCs w:val="19"/>
          <w:color w:val="auto"/>
        </w:rPr>
      </w:pPr>
    </w:p>
    <w:p>
      <w:pPr>
        <w:ind w:left="920" w:right="120" w:hanging="458"/>
        <w:spacing w:after="0" w:line="235" w:lineRule="auto"/>
        <w:tabs>
          <w:tab w:leader="none" w:pos="920" w:val="left"/>
        </w:tabs>
        <w:numPr>
          <w:ilvl w:val="0"/>
          <w:numId w:val="67"/>
        </w:numPr>
        <w:rPr>
          <w:rFonts w:ascii="Arial" w:cs="Arial" w:eastAsia="Arial" w:hAnsi="Arial"/>
          <w:sz w:val="19"/>
          <w:szCs w:val="19"/>
          <w:color w:val="auto"/>
        </w:rPr>
      </w:pPr>
      <w:r>
        <w:rPr>
          <w:rFonts w:ascii="Times New Roman" w:cs="Times New Roman" w:eastAsia="Times New Roman" w:hAnsi="Times New Roman"/>
          <w:sz w:val="19"/>
          <w:szCs w:val="19"/>
          <w:color w:val="auto"/>
        </w:rPr>
        <w:t>a $1.4 million loss on the increase in the fair value of the Series C common stock warrant liabilities between the issuance date of June 5, 2025 and December 31, 2025, which was primarily driven by a decrease in the price per share of our common stock and the expiration of 1,319,145 Series C warrants on December 31, 2025 according to their terms in connection with the expiration of unexercised Series B warrants.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i w:val="1"/>
          <w:iCs w:val="1"/>
          <w:color w:val="auto"/>
        </w:rPr>
        <w:t>Other Income, Net</w:t>
      </w:r>
    </w:p>
    <w:p>
      <w:pPr>
        <w:spacing w:after="0" w:line="26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Other income, net of $1.1 million for the year ended December 31, 2025 included $3.4 million of interest income, which was partially offset by $2.3 million of the issuance costs we incurred in connection with the sale and issuance of the prefunded warrants and common stock warrants in connection with our June 2025 follow-on offering, which were allocated to the common stock warrant liabilities. Other income, net of $2.3 million for the year ended December 31, 2024 consisted primarily of interest income.</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Liquidity and Capital Resources</w:t>
      </w:r>
    </w:p>
    <w:p>
      <w:pPr>
        <w:spacing w:after="0" w:line="2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i w:val="1"/>
          <w:iCs w:val="1"/>
          <w:color w:val="auto"/>
        </w:rPr>
        <w:t>Sources of Liquidity</w:t>
      </w:r>
    </w:p>
    <w:p>
      <w:pPr>
        <w:spacing w:after="0" w:line="26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Since our inception, we have incurred significant operating losses and negative cash flows from operations. We have not yet commercialized any of our product candidates, which are in preclinical or early clinical development, and we do not expect to generate revenue from sales of any products for several years, if at all. To date, we have financed our operations primarily from proceeds raised through private placements of equity securities; sales of common stock in our IPO, and through “at-the-market” offerings; the sale of prefunded warrants in our June 2025 and February 2026 follow-on offerings; the exercise of certain common stock warrants issued in connection with our June 2025 follow-on offering; development event payments under our co-funded clinical trial collaboration with Roche; and upfront and milestone payments under our collaboration and license agreements with AbbVie and Gilead. All of our programs are in early clinical or preclinical development. As a result, we have not generated any revenue from product sales and do not expect to generate any revenue from product sales for at least the next several years, if at all. Our ability to generate product revenue sufficient to achieve profitability will depend heavily on the successful development and eventual commercialization of one or more of our product candidates, if approved. Because of the numerous risks and uncertainties associated with product development, we are unable to predict the timing or amount of increased expenses or when or if we will be able to achieve profitability. Even if we are able to generate revenue from product sales, we may not become profitable.</w:t>
      </w:r>
    </w:p>
    <w:p>
      <w:pPr>
        <w:spacing w:after="0" w:line="24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As of December 31, 2025, we had cash and cash equivalents of $137.5 million. In the first quarter of 2026, we received net proceeds of approximately $37.3 million, after deducting underwriting discounts and commissions and estimated offering expenses payable by us, upon the closing of a follow-on offering of prefunded warrants and a $5.0 million development milestone related to the collaboration agreement with AbbVie. Based on our current operating plans, we anticipate that our existing cash and cash equivalents will be sufficient to enable us to fund our operating expenses and capital expenditure requirements through the end of 2027. This estimate excludes any potential future milestone payments, option-related fees or other contingent payments under our existing collaboration and partnership agreements with AbbVie and Gilead and excludes the potential receipt of up to $36.2 million in additional gross proceeds in the second half of 2026 if all outstanding Series C warrants are exercised at their current exercise price. In addition, we have based our estimates on assumptions that may prove to be wrong, and we could exhaust our available capital resources sooner than we anticipate.</w:t>
      </w:r>
    </w:p>
    <w:p>
      <w:pPr>
        <w:spacing w:after="0" w:line="20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b w:val="1"/>
          <w:bCs w:val="1"/>
          <w:i w:val="1"/>
          <w:iCs w:val="1"/>
          <w:color w:val="auto"/>
        </w:rPr>
        <w:t>At-the-Market Offering Program</w:t>
      </w:r>
    </w:p>
    <w:p>
      <w:pPr>
        <w:spacing w:after="0" w:line="26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In March 2025, we filed a universal shelf registration statement on Form S-3 with the SEC to register for sale up to $250.0 million of our common stock, preferred stock, debt securities, units and warrants, which we may issue and sell from time to time in one or more offerings, which became effective on May 8, 2025 (333-285703), or the S-3 Shelf. In March 2025, we entered into a sales agreement with Leerink Partners, LLC, under which we may issue and sell shares of our common stock from time to time at an aggregate</w:t>
      </w:r>
    </w:p>
    <w:p>
      <w:pPr>
        <w:sectPr>
          <w:pgSz w:w="12240" w:h="15840" w:orient="portrait"/>
          <w:cols w:equalWidth="0" w:num="1">
            <w:col w:w="10200"/>
          </w:cols>
          <w:pgMar w:left="1020" w:top="1310" w:right="1020" w:bottom="556" w:gutter="0" w:footer="0" w:header="0"/>
        </w:sect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ectPr>
          <w:pgSz w:w="12240" w:h="15840" w:orient="portrait"/>
          <w:cols w:equalWidth="0" w:num="1">
            <w:col w:w="10200"/>
          </w:cols>
          <w:pgMar w:left="1020" w:top="1310" w:right="1020" w:bottom="556" w:gutter="0" w:footer="0" w:header="0"/>
          <w:type w:val="continuous"/>
        </w:sectPr>
      </w:pPr>
    </w:p>
    <w:bookmarkStart w:id="110" w:name="page111"/>
    <w:bookmarkEnd w:id="110"/>
    <w:p>
      <w:pPr>
        <w:jc w:val="both"/>
        <w:spacing w:after="0" w:line="235" w:lineRule="auto"/>
        <w:rPr>
          <w:sz w:val="20"/>
          <w:szCs w:val="20"/>
          <w:color w:val="auto"/>
        </w:rPr>
      </w:pPr>
      <w:r>
        <w:rPr>
          <w:rFonts w:ascii="Times New Roman" w:cs="Times New Roman" w:eastAsia="Times New Roman" w:hAnsi="Times New Roman"/>
          <w:sz w:val="19"/>
          <w:szCs w:val="19"/>
          <w:color w:val="auto"/>
        </w:rPr>
        <w:t>offering price of up to $50.0 million. In February 2026, we filed a prospectus supplement to our prospectus dated May 8, 2025 (333-285793) to reduce the amount of common stock we may offer and sell under the sales agreement to an aggregate offering price of up to $9.5 million. Please see Note 9 to our consolidated financial statements appearing elsewhere in this Annual Report on Form 10-K for additional information about our at-the-market offering program.</w:t>
      </w:r>
    </w:p>
    <w:p>
      <w:pPr>
        <w:spacing w:after="0" w:line="2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i w:val="1"/>
          <w:iCs w:val="1"/>
          <w:color w:val="auto"/>
        </w:rPr>
        <w:t>Cash Flows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provides information regarding our cash flows for each period presented (in thousands):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5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40" w:type="dxa"/>
            <w:vAlign w:val="bottom"/>
            <w:gridSpan w:val="4"/>
          </w:tcPr>
          <w:p>
            <w:pPr>
              <w:jc w:val="right"/>
              <w:ind w:right="86"/>
              <w:spacing w:after="0"/>
              <w:rPr>
                <w:sz w:val="20"/>
                <w:szCs w:val="20"/>
                <w:color w:val="auto"/>
              </w:rPr>
            </w:pPr>
            <w:r>
              <w:rPr>
                <w:rFonts w:ascii="Times New Roman" w:cs="Times New Roman" w:eastAsia="Times New Roman" w:hAnsi="Times New Roman"/>
                <w:sz w:val="15"/>
                <w:szCs w:val="15"/>
                <w:b w:val="1"/>
                <w:bCs w:val="1"/>
                <w:color w:val="auto"/>
              </w:rPr>
              <w:t>Year Ended</w:t>
            </w: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7"/>
        </w:trPr>
        <w:tc>
          <w:tcPr>
            <w:tcW w:w="55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40" w:type="dxa"/>
            <w:vAlign w:val="bottom"/>
            <w:gridSpan w:val="4"/>
          </w:tcPr>
          <w:p>
            <w:pPr>
              <w:jc w:val="right"/>
              <w:ind w:right="46"/>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2"/>
        </w:trPr>
        <w:tc>
          <w:tcPr>
            <w:tcW w:w="5560" w:type="dxa"/>
            <w:vAlign w:val="bottom"/>
          </w:tcPr>
          <w:p>
            <w:pPr>
              <w:spacing w:after="0"/>
              <w:rPr>
                <w:sz w:val="18"/>
                <w:szCs w:val="18"/>
                <w:color w:val="auto"/>
              </w:rPr>
            </w:pP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ind w:right="529"/>
              <w:spacing w:after="0"/>
              <w:rPr>
                <w:sz w:val="20"/>
                <w:szCs w:val="20"/>
                <w:color w:val="auto"/>
              </w:rPr>
            </w:pPr>
            <w:r>
              <w:rPr>
                <w:rFonts w:ascii="Times New Roman" w:cs="Times New Roman" w:eastAsia="Times New Roman" w:hAnsi="Times New Roman"/>
                <w:sz w:val="15"/>
                <w:szCs w:val="15"/>
                <w:b w:val="1"/>
                <w:bCs w:val="1"/>
                <w:color w:val="auto"/>
              </w:rPr>
              <w:t>2024</w:t>
            </w:r>
          </w:p>
        </w:tc>
        <w:tc>
          <w:tcPr>
            <w:tcW w:w="80" w:type="dxa"/>
            <w:vAlign w:val="bottom"/>
          </w:tcPr>
          <w:p>
            <w:pPr>
              <w:spacing w:after="0"/>
              <w:rPr>
                <w:sz w:val="18"/>
                <w:szCs w:val="18"/>
                <w:color w:val="auto"/>
              </w:rPr>
            </w:pPr>
          </w:p>
        </w:tc>
      </w:tr>
      <w:tr>
        <w:trPr>
          <w:trHeight w:val="225"/>
        </w:trPr>
        <w:tc>
          <w:tcPr>
            <w:tcW w:w="5560" w:type="dxa"/>
            <w:vAlign w:val="bottom"/>
            <w:tcBorders>
              <w:top w:val="single" w:sz="8" w:color="D5EEEE"/>
            </w:tcBorders>
            <w:shd w:val="clear" w:color="auto" w:fill="D5EEEE"/>
          </w:tcPr>
          <w:p>
            <w:pPr>
              <w:spacing w:after="0"/>
              <w:rPr>
                <w:sz w:val="20"/>
                <w:szCs w:val="20"/>
                <w:color w:val="auto"/>
              </w:rPr>
            </w:pPr>
            <w:r>
              <w:rPr>
                <w:rFonts w:ascii="Times New Roman" w:cs="Times New Roman" w:eastAsia="Times New Roman" w:hAnsi="Times New Roman"/>
                <w:sz w:val="19"/>
                <w:szCs w:val="19"/>
                <w:b w:val="1"/>
                <w:bCs w:val="1"/>
                <w:color w:val="auto"/>
              </w:rPr>
              <w:t>Net cash provided by (used in):</w:t>
            </w:r>
          </w:p>
        </w:tc>
        <w:tc>
          <w:tcPr>
            <w:tcW w:w="1260" w:type="dxa"/>
            <w:vAlign w:val="bottom"/>
            <w:tcBorders>
              <w:top w:val="single" w:sz="8" w:color="D5EEEE"/>
            </w:tcBorders>
            <w:shd w:val="clear" w:color="auto" w:fill="D5EEEE"/>
          </w:tcPr>
          <w:p>
            <w:pPr>
              <w:spacing w:after="0"/>
              <w:rPr>
                <w:sz w:val="19"/>
                <w:szCs w:val="19"/>
                <w:color w:val="auto"/>
              </w:rPr>
            </w:pPr>
          </w:p>
        </w:tc>
        <w:tc>
          <w:tcPr>
            <w:tcW w:w="980" w:type="dxa"/>
            <w:vAlign w:val="bottom"/>
            <w:tcBorders>
              <w:top w:val="single" w:sz="8" w:color="auto"/>
            </w:tcBorders>
            <w:shd w:val="clear" w:color="auto" w:fill="D5EEEE"/>
          </w:tcPr>
          <w:p>
            <w:pPr>
              <w:spacing w:after="0"/>
              <w:rPr>
                <w:sz w:val="19"/>
                <w:szCs w:val="19"/>
                <w:color w:val="auto"/>
              </w:rPr>
            </w:pPr>
          </w:p>
        </w:tc>
        <w:tc>
          <w:tcPr>
            <w:tcW w:w="580" w:type="dxa"/>
            <w:vAlign w:val="bottom"/>
            <w:tcBorders>
              <w:top w:val="single" w:sz="8" w:color="auto"/>
            </w:tcBorders>
            <w:shd w:val="clear" w:color="auto" w:fill="D5EEEE"/>
          </w:tcPr>
          <w:p>
            <w:pPr>
              <w:spacing w:after="0"/>
              <w:rPr>
                <w:sz w:val="19"/>
                <w:szCs w:val="19"/>
                <w:color w:val="auto"/>
              </w:rPr>
            </w:pPr>
          </w:p>
        </w:tc>
        <w:tc>
          <w:tcPr>
            <w:tcW w:w="140" w:type="dxa"/>
            <w:vAlign w:val="bottom"/>
            <w:tcBorders>
              <w:top w:val="single" w:sz="8" w:color="D5EEEE"/>
            </w:tcBorders>
            <w:shd w:val="clear" w:color="auto" w:fill="D5EEEE"/>
          </w:tcPr>
          <w:p>
            <w:pPr>
              <w:spacing w:after="0"/>
              <w:rPr>
                <w:sz w:val="19"/>
                <w:szCs w:val="19"/>
                <w:color w:val="auto"/>
              </w:rPr>
            </w:pPr>
          </w:p>
        </w:tc>
        <w:tc>
          <w:tcPr>
            <w:tcW w:w="60" w:type="dxa"/>
            <w:vAlign w:val="bottom"/>
            <w:tcBorders>
              <w:top w:val="single" w:sz="8" w:color="D5EEEE"/>
            </w:tcBorders>
            <w:shd w:val="clear" w:color="auto" w:fill="D5EEEE"/>
          </w:tcPr>
          <w:p>
            <w:pPr>
              <w:spacing w:after="0"/>
              <w:rPr>
                <w:sz w:val="19"/>
                <w:szCs w:val="19"/>
                <w:color w:val="auto"/>
              </w:rPr>
            </w:pPr>
          </w:p>
        </w:tc>
        <w:tc>
          <w:tcPr>
            <w:tcW w:w="460" w:type="dxa"/>
            <w:vAlign w:val="bottom"/>
            <w:tcBorders>
              <w:top w:val="single" w:sz="8" w:color="auto"/>
            </w:tcBorders>
            <w:shd w:val="clear" w:color="auto" w:fill="D5EEEE"/>
          </w:tcPr>
          <w:p>
            <w:pPr>
              <w:spacing w:after="0"/>
              <w:rPr>
                <w:sz w:val="19"/>
                <w:szCs w:val="19"/>
                <w:color w:val="auto"/>
              </w:rPr>
            </w:pPr>
          </w:p>
        </w:tc>
        <w:tc>
          <w:tcPr>
            <w:tcW w:w="1080" w:type="dxa"/>
            <w:vAlign w:val="bottom"/>
            <w:tcBorders>
              <w:top w:val="single" w:sz="8" w:color="auto"/>
            </w:tcBorders>
            <w:shd w:val="clear" w:color="auto" w:fill="D5EEEE"/>
          </w:tcPr>
          <w:p>
            <w:pPr>
              <w:spacing w:after="0"/>
              <w:rPr>
                <w:sz w:val="19"/>
                <w:szCs w:val="19"/>
                <w:color w:val="auto"/>
              </w:rPr>
            </w:pPr>
          </w:p>
        </w:tc>
        <w:tc>
          <w:tcPr>
            <w:tcW w:w="80" w:type="dxa"/>
            <w:vAlign w:val="bottom"/>
            <w:tcBorders>
              <w:top w:val="single" w:sz="8" w:color="D5EEEE"/>
            </w:tcBorders>
            <w:shd w:val="clear" w:color="auto" w:fill="D5EEEE"/>
          </w:tcPr>
          <w:p>
            <w:pPr>
              <w:spacing w:after="0"/>
              <w:rPr>
                <w:sz w:val="19"/>
                <w:szCs w:val="19"/>
                <w:color w:val="auto"/>
              </w:rPr>
            </w:pPr>
          </w:p>
        </w:tc>
      </w:tr>
      <w:tr>
        <w:trPr>
          <w:trHeight w:val="230"/>
        </w:trPr>
        <w:tc>
          <w:tcPr>
            <w:tcW w:w="5560" w:type="dxa"/>
            <w:vAlign w:val="bottom"/>
          </w:tcPr>
          <w:p>
            <w:pPr>
              <w:spacing w:after="0"/>
              <w:rPr>
                <w:sz w:val="20"/>
                <w:szCs w:val="20"/>
                <w:color w:val="auto"/>
              </w:rPr>
            </w:pPr>
            <w:r>
              <w:rPr>
                <w:rFonts w:ascii="Times New Roman" w:cs="Times New Roman" w:eastAsia="Times New Roman" w:hAnsi="Times New Roman"/>
                <w:sz w:val="19"/>
                <w:szCs w:val="19"/>
                <w:color w:val="auto"/>
              </w:rPr>
              <w:t>Operating activities</w:t>
            </w:r>
          </w:p>
        </w:tc>
        <w:tc>
          <w:tcPr>
            <w:tcW w:w="2240" w:type="dxa"/>
            <w:vAlign w:val="bottom"/>
            <w:gridSpan w:val="2"/>
          </w:tcPr>
          <w:p>
            <w:pPr>
              <w:jc w:val="right"/>
              <w:ind w:right="786"/>
              <w:spacing w:after="0"/>
              <w:rPr>
                <w:sz w:val="20"/>
                <w:szCs w:val="20"/>
                <w:color w:val="auto"/>
              </w:rPr>
            </w:pPr>
            <w:r>
              <w:rPr>
                <w:rFonts w:ascii="Times New Roman" w:cs="Times New Roman" w:eastAsia="Times New Roman" w:hAnsi="Times New Roman"/>
                <w:sz w:val="19"/>
                <w:szCs w:val="19"/>
                <w:color w:val="auto"/>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(4,992)</w:t>
            </w:r>
          </w:p>
        </w:tc>
        <w:tc>
          <w:tcPr>
            <w:tcW w:w="520" w:type="dxa"/>
            <w:vAlign w:val="bottom"/>
            <w:gridSpan w:val="2"/>
          </w:tcPr>
          <w:p>
            <w:pPr>
              <w:jc w:val="right"/>
              <w:ind w:right="266"/>
              <w:spacing w:after="0"/>
              <w:rPr>
                <w:sz w:val="20"/>
                <w:szCs w:val="20"/>
                <w:color w:val="auto"/>
              </w:rPr>
            </w:pPr>
            <w:r>
              <w:rPr>
                <w:rFonts w:ascii="Times New Roman" w:cs="Times New Roman" w:eastAsia="Times New Roman" w:hAnsi="Times New Roman"/>
                <w:sz w:val="19"/>
                <w:szCs w:val="19"/>
                <w:color w:val="auto"/>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(18,378)</w:t>
            </w:r>
          </w:p>
        </w:tc>
      </w:tr>
      <w:tr>
        <w:trPr>
          <w:trHeight w:val="231"/>
        </w:trPr>
        <w:tc>
          <w:tcPr>
            <w:tcW w:w="5560" w:type="dxa"/>
            <w:vAlign w:val="bottom"/>
            <w:shd w:val="clear" w:color="auto" w:fill="D5EEEE"/>
          </w:tcPr>
          <w:p>
            <w:pPr>
              <w:spacing w:after="0"/>
              <w:rPr>
                <w:sz w:val="20"/>
                <w:szCs w:val="20"/>
                <w:color w:val="auto"/>
              </w:rPr>
            </w:pPr>
            <w:r>
              <w:rPr>
                <w:rFonts w:ascii="Times New Roman" w:cs="Times New Roman" w:eastAsia="Times New Roman" w:hAnsi="Times New Roman"/>
                <w:sz w:val="19"/>
                <w:szCs w:val="19"/>
                <w:color w:val="auto"/>
              </w:rPr>
              <w:t>Investing activities</w:t>
            </w:r>
          </w:p>
        </w:tc>
        <w:tc>
          <w:tcPr>
            <w:tcW w:w="1260" w:type="dxa"/>
            <w:vAlign w:val="bottom"/>
            <w:shd w:val="clear" w:color="auto" w:fill="D5EEEE"/>
          </w:tcPr>
          <w:p>
            <w:pPr>
              <w:spacing w:after="0"/>
              <w:rPr>
                <w:sz w:val="20"/>
                <w:szCs w:val="20"/>
                <w:color w:val="auto"/>
              </w:rPr>
            </w:pPr>
          </w:p>
        </w:tc>
        <w:tc>
          <w:tcPr>
            <w:tcW w:w="980" w:type="dxa"/>
            <w:vAlign w:val="bottom"/>
            <w:shd w:val="clear" w:color="auto" w:fill="D5EEEE"/>
          </w:tcPr>
          <w:p>
            <w:pPr>
              <w:spacing w:after="0"/>
              <w:rPr>
                <w:sz w:val="20"/>
                <w:szCs w:val="20"/>
                <w:color w:val="auto"/>
              </w:rPr>
            </w:pPr>
          </w:p>
        </w:tc>
        <w:tc>
          <w:tcPr>
            <w:tcW w:w="720" w:type="dxa"/>
            <w:vAlign w:val="bottom"/>
            <w:gridSpan w:val="2"/>
            <w:shd w:val="clear" w:color="auto" w:fill="D5EEEE"/>
          </w:tcPr>
          <w:p>
            <w:pPr>
              <w:jc w:val="right"/>
              <w:ind w:right="80"/>
              <w:spacing w:after="0"/>
              <w:rPr>
                <w:sz w:val="20"/>
                <w:szCs w:val="20"/>
                <w:color w:val="auto"/>
              </w:rPr>
            </w:pPr>
            <w:r>
              <w:rPr>
                <w:rFonts w:ascii="Times New Roman" w:cs="Times New Roman" w:eastAsia="Times New Roman" w:hAnsi="Times New Roman"/>
                <w:sz w:val="19"/>
                <w:szCs w:val="19"/>
                <w:color w:val="auto"/>
              </w:rPr>
              <w:t>(518)</w:t>
            </w:r>
          </w:p>
        </w:tc>
        <w:tc>
          <w:tcPr>
            <w:tcW w:w="60" w:type="dxa"/>
            <w:vAlign w:val="bottom"/>
            <w:shd w:val="clear" w:color="auto" w:fill="D5EEEE"/>
          </w:tcPr>
          <w:p>
            <w:pPr>
              <w:spacing w:after="0"/>
              <w:rPr>
                <w:sz w:val="20"/>
                <w:szCs w:val="20"/>
                <w:color w:val="auto"/>
              </w:rPr>
            </w:pPr>
          </w:p>
        </w:tc>
        <w:tc>
          <w:tcPr>
            <w:tcW w:w="460" w:type="dxa"/>
            <w:vAlign w:val="bottom"/>
            <w:shd w:val="clear" w:color="auto" w:fill="D5EEEE"/>
          </w:tcPr>
          <w:p>
            <w:pPr>
              <w:spacing w:after="0"/>
              <w:rPr>
                <w:sz w:val="20"/>
                <w:szCs w:val="20"/>
                <w:color w:val="auto"/>
              </w:rPr>
            </w:pPr>
          </w:p>
        </w:tc>
        <w:tc>
          <w:tcPr>
            <w:tcW w:w="1160" w:type="dxa"/>
            <w:vAlign w:val="bottom"/>
            <w:gridSpan w:val="2"/>
            <w:shd w:val="clear" w:color="auto" w:fill="D5EEEE"/>
          </w:tcPr>
          <w:p>
            <w:pPr>
              <w:jc w:val="right"/>
              <w:ind w:right="20"/>
              <w:spacing w:after="0"/>
              <w:rPr>
                <w:sz w:val="20"/>
                <w:szCs w:val="20"/>
                <w:color w:val="auto"/>
              </w:rPr>
            </w:pPr>
            <w:r>
              <w:rPr>
                <w:rFonts w:ascii="Times New Roman" w:cs="Times New Roman" w:eastAsia="Times New Roman" w:hAnsi="Times New Roman"/>
                <w:sz w:val="19"/>
                <w:szCs w:val="19"/>
                <w:color w:val="auto"/>
              </w:rPr>
              <w:t>(36)</w:t>
            </w:r>
          </w:p>
        </w:tc>
      </w:tr>
      <w:tr>
        <w:trPr>
          <w:trHeight w:val="230"/>
        </w:trPr>
        <w:tc>
          <w:tcPr>
            <w:tcW w:w="5560" w:type="dxa"/>
            <w:vAlign w:val="bottom"/>
            <w:tcBorders>
              <w:bottom w:val="single" w:sz="8" w:color="D5EEEE"/>
            </w:tcBorders>
          </w:tcPr>
          <w:p>
            <w:pPr>
              <w:spacing w:after="0"/>
              <w:rPr>
                <w:sz w:val="20"/>
                <w:szCs w:val="20"/>
                <w:color w:val="auto"/>
              </w:rPr>
            </w:pPr>
            <w:r>
              <w:rPr>
                <w:rFonts w:ascii="Times New Roman" w:cs="Times New Roman" w:eastAsia="Times New Roman" w:hAnsi="Times New Roman"/>
                <w:sz w:val="19"/>
                <w:szCs w:val="19"/>
                <w:color w:val="auto"/>
              </w:rPr>
              <w:t>Financing activities</w:t>
            </w:r>
          </w:p>
        </w:tc>
        <w:tc>
          <w:tcPr>
            <w:tcW w:w="1260" w:type="dxa"/>
            <w:vAlign w:val="bottom"/>
            <w:tcBorders>
              <w:bottom w:val="single" w:sz="8" w:color="D5EEEE"/>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87,775</w:t>
            </w:r>
          </w:p>
        </w:tc>
        <w:tc>
          <w:tcPr>
            <w:tcW w:w="140" w:type="dxa"/>
            <w:vAlign w:val="bottom"/>
            <w:tcBorders>
              <w:bottom w:val="single" w:sz="8" w:color="D5EEEE"/>
            </w:tcBorders>
          </w:tcPr>
          <w:p>
            <w:pPr>
              <w:spacing w:after="0"/>
              <w:rPr>
                <w:sz w:val="20"/>
                <w:szCs w:val="20"/>
                <w:color w:val="auto"/>
              </w:rPr>
            </w:pPr>
          </w:p>
        </w:tc>
        <w:tc>
          <w:tcPr>
            <w:tcW w:w="60" w:type="dxa"/>
            <w:vAlign w:val="bottom"/>
            <w:tcBorders>
              <w:bottom w:val="single" w:sz="8" w:color="D5EEEE"/>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29,196</w:t>
            </w:r>
          </w:p>
        </w:tc>
        <w:tc>
          <w:tcPr>
            <w:tcW w:w="80" w:type="dxa"/>
            <w:vAlign w:val="bottom"/>
            <w:tcBorders>
              <w:bottom w:val="single" w:sz="8" w:color="D5EEEE"/>
            </w:tcBorders>
          </w:tcPr>
          <w:p>
            <w:pPr>
              <w:spacing w:after="0"/>
              <w:rPr>
                <w:sz w:val="20"/>
                <w:szCs w:val="20"/>
                <w:color w:val="auto"/>
              </w:rPr>
            </w:pPr>
          </w:p>
        </w:tc>
      </w:tr>
      <w:tr>
        <w:trPr>
          <w:trHeight w:val="225"/>
        </w:trPr>
        <w:tc>
          <w:tcPr>
            <w:tcW w:w="5560" w:type="dxa"/>
            <w:vAlign w:val="bottom"/>
            <w:shd w:val="clear" w:color="auto" w:fill="D5EEEE"/>
          </w:tcPr>
          <w:p>
            <w:pPr>
              <w:spacing w:after="0"/>
              <w:rPr>
                <w:sz w:val="20"/>
                <w:szCs w:val="20"/>
                <w:color w:val="auto"/>
              </w:rPr>
            </w:pPr>
            <w:r>
              <w:rPr>
                <w:rFonts w:ascii="Times New Roman" w:cs="Times New Roman" w:eastAsia="Times New Roman" w:hAnsi="Times New Roman"/>
                <w:sz w:val="19"/>
                <w:szCs w:val="19"/>
                <w:color w:val="auto"/>
              </w:rPr>
              <w:t>Net increase in cash, cash equivalents and restricted cash</w:t>
            </w:r>
          </w:p>
        </w:tc>
        <w:tc>
          <w:tcPr>
            <w:tcW w:w="1260" w:type="dxa"/>
            <w:vAlign w:val="bottom"/>
            <w:shd w:val="clear" w:color="auto" w:fill="D5EEEE"/>
          </w:tcPr>
          <w:p>
            <w:pPr>
              <w:spacing w:after="0"/>
              <w:rPr>
                <w:sz w:val="19"/>
                <w:szCs w:val="19"/>
                <w:color w:val="auto"/>
              </w:rPr>
            </w:pPr>
          </w:p>
        </w:tc>
        <w:tc>
          <w:tcPr>
            <w:tcW w:w="980" w:type="dxa"/>
            <w:vAlign w:val="bottom"/>
            <w:tcBorders>
              <w:bottom w:val="single" w:sz="8" w:color="auto"/>
            </w:tcBorders>
            <w:shd w:val="clear" w:color="auto" w:fill="D5EEEE"/>
          </w:tcPr>
          <w:p>
            <w:pPr>
              <w:jc w:val="right"/>
              <w:ind w:right="786"/>
              <w:spacing w:after="0"/>
              <w:rPr>
                <w:sz w:val="20"/>
                <w:szCs w:val="20"/>
                <w:color w:val="auto"/>
              </w:rPr>
            </w:pPr>
            <w:r>
              <w:rPr>
                <w:rFonts w:ascii="Times New Roman" w:cs="Times New Roman" w:eastAsia="Times New Roman" w:hAnsi="Times New Roman"/>
                <w:sz w:val="19"/>
                <w:szCs w:val="19"/>
                <w:color w:val="auto"/>
                <w:w w:val="83"/>
              </w:rPr>
              <w:t>$</w:t>
            </w:r>
          </w:p>
        </w:tc>
        <w:tc>
          <w:tcPr>
            <w:tcW w:w="5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82,265</w:t>
            </w:r>
          </w:p>
        </w:tc>
        <w:tc>
          <w:tcPr>
            <w:tcW w:w="140" w:type="dxa"/>
            <w:vAlign w:val="bottom"/>
            <w:shd w:val="clear" w:color="auto" w:fill="D5EEEE"/>
          </w:tcPr>
          <w:p>
            <w:pPr>
              <w:spacing w:after="0"/>
              <w:rPr>
                <w:sz w:val="19"/>
                <w:szCs w:val="19"/>
                <w:color w:val="auto"/>
              </w:rPr>
            </w:pPr>
          </w:p>
        </w:tc>
        <w:tc>
          <w:tcPr>
            <w:tcW w:w="60" w:type="dxa"/>
            <w:vAlign w:val="bottom"/>
            <w:shd w:val="clear" w:color="auto" w:fill="D5EEEE"/>
          </w:tcPr>
          <w:p>
            <w:pPr>
              <w:spacing w:after="0"/>
              <w:rPr>
                <w:sz w:val="19"/>
                <w:szCs w:val="19"/>
                <w:color w:val="auto"/>
              </w:rPr>
            </w:pPr>
          </w:p>
        </w:tc>
        <w:tc>
          <w:tcPr>
            <w:tcW w:w="460" w:type="dxa"/>
            <w:vAlign w:val="bottom"/>
            <w:tcBorders>
              <w:bottom w:val="single" w:sz="8" w:color="auto"/>
            </w:tcBorders>
            <w:shd w:val="clear" w:color="auto" w:fill="D5EEEE"/>
          </w:tcPr>
          <w:p>
            <w:pPr>
              <w:jc w:val="right"/>
              <w:ind w:right="266"/>
              <w:spacing w:after="0"/>
              <w:rPr>
                <w:sz w:val="20"/>
                <w:szCs w:val="20"/>
                <w:color w:val="auto"/>
              </w:rPr>
            </w:pPr>
            <w:r>
              <w:rPr>
                <w:rFonts w:ascii="Times New Roman" w:cs="Times New Roman" w:eastAsia="Times New Roman" w:hAnsi="Times New Roman"/>
                <w:sz w:val="19"/>
                <w:szCs w:val="19"/>
                <w:color w:val="auto"/>
                <w:w w:val="83"/>
              </w:rPr>
              <w:t>$</w:t>
            </w:r>
          </w:p>
        </w:tc>
        <w:tc>
          <w:tcPr>
            <w:tcW w:w="10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10,782</w:t>
            </w:r>
          </w:p>
        </w:tc>
        <w:tc>
          <w:tcPr>
            <w:tcW w:w="80" w:type="dxa"/>
            <w:vAlign w:val="bottom"/>
            <w:shd w:val="clear" w:color="auto" w:fill="D5EEEE"/>
          </w:tcPr>
          <w:p>
            <w:pPr>
              <w:spacing w:after="0"/>
              <w:rPr>
                <w:sz w:val="19"/>
                <w:szCs w:val="19"/>
                <w:color w:val="auto"/>
              </w:rPr>
            </w:pPr>
          </w:p>
        </w:tc>
      </w:tr>
      <w:tr>
        <w:trPr>
          <w:trHeight w:val="20"/>
        </w:trPr>
        <w:tc>
          <w:tcPr>
            <w:tcW w:w="5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4316095</wp:posOffset>
            </wp:positionH>
            <wp:positionV relativeFrom="paragraph">
              <wp:posOffset>-923925</wp:posOffset>
            </wp:positionV>
            <wp:extent cx="2127250" cy="36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1">
                      <a:extLst>
                        <a:ext uri="{28A0092B-C50C-407E-A947-70E740481C1C}"/>
                      </a:extLst>
                    </a:blip>
                    <a:srcRect/>
                    <a:stretch>
                      <a:fillRect/>
                    </a:stretch>
                  </pic:blipFill>
                  <pic:spPr bwMode="auto">
                    <a:xfrm>
                      <a:off x="0" y="0"/>
                      <a:ext cx="2127250" cy="36195"/>
                    </a:xfrm>
                    <a:prstGeom prst="rect">
                      <a:avLst/>
                    </a:prstGeom>
                    <a:noFill/>
                  </pic:spPr>
                </pic:pic>
              </a:graphicData>
            </a:graphic>
          </wp:anchor>
        </w:drawing>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i w:val="1"/>
          <w:iCs w:val="1"/>
          <w:color w:val="auto"/>
        </w:rPr>
        <w:t>Operating Activities</w:t>
      </w:r>
    </w:p>
    <w:p>
      <w:pPr>
        <w:spacing w:after="0" w:line="26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Our cash flows from operating activities are greatly influenced by our use of cash for operating expenses and working capital requirements to support our business. We have historically experienced negative cash flows from operating activities as we invested in research and development of our product candidates, including preclinical studies, clinical trials, manufacturing and manufacturing process development. The cash used in operating activities resulted primarily from our net losses adjusted for non-cash charges, which are generally due to stock-based compensation, depreciation and amortization, as well as changes in components of operating assets and liabilities, which are generally due to increased expenses and timing of vendor payments.</w:t>
      </w:r>
    </w:p>
    <w:p>
      <w:pPr>
        <w:spacing w:after="0" w:line="24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During the year ended December 31, 2025, net cash used in operating activities of $5.0 million was primarily driven by net changes in operating assets and liabilities of $25.1 million, which includes the $49.1 million received from AbbVie under the collaboration, license and option agreement and stock purchase agreement that was recorded as deferred revenue at the outset of the arrangement and the $17.5 million development milestone received in the third quarter of 2025 from Gilead under the license agreement, and net non-cash expenses of $4.9 million, which includes the $5.8 million gain recorded on the change in fair value of our common stock warrant liabilities, partially offset by our net loss of $35.0 million.</w:t>
      </w:r>
    </w:p>
    <w:p>
      <w:pPr>
        <w:spacing w:after="0" w:line="24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During the year ended December 31, 2024, net cash used in operating activities of $18.4 million was primarily due to our net loss of $58.2 million, partially offset by changes in operating assets and liabilities of $31.8 million and net non-cash expenses of $8.1 million.</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i w:val="1"/>
          <w:iCs w:val="1"/>
          <w:color w:val="auto"/>
        </w:rPr>
        <w:t>Investing Activities</w:t>
      </w:r>
    </w:p>
    <w:p>
      <w:pPr>
        <w:spacing w:after="0" w:line="26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9"/>
          <w:szCs w:val="19"/>
          <w:color w:val="auto"/>
        </w:rPr>
        <w:t>During the years ended December 31, 2025 and 2024, net cash used in investing activities consisted of purchases of property and equipment.</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i w:val="1"/>
          <w:iCs w:val="1"/>
          <w:color w:val="auto"/>
        </w:rPr>
        <w:t>Financing Activities</w:t>
      </w:r>
    </w:p>
    <w:p>
      <w:pPr>
        <w:spacing w:after="0" w:line="26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During the year ended December 31, 2025, net cash provided by financing activities of $87.8 million primarily consisted of proceeds from the sale of prefunded warrants and common stock warrants through a follow-on offering and the subsequent exercise of certain of those common stock warrants, proceeds from the sale and issuance of common stock to AbbVie in a private placement and proceeds from the sale and issuance of common stock through ATM offerings.</w:t>
      </w:r>
    </w:p>
    <w:p>
      <w:pPr>
        <w:spacing w:after="0" w:line="24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During the year ended December 31, 2024, net cash provided by financing activities of $29.2 million consisted of aggregate net proceeds of $25.7 million from the sale and issuance of common stock and prefunded warrants to certain existing accredited investors and Gilead in private placements and aggregate net proceeds of $6.8 million from the sale and issuance of common stock under our ATM offering program, partially offset by repayments of debt principal of $3.3 million under our loan agreement with PacWest and payments on our finance lease for certain lab equipment.</w:t>
      </w:r>
    </w:p>
    <w:p>
      <w:pPr>
        <w:sectPr>
          <w:pgSz w:w="12240" w:h="15840" w:orient="portrait"/>
          <w:cols w:equalWidth="0" w:num="1">
            <w:col w:w="10200"/>
          </w:cols>
          <w:pgMar w:left="1020" w:top="1347" w:right="1020" w:bottom="5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ectPr>
          <w:pgSz w:w="12240" w:h="15840" w:orient="portrait"/>
          <w:cols w:equalWidth="0" w:num="1">
            <w:col w:w="10200"/>
          </w:cols>
          <w:pgMar w:left="1020" w:top="1347" w:right="1020" w:bottom="556" w:gutter="0" w:footer="0" w:header="0"/>
          <w:type w:val="continuous"/>
        </w:sectPr>
      </w:pPr>
    </w:p>
    <w:bookmarkStart w:id="111" w:name="page112"/>
    <w:bookmarkEnd w:id="111"/>
    <w:p>
      <w:pPr>
        <w:ind w:left="460"/>
        <w:spacing w:after="0"/>
        <w:rPr>
          <w:sz w:val="20"/>
          <w:szCs w:val="20"/>
          <w:color w:val="auto"/>
        </w:rPr>
      </w:pPr>
      <w:r>
        <w:rPr>
          <w:rFonts w:ascii="Times New Roman" w:cs="Times New Roman" w:eastAsia="Times New Roman" w:hAnsi="Times New Roman"/>
          <w:sz w:val="19"/>
          <w:szCs w:val="19"/>
          <w:b w:val="1"/>
          <w:bCs w:val="1"/>
          <w:i w:val="1"/>
          <w:iCs w:val="1"/>
          <w:color w:val="auto"/>
        </w:rPr>
        <w:t>Capital Requirements</w:t>
      </w:r>
    </w:p>
    <w:p>
      <w:pPr>
        <w:spacing w:after="0" w:line="26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We expect our future capital requirements to increase substantially over time in connection with our ongoing research and development activities, particularly as we advance our current and planned clinical development of our product candidates and maintain the research efforts and preclinical activities associated with our other existing programs and discovery platform. In addition, we expect to continue to incur additional costs associated with operating as a public company. As a result, we expect to incur substantial operating losses and negative operating cash flows for the foreseeable future.</w:t>
      </w:r>
    </w:p>
    <w:p>
      <w:pPr>
        <w:spacing w:after="0" w:line="23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Inflation generally affects us by increasing our cost of labor and certain services. We do not believe that inflation had a material effect on our consolidated financial statements included elsewhere in this Annual Report on Form 10-K. However, the United States has recently experienced historically high levels of inflation. If the inflation rate continues to increase it may affect our expenses, such as employee compensation and research and development charges due to, for example, increases in the costs of labor and supplies. Additionally, the biotechnology industry is subject to a competitive wage environment that may also increase our operating costs in the future.</w:t>
      </w:r>
    </w:p>
    <w:p>
      <w:pPr>
        <w:spacing w:after="0" w:line="24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As of December 31, 2025, we had cash and cash equivalents of $137.5 million. In the first quarter of 2026, we received net proceeds of approximately $37.3 million, after deducting underwriting discounts and commissions and offering expenses payable by us, upon the closing of a follow-on offering of prefunded warrants and a $5.0 million development milestone related to the collaboration agreement with AbbVie. Based on our current operating plans, we anticipate that our existing cash and cash equivalents will be sufficient to enable us to fund our operating expenses and capital expenditure requirements through the end of 2027. This estimate excludes any potential future milestone payments, option-related fees or other contingent payments under our existing collaboration and partnership agreements with AbbVie and Gilead and excludes the potential receipt of up to $36.2 million in additional gross proceeds in the second half of 2026 if all outstanding Series C warrants are exercised at their current exercise price.</w:t>
      </w:r>
    </w:p>
    <w:p>
      <w:pPr>
        <w:spacing w:after="0" w:line="23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However, we have based our estimates on assumptions that may prove to be wrong, and we could exhaust our available capital resources sooner than we anticipate. In addition, we expect our operating losses and negative operating cash flows to continue for the foreseeable future as we continue to advance our pipeline of novel, masked I-O molecules through preclinical and clinical development, maintain the infrastructure necessary to support these activities and continue to incur costs associated with operating as a public company.</w:t>
      </w:r>
    </w:p>
    <w:p>
      <w:pPr>
        <w:spacing w:after="0" w:line="23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Because of the numerous risks and uncertainties associated with product development, and because the extent to which we may enter into additional collaborations with third parties for the development of our product candidates is unknown, we may incorrectly estimate the timing and amounts of increased capital outlays and operating expenses associated with advancing the research and development of our product candidates.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Our future capital requirements, both short-term and long-term, will depend on many factors, including, but not limited to:</w:t>
      </w:r>
    </w:p>
    <w:p>
      <w:pPr>
        <w:spacing w:after="0" w:line="138" w:lineRule="exact"/>
        <w:rPr>
          <w:sz w:val="20"/>
          <w:szCs w:val="20"/>
          <w:color w:val="auto"/>
        </w:rPr>
      </w:pPr>
    </w:p>
    <w:p>
      <w:pPr>
        <w:jc w:val="both"/>
        <w:ind w:left="920" w:hanging="458"/>
        <w:spacing w:after="0" w:line="234" w:lineRule="auto"/>
        <w:tabs>
          <w:tab w:leader="none" w:pos="920" w:val="left"/>
        </w:tabs>
        <w:numPr>
          <w:ilvl w:val="0"/>
          <w:numId w:val="68"/>
        </w:numPr>
        <w:rPr>
          <w:rFonts w:ascii="Arial" w:cs="Arial" w:eastAsia="Arial" w:hAnsi="Arial"/>
          <w:sz w:val="19"/>
          <w:szCs w:val="19"/>
          <w:color w:val="auto"/>
        </w:rPr>
      </w:pPr>
      <w:r>
        <w:rPr>
          <w:rFonts w:ascii="Times New Roman" w:cs="Times New Roman" w:eastAsia="Times New Roman" w:hAnsi="Times New Roman"/>
          <w:sz w:val="19"/>
          <w:szCs w:val="19"/>
          <w:color w:val="auto"/>
        </w:rPr>
        <w:t>the scope, progress, results and costs of research and development for our current and future product candidates, including our current and planned clinical trials for our clinical-stage product candidates, vilastobart and efarindodekin alfa, and ongoing preclinical development for our current and future product candidates;</w:t>
      </w:r>
    </w:p>
    <w:p>
      <w:pPr>
        <w:spacing w:after="0" w:line="125" w:lineRule="exact"/>
        <w:rPr>
          <w:rFonts w:ascii="Arial" w:cs="Arial" w:eastAsia="Arial" w:hAnsi="Arial"/>
          <w:sz w:val="19"/>
          <w:szCs w:val="19"/>
          <w:color w:val="auto"/>
        </w:rPr>
      </w:pPr>
    </w:p>
    <w:p>
      <w:pPr>
        <w:ind w:left="920" w:hanging="458"/>
        <w:spacing w:after="0"/>
        <w:tabs>
          <w:tab w:leader="none" w:pos="920" w:val="left"/>
        </w:tabs>
        <w:numPr>
          <w:ilvl w:val="0"/>
          <w:numId w:val="68"/>
        </w:numPr>
        <w:rPr>
          <w:rFonts w:ascii="Arial" w:cs="Arial" w:eastAsia="Arial" w:hAnsi="Arial"/>
          <w:sz w:val="19"/>
          <w:szCs w:val="19"/>
          <w:color w:val="auto"/>
        </w:rPr>
      </w:pPr>
      <w:r>
        <w:rPr>
          <w:rFonts w:ascii="Times New Roman" w:cs="Times New Roman" w:eastAsia="Times New Roman" w:hAnsi="Times New Roman"/>
          <w:sz w:val="19"/>
          <w:szCs w:val="19"/>
          <w:color w:val="auto"/>
        </w:rPr>
        <w:t>our ability to maintain our collaboration and license agreements with AbbVie and Gilead;</w:t>
      </w:r>
    </w:p>
    <w:p>
      <w:pPr>
        <w:spacing w:after="0" w:line="137" w:lineRule="exact"/>
        <w:rPr>
          <w:rFonts w:ascii="Arial" w:cs="Arial" w:eastAsia="Arial" w:hAnsi="Arial"/>
          <w:sz w:val="19"/>
          <w:szCs w:val="19"/>
          <w:color w:val="auto"/>
        </w:rPr>
      </w:pPr>
    </w:p>
    <w:p>
      <w:pPr>
        <w:jc w:val="both"/>
        <w:ind w:left="920" w:hanging="458"/>
        <w:spacing w:after="0" w:line="234" w:lineRule="auto"/>
        <w:tabs>
          <w:tab w:leader="none" w:pos="920" w:val="left"/>
        </w:tabs>
        <w:numPr>
          <w:ilvl w:val="0"/>
          <w:numId w:val="68"/>
        </w:numPr>
        <w:rPr>
          <w:rFonts w:ascii="Arial" w:cs="Arial" w:eastAsia="Arial" w:hAnsi="Arial"/>
          <w:sz w:val="19"/>
          <w:szCs w:val="19"/>
          <w:color w:val="auto"/>
        </w:rPr>
      </w:pPr>
      <w:r>
        <w:rPr>
          <w:rFonts w:ascii="Times New Roman" w:cs="Times New Roman" w:eastAsia="Times New Roman" w:hAnsi="Times New Roman"/>
          <w:sz w:val="19"/>
          <w:szCs w:val="19"/>
          <w:color w:val="auto"/>
        </w:rPr>
        <w:t>the timing and amount of milestones, option-related fees and other contingent payments under our collaboration, license and option agreement with AbbVie for masked immunotherapies and our license agreement with Gilead for efarindodekin alfa, as well as the scope, costs and timing of our development obligations under these agreements;</w:t>
      </w:r>
    </w:p>
    <w:p>
      <w:pPr>
        <w:spacing w:after="0" w:line="138" w:lineRule="exact"/>
        <w:rPr>
          <w:rFonts w:ascii="Arial" w:cs="Arial" w:eastAsia="Arial" w:hAnsi="Arial"/>
          <w:sz w:val="19"/>
          <w:szCs w:val="19"/>
          <w:color w:val="auto"/>
        </w:rPr>
      </w:pPr>
    </w:p>
    <w:p>
      <w:pPr>
        <w:jc w:val="both"/>
        <w:ind w:left="920" w:hanging="458"/>
        <w:spacing w:after="0" w:line="234" w:lineRule="auto"/>
        <w:tabs>
          <w:tab w:leader="none" w:pos="920" w:val="left"/>
        </w:tabs>
        <w:numPr>
          <w:ilvl w:val="0"/>
          <w:numId w:val="68"/>
        </w:numPr>
        <w:rPr>
          <w:rFonts w:ascii="Arial" w:cs="Arial" w:eastAsia="Arial" w:hAnsi="Arial"/>
          <w:sz w:val="19"/>
          <w:szCs w:val="19"/>
          <w:color w:val="auto"/>
        </w:rPr>
      </w:pPr>
      <w:r>
        <w:rPr>
          <w:rFonts w:ascii="Times New Roman" w:cs="Times New Roman" w:eastAsia="Times New Roman" w:hAnsi="Times New Roman"/>
          <w:sz w:val="19"/>
          <w:szCs w:val="19"/>
          <w:color w:val="auto"/>
        </w:rPr>
        <w:t>the potential receipt of up to $36.2 million in additional gross proceeds in the second half of 2026 if all of the outstanding Series C common stock warrants issued in connection with our June 2025 follow-on offering are exercised at their current exercise price of $10.50 per warrant;</w:t>
      </w:r>
    </w:p>
    <w:p>
      <w:pPr>
        <w:spacing w:after="0" w:line="125" w:lineRule="exact"/>
        <w:rPr>
          <w:rFonts w:ascii="Arial" w:cs="Arial" w:eastAsia="Arial" w:hAnsi="Arial"/>
          <w:sz w:val="19"/>
          <w:szCs w:val="19"/>
          <w:color w:val="auto"/>
        </w:rPr>
      </w:pPr>
    </w:p>
    <w:p>
      <w:pPr>
        <w:ind w:left="920" w:hanging="458"/>
        <w:spacing w:after="0"/>
        <w:tabs>
          <w:tab w:leader="none" w:pos="920" w:val="left"/>
        </w:tabs>
        <w:numPr>
          <w:ilvl w:val="0"/>
          <w:numId w:val="68"/>
        </w:numPr>
        <w:rPr>
          <w:rFonts w:ascii="Arial" w:cs="Arial" w:eastAsia="Arial" w:hAnsi="Arial"/>
          <w:sz w:val="19"/>
          <w:szCs w:val="19"/>
          <w:color w:val="auto"/>
        </w:rPr>
      </w:pPr>
      <w:r>
        <w:rPr>
          <w:rFonts w:ascii="Times New Roman" w:cs="Times New Roman" w:eastAsia="Times New Roman" w:hAnsi="Times New Roman"/>
          <w:sz w:val="19"/>
          <w:szCs w:val="19"/>
          <w:color w:val="auto"/>
        </w:rPr>
        <w:t>our ability to secure additional capital in the future;</w:t>
      </w:r>
    </w:p>
    <w:p>
      <w:pPr>
        <w:spacing w:after="0" w:line="124" w:lineRule="exact"/>
        <w:rPr>
          <w:rFonts w:ascii="Arial" w:cs="Arial" w:eastAsia="Arial" w:hAnsi="Arial"/>
          <w:sz w:val="19"/>
          <w:szCs w:val="19"/>
          <w:color w:val="auto"/>
        </w:rPr>
      </w:pPr>
    </w:p>
    <w:p>
      <w:pPr>
        <w:ind w:left="920" w:hanging="458"/>
        <w:spacing w:after="0"/>
        <w:tabs>
          <w:tab w:leader="none" w:pos="920" w:val="left"/>
        </w:tabs>
        <w:numPr>
          <w:ilvl w:val="0"/>
          <w:numId w:val="68"/>
        </w:numPr>
        <w:rPr>
          <w:rFonts w:ascii="Arial" w:cs="Arial" w:eastAsia="Arial" w:hAnsi="Arial"/>
          <w:sz w:val="19"/>
          <w:szCs w:val="19"/>
          <w:color w:val="auto"/>
        </w:rPr>
      </w:pPr>
      <w:r>
        <w:rPr>
          <w:rFonts w:ascii="Times New Roman" w:cs="Times New Roman" w:eastAsia="Times New Roman" w:hAnsi="Times New Roman"/>
          <w:sz w:val="19"/>
          <w:szCs w:val="19"/>
          <w:color w:val="auto"/>
        </w:rPr>
        <w:t>the scope, prioritization and number of our research and development programs;</w:t>
      </w:r>
    </w:p>
    <w:p>
      <w:pPr>
        <w:spacing w:after="0" w:line="137" w:lineRule="exact"/>
        <w:rPr>
          <w:rFonts w:ascii="Arial" w:cs="Arial" w:eastAsia="Arial" w:hAnsi="Arial"/>
          <w:sz w:val="19"/>
          <w:szCs w:val="19"/>
          <w:color w:val="auto"/>
        </w:rPr>
      </w:pPr>
    </w:p>
    <w:p>
      <w:pPr>
        <w:ind w:left="920" w:hanging="458"/>
        <w:spacing w:after="0" w:line="232" w:lineRule="auto"/>
        <w:tabs>
          <w:tab w:leader="none" w:pos="920" w:val="left"/>
        </w:tabs>
        <w:numPr>
          <w:ilvl w:val="0"/>
          <w:numId w:val="68"/>
        </w:numPr>
        <w:rPr>
          <w:rFonts w:ascii="Arial" w:cs="Arial" w:eastAsia="Arial" w:hAnsi="Arial"/>
          <w:sz w:val="19"/>
          <w:szCs w:val="19"/>
          <w:color w:val="auto"/>
        </w:rPr>
      </w:pPr>
      <w:r>
        <w:rPr>
          <w:rFonts w:ascii="Times New Roman" w:cs="Times New Roman" w:eastAsia="Times New Roman" w:hAnsi="Times New Roman"/>
          <w:sz w:val="19"/>
          <w:szCs w:val="19"/>
          <w:color w:val="auto"/>
        </w:rPr>
        <w:t>the costs of securing manufacturing materials for use in preclinical studies, clinical trials and, for any product candidates for which we receive regulatory approval, if any, commercial supply;</w:t>
      </w:r>
    </w:p>
    <w:p>
      <w:pPr>
        <w:spacing w:after="0" w:line="138" w:lineRule="exact"/>
        <w:rPr>
          <w:rFonts w:ascii="Arial" w:cs="Arial" w:eastAsia="Arial" w:hAnsi="Arial"/>
          <w:sz w:val="19"/>
          <w:szCs w:val="19"/>
          <w:color w:val="auto"/>
        </w:rPr>
      </w:pPr>
    </w:p>
    <w:p>
      <w:pPr>
        <w:ind w:left="920" w:hanging="458"/>
        <w:spacing w:after="0" w:line="232" w:lineRule="auto"/>
        <w:tabs>
          <w:tab w:leader="none" w:pos="920" w:val="left"/>
        </w:tabs>
        <w:numPr>
          <w:ilvl w:val="0"/>
          <w:numId w:val="68"/>
        </w:numPr>
        <w:rPr>
          <w:rFonts w:ascii="Arial" w:cs="Arial" w:eastAsia="Arial" w:hAnsi="Arial"/>
          <w:sz w:val="19"/>
          <w:szCs w:val="19"/>
          <w:color w:val="auto"/>
        </w:rPr>
      </w:pPr>
      <w:r>
        <w:rPr>
          <w:rFonts w:ascii="Times New Roman" w:cs="Times New Roman" w:eastAsia="Times New Roman" w:hAnsi="Times New Roman"/>
          <w:sz w:val="19"/>
          <w:szCs w:val="19"/>
          <w:color w:val="auto"/>
        </w:rPr>
        <w:t>the costs and timing of preparing, filing and prosecuting patent applications, maintaining and enforcing our intellectual property and proprietary rights and defending any intellectual property-related claims;</w:t>
      </w:r>
    </w:p>
    <w:p>
      <w:pPr>
        <w:spacing w:after="0" w:line="138" w:lineRule="exact"/>
        <w:rPr>
          <w:rFonts w:ascii="Arial" w:cs="Arial" w:eastAsia="Arial" w:hAnsi="Arial"/>
          <w:sz w:val="19"/>
          <w:szCs w:val="19"/>
          <w:color w:val="auto"/>
        </w:rPr>
      </w:pPr>
    </w:p>
    <w:p>
      <w:pPr>
        <w:ind w:left="920" w:hanging="458"/>
        <w:spacing w:after="0" w:line="232" w:lineRule="auto"/>
        <w:tabs>
          <w:tab w:leader="none" w:pos="920" w:val="left"/>
        </w:tabs>
        <w:numPr>
          <w:ilvl w:val="0"/>
          <w:numId w:val="68"/>
        </w:numPr>
        <w:rPr>
          <w:rFonts w:ascii="Arial" w:cs="Arial" w:eastAsia="Arial" w:hAnsi="Arial"/>
          <w:sz w:val="19"/>
          <w:szCs w:val="19"/>
          <w:color w:val="auto"/>
        </w:rPr>
      </w:pPr>
      <w:r>
        <w:rPr>
          <w:rFonts w:ascii="Times New Roman" w:cs="Times New Roman" w:eastAsia="Times New Roman" w:hAnsi="Times New Roman"/>
          <w:sz w:val="19"/>
          <w:szCs w:val="19"/>
          <w:color w:val="auto"/>
        </w:rPr>
        <w:t>the extent to which we may acquire or in-license other products, product candidates, technologies or intellectual property, as well as the terms of any such arrangements;</w:t>
      </w:r>
    </w:p>
    <w:p>
      <w:pPr>
        <w:sectPr>
          <w:pgSz w:w="12240" w:h="15840" w:orient="portrait"/>
          <w:cols w:equalWidth="0" w:num="1">
            <w:col w:w="10200"/>
          </w:cols>
          <w:pgMar w:left="1020" w:top="1310" w:right="1020" w:bottom="556" w:gutter="0" w:footer="0" w:header="0"/>
        </w:sect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ectPr>
          <w:pgSz w:w="12240" w:h="15840" w:orient="portrait"/>
          <w:cols w:equalWidth="0" w:num="1">
            <w:col w:w="10200"/>
          </w:cols>
          <w:pgMar w:left="1020" w:top="1310" w:right="1020" w:bottom="556" w:gutter="0" w:footer="0" w:header="0"/>
          <w:type w:val="continuous"/>
        </w:sectPr>
      </w:pPr>
    </w:p>
    <w:bookmarkStart w:id="112" w:name="page113"/>
    <w:bookmarkEnd w:id="112"/>
    <w:p>
      <w:pPr>
        <w:ind w:left="920" w:hanging="458"/>
        <w:spacing w:after="0"/>
        <w:tabs>
          <w:tab w:leader="none" w:pos="920" w:val="left"/>
        </w:tabs>
        <w:numPr>
          <w:ilvl w:val="0"/>
          <w:numId w:val="69"/>
        </w:numPr>
        <w:rPr>
          <w:rFonts w:ascii="Arial" w:cs="Arial" w:eastAsia="Arial" w:hAnsi="Arial"/>
          <w:sz w:val="19"/>
          <w:szCs w:val="19"/>
          <w:color w:val="auto"/>
        </w:rPr>
      </w:pPr>
      <w:r>
        <w:rPr>
          <w:rFonts w:ascii="Times New Roman" w:cs="Times New Roman" w:eastAsia="Times New Roman" w:hAnsi="Times New Roman"/>
          <w:sz w:val="19"/>
          <w:szCs w:val="19"/>
          <w:color w:val="auto"/>
        </w:rPr>
        <w:t>the scope, costs, timing and outcome of regulatory review of our product candidates;</w:t>
      </w:r>
    </w:p>
    <w:p>
      <w:pPr>
        <w:spacing w:after="0" w:line="137" w:lineRule="exact"/>
        <w:rPr>
          <w:rFonts w:ascii="Arial" w:cs="Arial" w:eastAsia="Arial" w:hAnsi="Arial"/>
          <w:sz w:val="19"/>
          <w:szCs w:val="19"/>
          <w:color w:val="auto"/>
        </w:rPr>
      </w:pPr>
    </w:p>
    <w:p>
      <w:pPr>
        <w:ind w:left="920" w:hanging="458"/>
        <w:spacing w:after="0" w:line="232" w:lineRule="auto"/>
        <w:tabs>
          <w:tab w:leader="none" w:pos="920" w:val="left"/>
        </w:tabs>
        <w:numPr>
          <w:ilvl w:val="0"/>
          <w:numId w:val="69"/>
        </w:numPr>
        <w:rPr>
          <w:rFonts w:ascii="Arial" w:cs="Arial" w:eastAsia="Arial" w:hAnsi="Arial"/>
          <w:sz w:val="19"/>
          <w:szCs w:val="19"/>
          <w:color w:val="auto"/>
        </w:rPr>
      </w:pPr>
      <w:r>
        <w:rPr>
          <w:rFonts w:ascii="Times New Roman" w:cs="Times New Roman" w:eastAsia="Times New Roman" w:hAnsi="Times New Roman"/>
          <w:sz w:val="19"/>
          <w:szCs w:val="19"/>
          <w:color w:val="auto"/>
        </w:rPr>
        <w:t>the costs and timing of future commercialization activities for any of our product candidates for which we receive regulatory approval;</w:t>
      </w:r>
    </w:p>
    <w:p>
      <w:pPr>
        <w:spacing w:after="0" w:line="138" w:lineRule="exact"/>
        <w:rPr>
          <w:rFonts w:ascii="Arial" w:cs="Arial" w:eastAsia="Arial" w:hAnsi="Arial"/>
          <w:sz w:val="19"/>
          <w:szCs w:val="19"/>
          <w:color w:val="auto"/>
        </w:rPr>
      </w:pPr>
    </w:p>
    <w:p>
      <w:pPr>
        <w:ind w:left="920" w:hanging="458"/>
        <w:spacing w:after="0" w:line="232" w:lineRule="auto"/>
        <w:tabs>
          <w:tab w:leader="none" w:pos="920" w:val="left"/>
        </w:tabs>
        <w:numPr>
          <w:ilvl w:val="0"/>
          <w:numId w:val="69"/>
        </w:numPr>
        <w:rPr>
          <w:rFonts w:ascii="Arial" w:cs="Arial" w:eastAsia="Arial" w:hAnsi="Arial"/>
          <w:sz w:val="19"/>
          <w:szCs w:val="19"/>
          <w:color w:val="auto"/>
        </w:rPr>
      </w:pPr>
      <w:r>
        <w:rPr>
          <w:rFonts w:ascii="Times New Roman" w:cs="Times New Roman" w:eastAsia="Times New Roman" w:hAnsi="Times New Roman"/>
          <w:sz w:val="19"/>
          <w:szCs w:val="19"/>
          <w:color w:val="auto"/>
        </w:rPr>
        <w:t>the amount and timing of revenue, if any, received from commercial sales of any product candidates for which we receive regulatory approval;</w:t>
      </w:r>
    </w:p>
    <w:p>
      <w:pPr>
        <w:spacing w:after="0" w:line="125" w:lineRule="exact"/>
        <w:rPr>
          <w:rFonts w:ascii="Arial" w:cs="Arial" w:eastAsia="Arial" w:hAnsi="Arial"/>
          <w:sz w:val="19"/>
          <w:szCs w:val="19"/>
          <w:color w:val="auto"/>
        </w:rPr>
      </w:pPr>
    </w:p>
    <w:p>
      <w:pPr>
        <w:ind w:left="920" w:hanging="458"/>
        <w:spacing w:after="0"/>
        <w:tabs>
          <w:tab w:leader="none" w:pos="920" w:val="left"/>
        </w:tabs>
        <w:numPr>
          <w:ilvl w:val="0"/>
          <w:numId w:val="69"/>
        </w:numPr>
        <w:rPr>
          <w:rFonts w:ascii="Arial" w:cs="Arial" w:eastAsia="Arial" w:hAnsi="Arial"/>
          <w:sz w:val="19"/>
          <w:szCs w:val="19"/>
          <w:color w:val="auto"/>
        </w:rPr>
      </w:pPr>
      <w:r>
        <w:rPr>
          <w:rFonts w:ascii="Times New Roman" w:cs="Times New Roman" w:eastAsia="Times New Roman" w:hAnsi="Times New Roman"/>
          <w:sz w:val="19"/>
          <w:szCs w:val="19"/>
          <w:color w:val="auto"/>
        </w:rPr>
        <w:t>general economic conditions, including inflation and the imposition of new or revised global trade tariffs; and</w:t>
      </w:r>
    </w:p>
    <w:p>
      <w:pPr>
        <w:spacing w:after="0" w:line="124" w:lineRule="exact"/>
        <w:rPr>
          <w:rFonts w:ascii="Arial" w:cs="Arial" w:eastAsia="Arial" w:hAnsi="Arial"/>
          <w:sz w:val="19"/>
          <w:szCs w:val="19"/>
          <w:color w:val="auto"/>
        </w:rPr>
      </w:pPr>
    </w:p>
    <w:p>
      <w:pPr>
        <w:ind w:left="920" w:hanging="458"/>
        <w:spacing w:after="0"/>
        <w:tabs>
          <w:tab w:leader="none" w:pos="920" w:val="left"/>
        </w:tabs>
        <w:numPr>
          <w:ilvl w:val="0"/>
          <w:numId w:val="69"/>
        </w:numPr>
        <w:rPr>
          <w:rFonts w:ascii="Arial" w:cs="Arial" w:eastAsia="Arial" w:hAnsi="Arial"/>
          <w:sz w:val="19"/>
          <w:szCs w:val="19"/>
          <w:color w:val="auto"/>
        </w:rPr>
      </w:pPr>
      <w:r>
        <w:rPr>
          <w:rFonts w:ascii="Times New Roman" w:cs="Times New Roman" w:eastAsia="Times New Roman" w:hAnsi="Times New Roman"/>
          <w:sz w:val="19"/>
          <w:szCs w:val="19"/>
          <w:color w:val="auto"/>
        </w:rPr>
        <w:t>the costs of maintaining our operations and continuing to operate as a public company.</w:t>
      </w:r>
    </w:p>
    <w:p>
      <w:pPr>
        <w:spacing w:after="0" w:line="23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Identifying potential product candidates and conducting preclinical studies and clinical trials is a time consuming, expensive and uncertain process that takes years to complete, and we may never generate the necessary data or results required to obtain regulatory approval and achieve product sales. In addition, our product candidates, if approved, may not achieve commercial success. Our commercial revenues, if any, will be derived from sales of products that we do not expect to be commercially available for several years, if ever. Accordingly, we will need to obtain substantial additional capital to achieve our business objectives.</w:t>
      </w:r>
    </w:p>
    <w:p>
      <w:pPr>
        <w:spacing w:after="0" w:line="23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Our expectation with respect to our ability to fund our currently planned operations is based on estimates that are subject to various risks and uncertainties. Our operating plan may change as a result of many factors currently unknown to management and there can be no assurance that our current operating plan will be achieved in the time frame anticipated by us, and we may exhaust our available capital resources sooner than we expect.</w:t>
      </w:r>
    </w:p>
    <w:p>
      <w:pPr>
        <w:spacing w:after="0" w:line="24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Adequate additional capital may not be available to us on acceptable terms, or at all. Market volatility resulting from adverse changes in domestic and international fiscal, monetary and other policies and political relations, regional or global conflicts, uncertainty around global economic conditions, instability in the financial markets, current or future pandemics or other factors could also adversely impact our ability to access capital as and when needed. To the extent that we raise additional capital through the sale of equity or securities convertible into or exchangeable for equity, the ownership interest of our existing stockholders may be diluted, and the terms of such securities may include liquidation or other preferences that adversely affect the rights of our existing stockholders. Additional debt and preferred equity, if available, may also involve agreements that include covenants limiting or restricting our ability to take specific actions, such as incurring additional debt, making capital expenditures or declaring dividends and may require that we issue additional warrants, which could potentially dilute the ownership interest of our existing stockholders.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Contractual Obligations</w:t>
      </w:r>
    </w:p>
    <w:p>
      <w:pPr>
        <w:spacing w:after="0" w:line="23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9"/>
          <w:szCs w:val="19"/>
          <w:color w:val="auto"/>
        </w:rPr>
        <w:t>In the normal course of business, we enter into agreements that contain contractual obligations, of which the most significant to date include an operating lease for our corporate headquarters and certain license agreements.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Lease Agreement</w:t>
      </w:r>
    </w:p>
    <w:p>
      <w:pPr>
        <w:spacing w:after="0" w:line="26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9"/>
          <w:szCs w:val="19"/>
          <w:color w:val="auto"/>
        </w:rPr>
        <w:t xml:space="preserve">We lease building space for our corporate headquarters at 828 Winter Street in Waltham, Massachusetts under a non-cancellable operating lease that expires in March 2030. Our operating lease includes the option to extend the term for a period of five years at the then-market rental rate. As of December 31, 2025, the remaining required payments for our operating lease, not including the optional extension period, are approximately $8.2 million. For further information regarding our operating lease agreement, please see Note 7, </w:t>
      </w:r>
      <w:r>
        <w:rPr>
          <w:rFonts w:ascii="Times New Roman" w:cs="Times New Roman" w:eastAsia="Times New Roman" w:hAnsi="Times New Roman"/>
          <w:sz w:val="19"/>
          <w:szCs w:val="19"/>
          <w:i w:val="1"/>
          <w:iCs w:val="1"/>
          <w:color w:val="auto"/>
        </w:rPr>
        <w:t>Leases</w:t>
      </w:r>
      <w:r>
        <w:rPr>
          <w:rFonts w:ascii="Times New Roman" w:cs="Times New Roman" w:eastAsia="Times New Roman" w:hAnsi="Times New Roman"/>
          <w:sz w:val="19"/>
          <w:szCs w:val="19"/>
          <w:color w:val="auto"/>
        </w:rPr>
        <w:t>, to our consolidated financial statements appearing elsewhere in this Annual Report on Form 10-K.</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Other Contractual Obligations</w:t>
      </w:r>
    </w:p>
    <w:p>
      <w:pPr>
        <w:spacing w:after="0" w:line="26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 xml:space="preserve">We are party to certain agreements that require us to pay third parties upon achievement of certain development, regulatory or commercial milestones or upon the consummation of specified transactions. Amounts related to contingent payments are not considered contractual obligations as they are contingent on the successful achievement of certain development, regulatory and commercial milestones that may not be achieved or upon the consummation of specified transactions that may not occur. We have not included payments contingent upon the achievement of certain development, regulatory or commercial milestones on our consolidated balance sheets. For further information regarding certain of our license agreements and amounts that could become payable in the future under those agreements, please see Note 6, </w:t>
      </w:r>
      <w:r>
        <w:rPr>
          <w:rFonts w:ascii="Times New Roman" w:cs="Times New Roman" w:eastAsia="Times New Roman" w:hAnsi="Times New Roman"/>
          <w:sz w:val="19"/>
          <w:szCs w:val="19"/>
          <w:i w:val="1"/>
          <w:iCs w:val="1"/>
          <w:color w:val="auto"/>
        </w:rPr>
        <w:t>Collaboration and License Agreements</w:t>
      </w:r>
      <w:r>
        <w:rPr>
          <w:rFonts w:ascii="Times New Roman" w:cs="Times New Roman" w:eastAsia="Times New Roman" w:hAnsi="Times New Roman"/>
          <w:sz w:val="19"/>
          <w:szCs w:val="19"/>
          <w:color w:val="auto"/>
        </w:rPr>
        <w:t>, to our consolidated financial statements appearing elsewhere in this Annual Report on Form 10-K.</w:t>
      </w:r>
    </w:p>
    <w:p>
      <w:pPr>
        <w:spacing w:after="0" w:line="23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addition, we are party to certain agreements with contract research organizations for clinical trials and clinical supply manufacturing and with vendors for preclinical research studies and other services and products for operating purposes. Such contracts are generally cancellable by us for convenience with up to 90 days of notice. We may be subject to certain termination fees or wind-</w:t>
      </w:r>
    </w:p>
    <w:p>
      <w:pPr>
        <w:sectPr>
          <w:pgSz w:w="12240" w:h="15840" w:orient="portrait"/>
          <w:cols w:equalWidth="0" w:num="1">
            <w:col w:w="10200"/>
          </w:cols>
          <w:pgMar w:left="1020" w:top="1347" w:right="1020" w:bottom="556" w:gutter="0" w:footer="0" w:header="0"/>
        </w:sect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ectPr>
          <w:pgSz w:w="12240" w:h="15840" w:orient="portrait"/>
          <w:cols w:equalWidth="0" w:num="1">
            <w:col w:w="10200"/>
          </w:cols>
          <w:pgMar w:left="1020" w:top="1347" w:right="1020" w:bottom="556" w:gutter="0" w:footer="0" w:header="0"/>
          <w:type w:val="continuous"/>
        </w:sectPr>
      </w:pPr>
    </w:p>
    <w:bookmarkStart w:id="113" w:name="page114"/>
    <w:bookmarkEnd w:id="113"/>
    <w:p>
      <w:pPr>
        <w:spacing w:after="0"/>
        <w:rPr>
          <w:sz w:val="20"/>
          <w:szCs w:val="20"/>
          <w:color w:val="auto"/>
        </w:rPr>
      </w:pPr>
      <w:r>
        <w:rPr>
          <w:rFonts w:ascii="Times New Roman" w:cs="Times New Roman" w:eastAsia="Times New Roman" w:hAnsi="Times New Roman"/>
          <w:sz w:val="19"/>
          <w:szCs w:val="19"/>
          <w:color w:val="auto"/>
        </w:rPr>
        <w:t>down costs upon termination of these agreements. The exact amount of such costs are generally not fixed or estimable.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Critical Accounting Policies and Use of Estimates</w:t>
      </w:r>
    </w:p>
    <w:p>
      <w:pPr>
        <w:spacing w:after="0" w:line="23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Our management’s discussion and analysis of our financial condition and results of operations is based on our consolidated financial statements, which have been prepared in accordance with generally accepted accounting principles in the United States.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239"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9"/>
          <w:szCs w:val="19"/>
          <w:color w:val="auto"/>
        </w:rPr>
        <w:t>While our significant accounting policies are described in more detail in the notes to our consolidated financial statements appearing elsewhere in this Annual Report on Form 10-K, we believe the following accounting policies used in the preparation of our consolidated financial statements require the most significant judgments and estimates.</w:t>
      </w:r>
    </w:p>
    <w:p>
      <w:pPr>
        <w:spacing w:after="0" w:line="20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b w:val="1"/>
          <w:bCs w:val="1"/>
          <w:i w:val="1"/>
          <w:iCs w:val="1"/>
          <w:color w:val="auto"/>
        </w:rPr>
        <w:t>Collaboration and License Revenue</w:t>
      </w:r>
    </w:p>
    <w:p>
      <w:pPr>
        <w:spacing w:after="0" w:line="262"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9"/>
          <w:szCs w:val="19"/>
          <w:color w:val="auto"/>
        </w:rPr>
        <w:t xml:space="preserve">Our collaboration and license revenue to date is comprised of amounts recognized from our collaboration, license and option agreement with AbbVie and our license agreement with Gilead. We recognize revenue in accordance with ASC 606, </w:t>
      </w:r>
      <w:r>
        <w:rPr>
          <w:rFonts w:ascii="Times New Roman" w:cs="Times New Roman" w:eastAsia="Times New Roman" w:hAnsi="Times New Roman"/>
          <w:sz w:val="19"/>
          <w:szCs w:val="19"/>
          <w:i w:val="1"/>
          <w:iCs w:val="1"/>
          <w:color w:val="auto"/>
        </w:rPr>
        <w:t>Revenue from</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Contracts with Customers</w:t>
      </w:r>
      <w:r>
        <w:rPr>
          <w:rFonts w:ascii="Times New Roman" w:cs="Times New Roman" w:eastAsia="Times New Roman" w:hAnsi="Times New Roman"/>
          <w:sz w:val="19"/>
          <w:szCs w:val="19"/>
          <w:color w:val="auto"/>
        </w:rPr>
        <w:t>, or ASC 606.</w:t>
      </w:r>
    </w:p>
    <w:p>
      <w:pPr>
        <w:spacing w:after="0" w:line="1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9"/>
          <w:szCs w:val="19"/>
          <w:color w:val="auto"/>
        </w:rPr>
        <w:t>Under ASC 606, we recognize revenue when our customer obtains control of promised goods or services, in an amount that reflects the consideration which the entity expects to receive in exchange for those goods or services. To determine the appropriate amount of revenue to be recognized for arrangements that we determined are within the scope of ASC 606, we perform the following five steps:</w:t>
      </w:r>
    </w:p>
    <w:p>
      <w:pPr>
        <w:spacing w:after="0" w:line="13" w:lineRule="exact"/>
        <w:rPr>
          <w:sz w:val="20"/>
          <w:szCs w:val="20"/>
          <w:color w:val="auto"/>
        </w:rPr>
      </w:pPr>
    </w:p>
    <w:p>
      <w:pPr>
        <w:jc w:val="both"/>
        <w:spacing w:after="0" w:line="235" w:lineRule="auto"/>
        <w:tabs>
          <w:tab w:leader="none" w:pos="252"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identification of the contract with the customer;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we satisfy each performance obligation.</w:t>
      </w:r>
    </w:p>
    <w:p>
      <w:pPr>
        <w:spacing w:after="0" w:line="24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The promised good or services in our arrangements typically consist of license rights to our intellectual property and research and development services. Performance obligations are promised goods or services in a contract to transfer a distinct good or service to the customer. Promised goods or services are considered distinct when (i) the customer can benefit from the good or service on its own or together with other readily available resources or (ii) the promised good or service is separately identifiable from other promises in the contract. In assessing whether promised goods or services are distinct, we consider factors such as the stage of development of the underlying intellectual property, the capabilities of the customer to develop the intellectual property on their own or whether the required expertise is readily available.</w:t>
      </w:r>
    </w:p>
    <w:p>
      <w:pPr>
        <w:spacing w:after="0" w:line="2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We estimate the transaction price based on the amount expected to be received for transferring the promised goods or services in the contract. The consideration may include both fixed consideration and variable consideration. At the inception of each arrangement that includes variable consideration and at each reporting period, we evaluate the amount of potential payment and the likelihood that the payments will be received. We utilize either the most likely amount method or expected amount method to estimate the amount expected to be received based on which method better predicts the amount expected to be received. If it is probable that a significant revenue reversal would not occur, the variable consideration is included in the transaction price.</w:t>
      </w:r>
    </w:p>
    <w:p>
      <w:pPr>
        <w:spacing w:after="0" w:line="24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Our contracts often include development and regulatory milestone payments. At contract inception and at each reporting period, we evaluate whether the milestones are considered probable of being reached and estimate the amount to be included in the transaction price using the most likely amount method. If it is probable that a significant revenue reversal would not occur, the associated milestone value is included in the transaction price. Milestone payments that are not within our control or the licensee’s control, such as regulatory approvals, are not included in the transaction price. At the end of each subsequent reporting period, we re-evaluate the probability of achievement of such development milestones and any related constraint, and if necessary, adjust our estimate of the overall transaction price.</w:t>
      </w:r>
    </w:p>
    <w:p>
      <w:pPr>
        <w:spacing w:after="0" w:line="24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For arrangements that include sales-based royalties, including milestone payments based on the level of sales, and the license is deemed to be the predominant item to which the royalties relate, we recognize revenue at the later of (i) when the related sales occur, or (ii) when the performance obligation to which some or all of the royalty has been allocated has been satisfied (or partially satisfied).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 allocate the transaction price based on the estimated standalone selling price of the underlying performance obligations or in the</w:t>
      </w:r>
    </w:p>
    <w:p>
      <w:pPr>
        <w:sectPr>
          <w:pgSz w:w="12240" w:h="15840" w:orient="portrait"/>
          <w:cols w:equalWidth="0" w:num="1">
            <w:col w:w="10200"/>
          </w:cols>
          <w:pgMar w:left="1020" w:top="1335" w:right="1020" w:bottom="556" w:gutter="0" w:footer="0" w:header="0"/>
        </w:sect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ectPr>
          <w:pgSz w:w="12240" w:h="15840" w:orient="portrait"/>
          <w:cols w:equalWidth="0" w:num="1">
            <w:col w:w="10200"/>
          </w:cols>
          <w:pgMar w:left="1020" w:top="1335" w:right="1020" w:bottom="556" w:gutter="0" w:footer="0" w:header="0"/>
          <w:type w:val="continuous"/>
        </w:sectPr>
      </w:pPr>
    </w:p>
    <w:bookmarkStart w:id="114" w:name="page115"/>
    <w:bookmarkEnd w:id="114"/>
    <w:p>
      <w:pPr>
        <w:jc w:val="both"/>
        <w:spacing w:after="0" w:line="236" w:lineRule="auto"/>
        <w:rPr>
          <w:sz w:val="20"/>
          <w:szCs w:val="20"/>
          <w:color w:val="auto"/>
        </w:rPr>
      </w:pPr>
      <w:r>
        <w:rPr>
          <w:rFonts w:ascii="Times New Roman" w:cs="Times New Roman" w:eastAsia="Times New Roman" w:hAnsi="Times New Roman"/>
          <w:sz w:val="19"/>
          <w:szCs w:val="19"/>
          <w:color w:val="auto"/>
        </w:rPr>
        <w:t>case of certain variable consideration to one or more performance obligations. We must develop assumptions that require judgment to determine the standalone selling price for each performance obligation identified in the contract. We utilize key assumptions to determine the standalone selling price, which may include other comparable transactions, pricing considered in negotiating the transaction and the estimated costs to complete the respective performance obligation. Certain variable consideration is allocated specifically to one or more performance obligations in a contract when the terms of the variable consideration relate to the satisfaction of the performance obligation and the resulting amounts allocated to each performance obligation are consistent with the amounts we would expect to receive for each performance obligation.</w:t>
      </w:r>
    </w:p>
    <w:p>
      <w:pPr>
        <w:spacing w:after="0" w:line="2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For performance obligations consisting of licenses and other promises, we utilize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We evaluate the measure of progress each reporting period and, if necessary, adjust the measure of performance and related revenue recognition.</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b w:val="1"/>
          <w:bCs w:val="1"/>
          <w:i w:val="1"/>
          <w:iCs w:val="1"/>
          <w:color w:val="auto"/>
        </w:rPr>
        <w:t>Research and Development Expenses and Related Accruals and Prepaid Expenses</w:t>
      </w:r>
    </w:p>
    <w:p>
      <w:pPr>
        <w:spacing w:after="0" w:line="26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Research and development expenses are comprised of costs incurred in performing research and development activities, including salaries, stock-based compensation and benefits, facilities costs and laboratory supplies, depreciation, manufacturing expenses and external costs of outside vendors engaged to conduct planned clinical development, preclinical development, manufacturing and manufacturing process development and other research support activities. All costs associated with research and development activities are expensed as incurred.</w:t>
      </w:r>
    </w:p>
    <w:p>
      <w:pPr>
        <w:spacing w:after="0" w:line="23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As part of the process of preparing our consolidated financial statements, we are required to estimate our accrued expenses as of each balance sheet date.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based on facts and circumstances known to us at that time. We periodically confirm the accuracy of our estimates with certain service providers and make adjustments if necessary. The significant estimates in our accrued research and development expenses include the costs incurred for services performed by our vendors in connection with research and development activities for which we have not yet been invoiced. In certain instances, we prepay for services to be provided in the future. These amounts are initially capitalized and subsequently expensed as the services are performed.</w:t>
      </w:r>
    </w:p>
    <w:p>
      <w:pPr>
        <w:spacing w:after="0" w:line="241"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9"/>
          <w:szCs w:val="19"/>
          <w:color w:val="auto"/>
        </w:rPr>
        <w:t>We base our expenses related to research and development activities on our estimates of the services received and efforts expended pursuant to quotes and contracts with vendors that conduct research and development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balance accordingly. Nonrefundable advance payments for goods and services that will be used in future research and development activities are initially capitalized and subsequently expensed when the activity has been performed or when the goods have been received rather than when the payment is made.</w:t>
      </w:r>
    </w:p>
    <w:p>
      <w:pPr>
        <w:spacing w:after="0" w:line="24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Although we do not expect our estimates to be materially different from amounts incurred, if our estimates of the status and timing of services performed differ from the actual status and timing of services performed, it could result in us reporting accrued amounts that are too high or too low in any particular period. To date, there have been no material differences between our estimates of such expenses and the amounts incurred.</w:t>
      </w:r>
    </w:p>
    <w:p>
      <w:pPr>
        <w:spacing w:after="0" w:line="20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b w:val="1"/>
          <w:bCs w:val="1"/>
          <w:i w:val="1"/>
          <w:iCs w:val="1"/>
          <w:color w:val="auto"/>
        </w:rPr>
        <w:t>Valuation of Common Stock Warrant Liabilities</w:t>
      </w:r>
    </w:p>
    <w:p>
      <w:pPr>
        <w:spacing w:after="0" w:line="225"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9"/>
          <w:szCs w:val="19"/>
          <w:color w:val="auto"/>
        </w:rPr>
        <w:t xml:space="preserve">We account for warrants to purchase shares of our common stock in accordance with the guidance in ASC 480, </w:t>
      </w:r>
      <w:r>
        <w:rPr>
          <w:rFonts w:ascii="Times New Roman" w:cs="Times New Roman" w:eastAsia="Times New Roman" w:hAnsi="Times New Roman"/>
          <w:sz w:val="19"/>
          <w:szCs w:val="19"/>
          <w:i w:val="1"/>
          <w:iCs w:val="1"/>
          <w:color w:val="auto"/>
        </w:rPr>
        <w:t>Distinguishing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Liabilities from Equity</w:t>
      </w:r>
      <w:r>
        <w:rPr>
          <w:rFonts w:ascii="Times New Roman" w:cs="Times New Roman" w:eastAsia="Times New Roman" w:hAnsi="Times New Roman"/>
          <w:sz w:val="19"/>
          <w:szCs w:val="19"/>
          <w:color w:val="auto"/>
        </w:rPr>
        <w:t>, or ASC 480, and ASC 815,</w:t>
      </w:r>
      <w:r>
        <w:rPr>
          <w:rFonts w:ascii="Times New Roman" w:cs="Times New Roman" w:eastAsia="Times New Roman" w:hAnsi="Times New Roman"/>
          <w:sz w:val="19"/>
          <w:szCs w:val="19"/>
          <w:i w:val="1"/>
          <w:iCs w:val="1"/>
          <w:color w:val="auto"/>
        </w:rPr>
        <w:t xml:space="preserve"> Derivatives and Hedging</w:t>
      </w:r>
      <w:r>
        <w:rPr>
          <w:rFonts w:ascii="Times New Roman" w:cs="Times New Roman" w:eastAsia="Times New Roman" w:hAnsi="Times New Roman"/>
          <w:sz w:val="19"/>
          <w:szCs w:val="19"/>
          <w:color w:val="auto"/>
        </w:rPr>
        <w:t>, or ASC 815. We classify warrants issued for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purchase of shares of our common stock as either equity or liability instruments based on an assessment of the specific terms and conditions of each respective contract. Such assessment includes determining whether the warrants are freestanding financial instruments or embedded in a host instrument, whether the warrants are liabilities within the scope of ASC 480, whether the warrants meet the definition of a derivative in ASC 815 and whether the warrants meet the requirements for equity classification pursuant to the indexation and equity classification criteria in ASC 815.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 determine the classification of warrants at the time of issuance and update our assessments as necessary. Warrants that meet all of</w:t>
      </w:r>
    </w:p>
    <w:p>
      <w:pPr>
        <w:sectPr>
          <w:pgSz w:w="12240" w:h="15840" w:orient="portrait"/>
          <w:cols w:equalWidth="0" w:num="1">
            <w:col w:w="10200"/>
          </w:cols>
          <w:pgMar w:left="1020" w:top="1347" w:right="1020" w:bottom="556" w:gutter="0" w:footer="0" w:header="0"/>
        </w:sect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ectPr>
          <w:pgSz w:w="12240" w:h="15840" w:orient="portrait"/>
          <w:cols w:equalWidth="0" w:num="1">
            <w:col w:w="10200"/>
          </w:cols>
          <w:pgMar w:left="1020" w:top="1347" w:right="1020" w:bottom="556" w:gutter="0" w:footer="0" w:header="0"/>
          <w:type w:val="continuous"/>
        </w:sectPr>
      </w:pPr>
    </w:p>
    <w:bookmarkStart w:id="115" w:name="page116"/>
    <w:bookmarkEnd w:id="115"/>
    <w:p>
      <w:pPr>
        <w:ind w:right="180"/>
        <w:spacing w:after="0" w:line="235" w:lineRule="auto"/>
        <w:rPr>
          <w:sz w:val="20"/>
          <w:szCs w:val="20"/>
          <w:color w:val="auto"/>
        </w:rPr>
      </w:pPr>
      <w:r>
        <w:rPr>
          <w:rFonts w:ascii="Times New Roman" w:cs="Times New Roman" w:eastAsia="Times New Roman" w:hAnsi="Times New Roman"/>
          <w:sz w:val="19"/>
          <w:szCs w:val="19"/>
          <w:color w:val="auto"/>
        </w:rPr>
        <w:t>the criteria for equity classification are recorded as a component of additional paid-in capital and are not subsequently remeasured. Warrants that are classified as liabilities are recorded at fair value on the issuance date and remeasured to fair value at each reporting period, with the change in fair value recorded as a component of other income, net, on the consolidated statements of operations and comprehensive loss.</w:t>
      </w:r>
    </w:p>
    <w:p>
      <w:pPr>
        <w:spacing w:after="0" w:line="240" w:lineRule="exact"/>
        <w:rPr>
          <w:sz w:val="20"/>
          <w:szCs w:val="20"/>
          <w:color w:val="auto"/>
        </w:rPr>
      </w:pPr>
    </w:p>
    <w:p>
      <w:pPr>
        <w:ind w:right="80"/>
        <w:spacing w:after="0" w:line="235" w:lineRule="auto"/>
        <w:rPr>
          <w:sz w:val="20"/>
          <w:szCs w:val="20"/>
          <w:color w:val="auto"/>
        </w:rPr>
      </w:pPr>
      <w:r>
        <w:rPr>
          <w:rFonts w:ascii="Times New Roman" w:cs="Times New Roman" w:eastAsia="Times New Roman" w:hAnsi="Times New Roman"/>
          <w:sz w:val="19"/>
          <w:szCs w:val="19"/>
          <w:color w:val="auto"/>
        </w:rPr>
        <w:t>The fair value of the common stock warrant liabilities is calculated utilizing a Black-Scholes option pricing model for the Series A warrants and a Monte Carlo simulation model for the Series C warrants. For the portion of the year ended December 31, 2025 that the Series B warrants were outstanding, the fair value of such warrants was calculated using a Monte Carlo simulation model. The Black-Scholes pricing model and the Monte Carlo simulation model assumptions include:</w:t>
      </w:r>
    </w:p>
    <w:p>
      <w:pPr>
        <w:spacing w:after="0" w:line="127" w:lineRule="exact"/>
        <w:rPr>
          <w:sz w:val="20"/>
          <w:szCs w:val="20"/>
          <w:color w:val="auto"/>
        </w:rPr>
      </w:pPr>
    </w:p>
    <w:p>
      <w:pPr>
        <w:ind w:left="920" w:hanging="458"/>
        <w:spacing w:after="0"/>
        <w:tabs>
          <w:tab w:leader="none" w:pos="920" w:val="left"/>
        </w:tabs>
        <w:numPr>
          <w:ilvl w:val="0"/>
          <w:numId w:val="71"/>
        </w:numPr>
        <w:rPr>
          <w:rFonts w:ascii="Arial" w:cs="Arial" w:eastAsia="Arial" w:hAnsi="Arial"/>
          <w:sz w:val="19"/>
          <w:szCs w:val="19"/>
          <w:color w:val="auto"/>
        </w:rPr>
      </w:pPr>
      <w:r>
        <w:rPr>
          <w:rFonts w:ascii="Times New Roman" w:cs="Times New Roman" w:eastAsia="Times New Roman" w:hAnsi="Times New Roman"/>
          <w:sz w:val="19"/>
          <w:szCs w:val="19"/>
          <w:color w:val="auto"/>
        </w:rPr>
        <w:t>the warrant exercise price;</w:t>
      </w:r>
    </w:p>
    <w:p>
      <w:pPr>
        <w:spacing w:after="0" w:line="124" w:lineRule="exact"/>
        <w:rPr>
          <w:rFonts w:ascii="Arial" w:cs="Arial" w:eastAsia="Arial" w:hAnsi="Arial"/>
          <w:sz w:val="19"/>
          <w:szCs w:val="19"/>
          <w:color w:val="auto"/>
        </w:rPr>
      </w:pPr>
    </w:p>
    <w:p>
      <w:pPr>
        <w:ind w:left="920" w:hanging="458"/>
        <w:spacing w:after="0"/>
        <w:tabs>
          <w:tab w:leader="none" w:pos="920" w:val="left"/>
        </w:tabs>
        <w:numPr>
          <w:ilvl w:val="0"/>
          <w:numId w:val="71"/>
        </w:numPr>
        <w:rPr>
          <w:rFonts w:ascii="Arial" w:cs="Arial" w:eastAsia="Arial" w:hAnsi="Arial"/>
          <w:sz w:val="19"/>
          <w:szCs w:val="19"/>
          <w:color w:val="auto"/>
        </w:rPr>
      </w:pPr>
      <w:r>
        <w:rPr>
          <w:rFonts w:ascii="Times New Roman" w:cs="Times New Roman" w:eastAsia="Times New Roman" w:hAnsi="Times New Roman"/>
          <w:sz w:val="19"/>
          <w:szCs w:val="19"/>
          <w:color w:val="auto"/>
        </w:rPr>
        <w:t>the expected term of the warrant, which is the remaining contractual term of the warrant;</w:t>
      </w:r>
    </w:p>
    <w:p>
      <w:pPr>
        <w:spacing w:after="0" w:line="124" w:lineRule="exact"/>
        <w:rPr>
          <w:rFonts w:ascii="Arial" w:cs="Arial" w:eastAsia="Arial" w:hAnsi="Arial"/>
          <w:sz w:val="19"/>
          <w:szCs w:val="19"/>
          <w:color w:val="auto"/>
        </w:rPr>
      </w:pPr>
    </w:p>
    <w:p>
      <w:pPr>
        <w:ind w:left="920" w:hanging="458"/>
        <w:spacing w:after="0"/>
        <w:tabs>
          <w:tab w:leader="none" w:pos="920" w:val="left"/>
        </w:tabs>
        <w:numPr>
          <w:ilvl w:val="0"/>
          <w:numId w:val="71"/>
        </w:numPr>
        <w:rPr>
          <w:rFonts w:ascii="Arial" w:cs="Arial" w:eastAsia="Arial" w:hAnsi="Arial"/>
          <w:sz w:val="19"/>
          <w:szCs w:val="19"/>
          <w:color w:val="auto"/>
        </w:rPr>
      </w:pPr>
      <w:r>
        <w:rPr>
          <w:rFonts w:ascii="Times New Roman" w:cs="Times New Roman" w:eastAsia="Times New Roman" w:hAnsi="Times New Roman"/>
          <w:sz w:val="19"/>
          <w:szCs w:val="19"/>
          <w:color w:val="auto"/>
        </w:rPr>
        <w:t>the current price of our common stock;</w:t>
      </w:r>
    </w:p>
    <w:p>
      <w:pPr>
        <w:spacing w:after="0" w:line="124" w:lineRule="exact"/>
        <w:rPr>
          <w:rFonts w:ascii="Arial" w:cs="Arial" w:eastAsia="Arial" w:hAnsi="Arial"/>
          <w:sz w:val="19"/>
          <w:szCs w:val="19"/>
          <w:color w:val="auto"/>
        </w:rPr>
      </w:pPr>
    </w:p>
    <w:p>
      <w:pPr>
        <w:ind w:left="920" w:hanging="458"/>
        <w:spacing w:after="0"/>
        <w:tabs>
          <w:tab w:leader="none" w:pos="920" w:val="left"/>
        </w:tabs>
        <w:numPr>
          <w:ilvl w:val="0"/>
          <w:numId w:val="71"/>
        </w:numPr>
        <w:rPr>
          <w:rFonts w:ascii="Arial" w:cs="Arial" w:eastAsia="Arial" w:hAnsi="Arial"/>
          <w:sz w:val="19"/>
          <w:szCs w:val="19"/>
          <w:color w:val="auto"/>
        </w:rPr>
      </w:pPr>
      <w:r>
        <w:rPr>
          <w:rFonts w:ascii="Times New Roman" w:cs="Times New Roman" w:eastAsia="Times New Roman" w:hAnsi="Times New Roman"/>
          <w:sz w:val="19"/>
          <w:szCs w:val="19"/>
          <w:color w:val="auto"/>
        </w:rPr>
        <w:t>the expected volatility, which is estimated based on our historical volatility;</w:t>
      </w:r>
    </w:p>
    <w:p>
      <w:pPr>
        <w:spacing w:after="0" w:line="137" w:lineRule="exact"/>
        <w:rPr>
          <w:rFonts w:ascii="Arial" w:cs="Arial" w:eastAsia="Arial" w:hAnsi="Arial"/>
          <w:sz w:val="19"/>
          <w:szCs w:val="19"/>
          <w:color w:val="auto"/>
        </w:rPr>
      </w:pPr>
    </w:p>
    <w:p>
      <w:pPr>
        <w:ind w:left="920" w:right="1100" w:hanging="458"/>
        <w:spacing w:after="0" w:line="232" w:lineRule="auto"/>
        <w:tabs>
          <w:tab w:leader="none" w:pos="920" w:val="left"/>
        </w:tabs>
        <w:numPr>
          <w:ilvl w:val="0"/>
          <w:numId w:val="71"/>
        </w:numPr>
        <w:rPr>
          <w:rFonts w:ascii="Arial" w:cs="Arial" w:eastAsia="Arial" w:hAnsi="Arial"/>
          <w:sz w:val="19"/>
          <w:szCs w:val="19"/>
          <w:color w:val="auto"/>
        </w:rPr>
      </w:pPr>
      <w:r>
        <w:rPr>
          <w:rFonts w:ascii="Times New Roman" w:cs="Times New Roman" w:eastAsia="Times New Roman" w:hAnsi="Times New Roman"/>
          <w:sz w:val="19"/>
          <w:szCs w:val="19"/>
          <w:color w:val="auto"/>
        </w:rPr>
        <w:t>the risk-free interest rate, which is estimated using the published U.S. Treasury rates with maturities that are commensurate with the expected term of the warrant, and;</w:t>
      </w:r>
    </w:p>
    <w:p>
      <w:pPr>
        <w:spacing w:after="0" w:line="138" w:lineRule="exact"/>
        <w:rPr>
          <w:rFonts w:ascii="Arial" w:cs="Arial" w:eastAsia="Arial" w:hAnsi="Arial"/>
          <w:sz w:val="19"/>
          <w:szCs w:val="19"/>
          <w:color w:val="auto"/>
        </w:rPr>
      </w:pPr>
    </w:p>
    <w:p>
      <w:pPr>
        <w:ind w:left="920" w:right="520" w:hanging="458"/>
        <w:spacing w:after="0" w:line="232" w:lineRule="auto"/>
        <w:tabs>
          <w:tab w:leader="none" w:pos="920" w:val="left"/>
        </w:tabs>
        <w:numPr>
          <w:ilvl w:val="0"/>
          <w:numId w:val="71"/>
        </w:numPr>
        <w:rPr>
          <w:rFonts w:ascii="Arial" w:cs="Arial" w:eastAsia="Arial" w:hAnsi="Arial"/>
          <w:sz w:val="19"/>
          <w:szCs w:val="19"/>
          <w:color w:val="auto"/>
        </w:rPr>
      </w:pPr>
      <w:r>
        <w:rPr>
          <w:rFonts w:ascii="Times New Roman" w:cs="Times New Roman" w:eastAsia="Times New Roman" w:hAnsi="Times New Roman"/>
          <w:sz w:val="19"/>
          <w:szCs w:val="19"/>
          <w:color w:val="auto"/>
        </w:rPr>
        <w:t>the expected dividend yield, which is zero as we do not have a history of paying dividends and have no plans to pay dividends in the future.</w:t>
      </w:r>
    </w:p>
    <w:p>
      <w:pPr>
        <w:spacing w:after="0" w:line="228" w:lineRule="exact"/>
        <w:rPr>
          <w:sz w:val="20"/>
          <w:szCs w:val="20"/>
          <w:color w:val="auto"/>
        </w:rPr>
      </w:pPr>
    </w:p>
    <w:p>
      <w:pPr>
        <w:ind w:right="160"/>
        <w:spacing w:after="0" w:line="232" w:lineRule="auto"/>
        <w:rPr>
          <w:sz w:val="20"/>
          <w:szCs w:val="20"/>
          <w:color w:val="auto"/>
        </w:rPr>
      </w:pPr>
      <w:r>
        <w:rPr>
          <w:rFonts w:ascii="Times New Roman" w:cs="Times New Roman" w:eastAsia="Times New Roman" w:hAnsi="Times New Roman"/>
          <w:sz w:val="19"/>
          <w:szCs w:val="19"/>
          <w:color w:val="auto"/>
        </w:rPr>
        <w:t>The Monte Carlo simulation assumptions also include the potential impacts of the warrant strike price reset features. Certain of these assumptions require judgment and estimation that could have a material impact on our financial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Emerging Growth Company and Smaller Reporting Company Status</w:t>
      </w:r>
    </w:p>
    <w:p>
      <w:pPr>
        <w:spacing w:after="0" w:line="23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As an emerging growth company, or EGC, under the Jumpstart Our Business Startups Act of 2012, or JOBS Act, we may delay the adoption of certain accounting standards until such time as those standards apply to private companies. Other exemptions and reduced reporting requirements under the JOBS Act for EGCs include presentation of only two years of audited financial statements in a registration statement for an IPO, an exemption from the requirement to provide an auditor’s report on internal controls over financial reporting pursuant to Section 404(b) of the Sarbanes-Oxley Act of 2002, an exemption from any requirement that may be adopted by the Public Company Accounting Oversight Board regarding mandatory audit firm rotation, and less extensive disclosure about our executive compensation arrangements.</w:t>
      </w:r>
    </w:p>
    <w:p>
      <w:pPr>
        <w:spacing w:after="0" w:line="2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In addition, the JOBS Act provides that an EGC can take advantage of an extended transition period for complying with new or revised accounting standards. This provision allows an EGC to delay the adoption of some accounting standards until those standards would otherwise apply to private companies. We have elected not to “opt out” of such extended transition period, which means that when a standard is issued or revised and it has different application dates for public or private companies, we can adopt the new or revised standard at the time private companies adopt the new or revised standard and may do so until such time that we either (1) irrevocably elect to “opt out” of such extended transition period or (2) no longer qualify as an emerging growth company. As a result, our financial statements may not be comparable to companies that comply with new or revised accounting pronouncements as of public company effective dates. We expect to remain classified as an EGC until December 31, 2026.</w:t>
      </w:r>
    </w:p>
    <w:p>
      <w:pPr>
        <w:spacing w:after="0" w:line="239"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9"/>
          <w:szCs w:val="19"/>
          <w:color w:val="auto"/>
        </w:rPr>
        <w:t>We are also a “smaller reporting company,” as defined in the Securities Exchange Act of 1934, as amended, or the Exchange Act. We may continue to be a smaller reporting company even after we are no longer an EGC, in which case we may continue to rely on exemptions from certain disclosure requirements that are available to smaller reporting companies.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7A. Quantitative and Qualitative Disclosures About Market Risk</w:t>
      </w:r>
    </w:p>
    <w:p>
      <w:pPr>
        <w:spacing w:after="0" w:line="23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9"/>
          <w:szCs w:val="19"/>
          <w:color w:val="auto"/>
        </w:rPr>
        <w:t>We are a smaller reporting company, as defined by Rule 12b-2 of the Securities Exchange Act of 1934, as amended, and are not required to provide the information required under this item.</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8. Financial Statements and Supplementary Data</w:t>
      </w:r>
    </w:p>
    <w:p>
      <w:pPr>
        <w:spacing w:after="0" w:line="23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9"/>
          <w:szCs w:val="19"/>
          <w:color w:val="auto"/>
        </w:rPr>
        <w:t>The financial statements required to be filed pursuant to this Item 8 are appended to this Annual Report on Form 10-K. An index of those financial statements is found in Item 15, Exhibits and Financial Statement Schedules, of this Annual Report on Form 10-K.</w:t>
      </w:r>
    </w:p>
    <w:p>
      <w:pPr>
        <w:sectPr>
          <w:pgSz w:w="12240" w:h="15840" w:orient="portrait"/>
          <w:cols w:equalWidth="0" w:num="1">
            <w:col w:w="10200"/>
          </w:cols>
          <w:pgMar w:left="1020" w:top="1347" w:right="1020" w:bottom="5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ectPr>
          <w:pgSz w:w="12240" w:h="15840" w:orient="portrait"/>
          <w:cols w:equalWidth="0" w:num="1">
            <w:col w:w="10200"/>
          </w:cols>
          <w:pgMar w:left="1020" w:top="1347" w:right="1020" w:bottom="556" w:gutter="0" w:footer="0" w:header="0"/>
          <w:type w:val="continuous"/>
        </w:sectPr>
      </w:pPr>
    </w:p>
    <w:bookmarkStart w:id="116" w:name="page117"/>
    <w:bookmarkEnd w:id="116"/>
    <w:p>
      <w:pPr>
        <w:spacing w:after="0"/>
        <w:rPr>
          <w:sz w:val="20"/>
          <w:szCs w:val="20"/>
          <w:color w:val="auto"/>
        </w:rPr>
      </w:pPr>
      <w:r>
        <w:rPr>
          <w:rFonts w:ascii="Times New Roman" w:cs="Times New Roman" w:eastAsia="Times New Roman" w:hAnsi="Times New Roman"/>
          <w:sz w:val="19"/>
          <w:szCs w:val="19"/>
          <w:b w:val="1"/>
          <w:bCs w:val="1"/>
          <w:color w:val="auto"/>
        </w:rPr>
        <w:t>Item 9. Changes in and Disagreements with Accountants on Accounting and Financial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9A. Controls and Procedures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Evaluation of Disclosure Controls and Procedures</w:t>
      </w:r>
    </w:p>
    <w:p>
      <w:pPr>
        <w:spacing w:after="0" w:line="26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We maintain “disclosure controls and procedures,” as defined in Rules 13a-15(e) and 15d-15(e) under the Exchange Act, that are designed to ensure that information required to be disclosed in the reports that we file or submit under the Exchange Act is (1) recorded, processed, summarized and reported, within the time periods specified in the Securities and Exchange Commission’s rules and forms and (2) accumulated and communicated to our management, including our principal executive officer and principal financial officer,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p>
    <w:p>
      <w:pPr>
        <w:spacing w:after="0" w:line="23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Our chief executive officer (our principal executive officer) and our chief financial and operating officer (our principal financial officer) evaluated the effectiveness of our disclosure controls and procedures as of December 31, 2025. Based upon such evaluation, our chief executive officer and chief financial and operating officer have concluded that, as of December 31, 2025, our disclosure controls and procedures were effective at the reasonable assurance level.</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Management’s Annual Report on Internal Control over Financial Reporting</w:t>
      </w:r>
    </w:p>
    <w:p>
      <w:pPr>
        <w:spacing w:after="0" w:line="26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Internal control over financial reporting refers to the process designed by, or under the supervision of, our principal executive officer and our principal financial officer, and effected by our Board of Directors, management and other personnel, to provide reasonable assurance regarding the reliability of financial reporting and the preparation of consolidated financial statements for external purposes in accordance with generally accepted accounting principles, and includes those policies and procedures that:</w:t>
      </w:r>
    </w:p>
    <w:p>
      <w:pPr>
        <w:spacing w:after="0" w:line="240" w:lineRule="exact"/>
        <w:rPr>
          <w:sz w:val="20"/>
          <w:szCs w:val="20"/>
          <w:color w:val="auto"/>
        </w:rPr>
      </w:pPr>
    </w:p>
    <w:p>
      <w:pPr>
        <w:ind w:left="920" w:hanging="458"/>
        <w:spacing w:after="0" w:line="232" w:lineRule="auto"/>
        <w:tabs>
          <w:tab w:leader="none" w:pos="920"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pertain to the maintenance of records that in reasonable detail accurately and fairly reflect the transactions and dispositions of our assets;</w:t>
      </w:r>
    </w:p>
    <w:p>
      <w:pPr>
        <w:spacing w:after="0" w:line="238" w:lineRule="exact"/>
        <w:rPr>
          <w:rFonts w:ascii="Times New Roman" w:cs="Times New Roman" w:eastAsia="Times New Roman" w:hAnsi="Times New Roman"/>
          <w:sz w:val="19"/>
          <w:szCs w:val="19"/>
          <w:color w:val="auto"/>
        </w:rPr>
      </w:pPr>
    </w:p>
    <w:p>
      <w:pPr>
        <w:jc w:val="both"/>
        <w:ind w:left="920" w:hanging="458"/>
        <w:spacing w:after="0" w:line="234" w:lineRule="auto"/>
        <w:tabs>
          <w:tab w:leader="none" w:pos="920"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provide reasonable assurance that transactions are recorded as necessary to permit preparation of consolidated financial statements in accordance with generally accepted accounting principles, and that our receipts and expenditures are being made only in accordance with authorizations of our management and directors; and</w:t>
      </w:r>
    </w:p>
    <w:p>
      <w:pPr>
        <w:spacing w:after="0" w:line="239" w:lineRule="exact"/>
        <w:rPr>
          <w:rFonts w:ascii="Times New Roman" w:cs="Times New Roman" w:eastAsia="Times New Roman" w:hAnsi="Times New Roman"/>
          <w:sz w:val="19"/>
          <w:szCs w:val="19"/>
          <w:color w:val="auto"/>
        </w:rPr>
      </w:pPr>
    </w:p>
    <w:p>
      <w:pPr>
        <w:ind w:left="920" w:hanging="458"/>
        <w:spacing w:after="0" w:line="232" w:lineRule="auto"/>
        <w:tabs>
          <w:tab w:leader="none" w:pos="920"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provide reasonable assurance regarding prevention or timely detection of unauthorized acquisition, use or disposition of our assets that could have a material effect on the consolidated financial statements.</w:t>
      </w:r>
    </w:p>
    <w:p>
      <w:pPr>
        <w:spacing w:after="0" w:line="23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Internal control over financial reporting cannot provide absolute assurance of achieving financial reporting objectives because of its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Also, projections of any evaluation of effectiveness of internal control over financial reporting to future periods are subject to the risk that controls may become inadequate because of changes in conditions, or that the degree of compliance with policies or procedures may deteriorate. 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24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Management is responsible for establishing and maintaining adequate internal control over our financial reporting, as such term is defined in Rules 13a-15(f) and 15d-15(f) under the Exchange Act. Under the supervision and with the participation of our management, including our principal executive officer and our principal financial officer, we conducted an evaluation of the effectiveness of our internal control over financial reporting. Management has used the framework set forth in the report entitled “Internal Control—Integrated Framework (2013)” published by the Committee of Sponsoring Organizations of the Treadway Commission (COSO) to evaluate the effectiveness of our internal control over financial reporting. Based on its evaluation, management has concluded that our internal control over financial reporting was effective as of December 31, 2025.</w:t>
      </w:r>
    </w:p>
    <w:p>
      <w:pPr>
        <w:spacing w:after="0" w:line="243"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9"/>
          <w:szCs w:val="19"/>
          <w:color w:val="auto"/>
        </w:rPr>
        <w:t>This Annual Report on Form 10-K does not include an attestation report of our independent registered public accounting firm due to a transition period established by rules of the SEC for “emerging growth companies.”</w:t>
      </w:r>
    </w:p>
    <w:p>
      <w:pPr>
        <w:sectPr>
          <w:pgSz w:w="12240" w:h="15840" w:orient="portrait"/>
          <w:cols w:equalWidth="0" w:num="1">
            <w:col w:w="10200"/>
          </w:cols>
          <w:pgMar w:left="1020" w:top="1335" w:right="1020" w:bottom="556" w:gutter="0" w:footer="0" w:header="0"/>
        </w:sect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ectPr>
          <w:pgSz w:w="12240" w:h="15840" w:orient="portrait"/>
          <w:cols w:equalWidth="0" w:num="1">
            <w:col w:w="10200"/>
          </w:cols>
          <w:pgMar w:left="1020" w:top="1335" w:right="1020" w:bottom="556" w:gutter="0" w:footer="0" w:header="0"/>
          <w:type w:val="continuous"/>
        </w:sectPr>
      </w:pPr>
    </w:p>
    <w:bookmarkStart w:id="117" w:name="page118"/>
    <w:bookmarkEnd w:id="117"/>
    <w:p>
      <w:pPr>
        <w:spacing w:after="0"/>
        <w:rPr>
          <w:sz w:val="20"/>
          <w:szCs w:val="20"/>
          <w:color w:val="auto"/>
        </w:rPr>
      </w:pPr>
      <w:r>
        <w:rPr>
          <w:rFonts w:ascii="Times New Roman" w:cs="Times New Roman" w:eastAsia="Times New Roman" w:hAnsi="Times New Roman"/>
          <w:sz w:val="19"/>
          <w:szCs w:val="19"/>
          <w:b w:val="1"/>
          <w:bCs w:val="1"/>
          <w:i w:val="1"/>
          <w:iCs w:val="1"/>
          <w:color w:val="auto"/>
        </w:rPr>
        <w:t>Changes in Internal Control over Financial Reporting</w:t>
      </w:r>
    </w:p>
    <w:p>
      <w:pPr>
        <w:spacing w:after="0" w:line="26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9"/>
          <w:szCs w:val="19"/>
          <w:color w:val="auto"/>
        </w:rPr>
        <w:t>There were no changes in our internal control over financial reporting (as defined in Rules 13a-15(f) and 15d-15(f) under the Exchange Act) that occurred during the period covered by this Annual Report on Form 10-K that materially affected, or are reasonably likely to materially affect, our internal control over financial reporting.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9B. Other Information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Director and Officer Trading Arrangements</w:t>
      </w:r>
    </w:p>
    <w:p>
      <w:pPr>
        <w:spacing w:after="0" w:line="26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A portion of the compensation of our directors and officers (as defined in Rule 16a-1(f) under the Exchange Act) is in the form of equity awards and, from time to time, directors and officers may engage in open-market transactions with respect to the securities acquired pursuant to such equity awards or other of our securities, including to satisfy tax withholding obligations when equity awards vest or are exercised, and for diversification or other personal reasons.</w:t>
      </w:r>
    </w:p>
    <w:p>
      <w:pPr>
        <w:spacing w:after="0" w:line="24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Transactions in our securities by directors and officers are required to be made in accordance with our insider trading policy, which requires that the transactions be in accordance with applicable U.S. federal securities laws that prohibit trading while in possession of material nonpublic information. Rule 10b5-1 under the Exchange Act provides an affirmative defense that enables directors and officers to prearrange transactions in our securities in a manner that could negate a claim of insider trading for transactions undertaken while in possession of material nonpublic information.</w:t>
      </w:r>
    </w:p>
    <w:p>
      <w:pPr>
        <w:spacing w:after="0" w:line="23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9"/>
          <w:szCs w:val="19"/>
          <w:color w:val="auto"/>
        </w:rPr>
        <w:t>None of our directors or officers adopted or terminated a Rule 10b5-1 trading arrangement or a non-Rule 10b5-1 trading arrangement (as such terms are defined in Items 408(a) and 408(c) of Regulation S-K, respectively) during the fourth quarter of 2025.</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9C. Disclosure Regarding Foreign Jurisdictions That Prevent Inspections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Not applicable.</w:t>
      </w:r>
    </w:p>
    <w:p>
      <w:pPr>
        <w:sectPr>
          <w:pgSz w:w="12240" w:h="15840" w:orient="portrait"/>
          <w:cols w:equalWidth="0" w:num="1">
            <w:col w:w="10200"/>
          </w:cols>
          <w:pgMar w:left="1020" w:top="1310" w:right="1020" w:bottom="5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ectPr>
          <w:pgSz w:w="12240" w:h="15840" w:orient="portrait"/>
          <w:cols w:equalWidth="0" w:num="1">
            <w:col w:w="10200"/>
          </w:cols>
          <w:pgMar w:left="1020" w:top="1310" w:right="1020" w:bottom="556" w:gutter="0" w:footer="0" w:header="0"/>
          <w:type w:val="continuous"/>
        </w:sectPr>
      </w:pPr>
    </w:p>
    <w:bookmarkStart w:id="118" w:name="page119"/>
    <w:bookmarkEnd w:id="118"/>
    <w:p>
      <w:pPr>
        <w:ind w:left="4700"/>
        <w:spacing w:after="0"/>
        <w:rPr>
          <w:sz w:val="20"/>
          <w:szCs w:val="20"/>
          <w:color w:val="auto"/>
        </w:rPr>
      </w:pPr>
      <w:r>
        <w:rPr>
          <w:rFonts w:ascii="Times New Roman" w:cs="Times New Roman" w:eastAsia="Times New Roman" w:hAnsi="Times New Roman"/>
          <w:sz w:val="19"/>
          <w:szCs w:val="19"/>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10. Directors, Executive Officers, and Corporate Governance</w:t>
      </w:r>
    </w:p>
    <w:p>
      <w:pPr>
        <w:spacing w:after="0" w:line="23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9"/>
          <w:szCs w:val="19"/>
          <w:color w:val="auto"/>
        </w:rPr>
        <w:t>Except to the extent provided below, the information required by this Item 10 will be included in our definitive proxy statement to be filed with the Securities and Exchange Commission, or the SEC, with respect to our 2026 Annual Meeting of Stockholders within 120 days of the end of the fiscal year to which this report relates, which information is incorporated herein by reference.</w:t>
      </w:r>
    </w:p>
    <w:p>
      <w:pPr>
        <w:spacing w:after="0" w:line="23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We post our Code of Business Conduct and Ethics, which applies to our directors, officers, and employees, including our principal executive officer, principal financial officer, principal accounting officer or controller, or persons performing similar functions, in the “Corporate Governance” sub-section of the “Investor Relations” section (ir.xiliotx.com) of our corporate website https://xiliotx.com/. We intend to disclose on our website any amendments to, or waivers from, the Code of Business Conduct and Ethics that are required to be disclosed pursuant to the disclosure requirements of Item 5.05 of Form 8-K. Our website is not incorporated by reference into this Annual Report on Form 10-K and you should not consider any information contained in or accessible from our website to be a part of this Annual Report on Form 10-K.</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11. Executive Compensation</w:t>
      </w:r>
    </w:p>
    <w:p>
      <w:pPr>
        <w:spacing w:after="0" w:line="124" w:lineRule="exact"/>
        <w:rPr>
          <w:sz w:val="20"/>
          <w:szCs w:val="20"/>
          <w:color w:val="auto"/>
        </w:rPr>
      </w:pPr>
    </w:p>
    <w:p>
      <w:pPr>
        <w:ind w:right="60"/>
        <w:spacing w:after="0" w:line="234" w:lineRule="auto"/>
        <w:rPr>
          <w:sz w:val="20"/>
          <w:szCs w:val="20"/>
          <w:color w:val="auto"/>
        </w:rPr>
      </w:pPr>
      <w:r>
        <w:rPr>
          <w:rFonts w:ascii="Times New Roman" w:cs="Times New Roman" w:eastAsia="Times New Roman" w:hAnsi="Times New Roman"/>
          <w:sz w:val="19"/>
          <w:szCs w:val="19"/>
          <w:color w:val="auto"/>
        </w:rPr>
        <w:t>The information required by this Item 11 will be included in the section captioned “Executive Compensation” in our definitive proxy statement for our 2026 Annual Meeting of Stockholders to be filed with the SEC within 120 days of the end of the fiscal year to which this Annual Report on Form 10-K relates, which information is incorporated herein by reference.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12. Security Ownership of Certain Beneficial Owners and Management and Related Stockholder Matters</w:t>
      </w:r>
    </w:p>
    <w:p>
      <w:pPr>
        <w:spacing w:after="0" w:line="23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The information required by this Item 12 will be included in the section captioned “Security Ownership of Certain Beneficial Owners and Management” in our definitive proxy statement for our 2026 Annual Meeting of Stockholders to be filed with the SEC within 120 days of the end of the fiscal year to which this Annual Report on Form 10-K relates, which information is incorporated herein by reference.</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13. Certain Relationships and Related Transactions, and Director Independence</w:t>
      </w:r>
    </w:p>
    <w:p>
      <w:pPr>
        <w:spacing w:after="0" w:line="23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The information required by this Item 13 will be included in the sections captioned “Related Person Transactions,” “Policies for Related Person Transactions” and “Director Independence” in our definitive proxy statement for our 2026 Annual Meeting of Stockholders to be filed with the SEC within 120 days of the end of the fiscal year to which this Annual Report on Form 10-K relates, which information is incorporated herein by reference.</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14. Principal Accountant Fees and Services</w:t>
      </w:r>
    </w:p>
    <w:p>
      <w:pPr>
        <w:spacing w:after="0" w:line="23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9"/>
          <w:szCs w:val="19"/>
          <w:color w:val="auto"/>
        </w:rPr>
        <w:t>The information required by this Item 14 will be included in the section captioned “Audit Fees and Services” our definitive proxy statement for our 2026 Annual Meeting of Stockholders to be filed with the SEC within 120 days of the end of the fiscal year to which this Annual Report on Form 10-K relates, which information is incorporated herein by reference.</w:t>
      </w:r>
    </w:p>
    <w:p>
      <w:pPr>
        <w:sectPr>
          <w:pgSz w:w="12240" w:h="15840" w:orient="portrait"/>
          <w:cols w:equalWidth="0" w:num="1">
            <w:col w:w="10200"/>
          </w:cols>
          <w:pgMar w:left="1020" w:top="1335" w:right="1020" w:bottom="5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ectPr>
          <w:pgSz w:w="12240" w:h="15840" w:orient="portrait"/>
          <w:cols w:equalWidth="0" w:num="1">
            <w:col w:w="10200"/>
          </w:cols>
          <w:pgMar w:left="1020" w:top="1335" w:right="1020" w:bottom="556" w:gutter="0" w:footer="0" w:header="0"/>
          <w:type w:val="continuous"/>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9"/>
          <w:szCs w:val="19"/>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15. Exhibits and Financial Statement Schedules</w:t>
      </w:r>
    </w:p>
    <w:p>
      <w:pPr>
        <w:spacing w:after="0" w:line="225" w:lineRule="exact"/>
        <w:rPr>
          <w:sz w:val="20"/>
          <w:szCs w:val="20"/>
          <w:color w:val="auto"/>
        </w:rPr>
      </w:pPr>
    </w:p>
    <w:p>
      <w:pPr>
        <w:ind w:left="460" w:hanging="460"/>
        <w:spacing w:after="0"/>
        <w:tabs>
          <w:tab w:leader="none" w:pos="460"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Financial Statements</w:t>
      </w:r>
    </w:p>
    <w:p>
      <w:pPr>
        <w:spacing w:after="0" w:line="238"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9"/>
          <w:szCs w:val="19"/>
          <w:color w:val="auto"/>
        </w:rPr>
        <w:t>The following documents are included on pages set forth in Part II, Item 8 of this Annual Report on Form 10-K and are filed as part of this Annual Report on Form 10-K.</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Index to Consolidated Financial Statements</w:t>
      </w:r>
    </w:p>
    <w:p>
      <w:pPr>
        <w:spacing w:after="0" w:line="329" w:lineRule="exact"/>
        <w:rPr>
          <w:sz w:val="20"/>
          <w:szCs w:val="20"/>
          <w:color w:val="auto"/>
        </w:rPr>
      </w:pPr>
    </w:p>
    <w:tbl>
      <w:tblPr>
        <w:tblLayout w:type="fixed"/>
        <w:tblInd w:w="100" w:type="dxa"/>
        <w:tblCellMar>
          <w:top w:w="0" w:type="dxa"/>
          <w:left w:w="0" w:type="dxa"/>
          <w:bottom w:w="0" w:type="dxa"/>
          <w:right w:w="0" w:type="dxa"/>
        </w:tblCellMar>
      </w:tblPr>
      <w:tr>
        <w:trPr>
          <w:trHeight w:val="218"/>
        </w:trPr>
        <w:tc>
          <w:tcPr>
            <w:tcW w:w="7720" w:type="dxa"/>
            <w:vAlign w:val="bottom"/>
          </w:tcPr>
          <w:p>
            <w:pPr>
              <w:spacing w:after="0"/>
              <w:rPr>
                <w:sz w:val="20"/>
                <w:szCs w:val="20"/>
                <w:color w:val="auto"/>
              </w:rPr>
            </w:pPr>
            <w:r>
              <w:rPr>
                <w:rFonts w:ascii="Times New Roman" w:cs="Times New Roman" w:eastAsia="Times New Roman" w:hAnsi="Times New Roman"/>
                <w:sz w:val="19"/>
                <w:szCs w:val="19"/>
                <w:color w:val="auto"/>
              </w:rPr>
              <w:t>Report of Independent Registered Public Accounting Firm (PCAOB ID 42)</w:t>
            </w:r>
          </w:p>
        </w:tc>
        <w:tc>
          <w:tcPr>
            <w:tcW w:w="2280" w:type="dxa"/>
            <w:vAlign w:val="bottom"/>
          </w:tcPr>
          <w:p>
            <w:pPr>
              <w:ind w:left="2020"/>
              <w:spacing w:after="0"/>
              <w:rPr>
                <w:sz w:val="20"/>
                <w:szCs w:val="20"/>
                <w:color w:val="auto"/>
              </w:rPr>
            </w:pPr>
            <w:r>
              <w:rPr>
                <w:rFonts w:ascii="Times New Roman" w:cs="Times New Roman" w:eastAsia="Times New Roman" w:hAnsi="Times New Roman"/>
                <w:sz w:val="19"/>
                <w:szCs w:val="19"/>
                <w:color w:val="auto"/>
                <w:w w:val="90"/>
              </w:rPr>
              <w:t>F-2</w:t>
            </w:r>
          </w:p>
        </w:tc>
      </w:tr>
      <w:tr>
        <w:trPr>
          <w:trHeight w:val="272"/>
        </w:trPr>
        <w:tc>
          <w:tcPr>
            <w:tcW w:w="7720" w:type="dxa"/>
            <w:vAlign w:val="bottom"/>
          </w:tcPr>
          <w:p>
            <w:pPr>
              <w:spacing w:after="0"/>
              <w:rPr>
                <w:sz w:val="20"/>
                <w:szCs w:val="20"/>
                <w:color w:val="auto"/>
              </w:rPr>
            </w:pPr>
            <w:r>
              <w:rPr>
                <w:rFonts w:ascii="Times New Roman" w:cs="Times New Roman" w:eastAsia="Times New Roman" w:hAnsi="Times New Roman"/>
                <w:sz w:val="19"/>
                <w:szCs w:val="19"/>
                <w:color w:val="auto"/>
              </w:rPr>
              <w:t>Consolidated Balance Sheets</w:t>
            </w:r>
          </w:p>
        </w:tc>
        <w:tc>
          <w:tcPr>
            <w:tcW w:w="2280" w:type="dxa"/>
            <w:vAlign w:val="bottom"/>
          </w:tcPr>
          <w:p>
            <w:pPr>
              <w:ind w:left="2020"/>
              <w:spacing w:after="0"/>
              <w:rPr>
                <w:sz w:val="20"/>
                <w:szCs w:val="20"/>
                <w:color w:val="auto"/>
              </w:rPr>
            </w:pPr>
            <w:r>
              <w:rPr>
                <w:rFonts w:ascii="Times New Roman" w:cs="Times New Roman" w:eastAsia="Times New Roman" w:hAnsi="Times New Roman"/>
                <w:sz w:val="19"/>
                <w:szCs w:val="19"/>
                <w:color w:val="auto"/>
                <w:w w:val="90"/>
              </w:rPr>
              <w:t>F-3</w:t>
            </w:r>
          </w:p>
        </w:tc>
      </w:tr>
      <w:tr>
        <w:trPr>
          <w:trHeight w:val="272"/>
        </w:trPr>
        <w:tc>
          <w:tcPr>
            <w:tcW w:w="7720" w:type="dxa"/>
            <w:vAlign w:val="bottom"/>
          </w:tcPr>
          <w:p>
            <w:pPr>
              <w:spacing w:after="0"/>
              <w:rPr>
                <w:sz w:val="20"/>
                <w:szCs w:val="20"/>
                <w:color w:val="auto"/>
              </w:rPr>
            </w:pPr>
            <w:r>
              <w:rPr>
                <w:rFonts w:ascii="Times New Roman" w:cs="Times New Roman" w:eastAsia="Times New Roman" w:hAnsi="Times New Roman"/>
                <w:sz w:val="19"/>
                <w:szCs w:val="19"/>
                <w:color w:val="auto"/>
              </w:rPr>
              <w:t>Consolidated Statements of Operations and Comprehensive Loss</w:t>
            </w:r>
          </w:p>
        </w:tc>
        <w:tc>
          <w:tcPr>
            <w:tcW w:w="2280" w:type="dxa"/>
            <w:vAlign w:val="bottom"/>
          </w:tcPr>
          <w:p>
            <w:pPr>
              <w:ind w:left="2020"/>
              <w:spacing w:after="0"/>
              <w:rPr>
                <w:sz w:val="20"/>
                <w:szCs w:val="20"/>
                <w:color w:val="auto"/>
              </w:rPr>
            </w:pPr>
            <w:r>
              <w:rPr>
                <w:rFonts w:ascii="Times New Roman" w:cs="Times New Roman" w:eastAsia="Times New Roman" w:hAnsi="Times New Roman"/>
                <w:sz w:val="19"/>
                <w:szCs w:val="19"/>
                <w:color w:val="auto"/>
                <w:w w:val="90"/>
              </w:rPr>
              <w:t>F-4</w:t>
            </w:r>
          </w:p>
        </w:tc>
      </w:tr>
      <w:tr>
        <w:trPr>
          <w:trHeight w:val="272"/>
        </w:trPr>
        <w:tc>
          <w:tcPr>
            <w:tcW w:w="7720" w:type="dxa"/>
            <w:vAlign w:val="bottom"/>
          </w:tcPr>
          <w:p>
            <w:pPr>
              <w:spacing w:after="0"/>
              <w:rPr>
                <w:sz w:val="20"/>
                <w:szCs w:val="20"/>
                <w:color w:val="auto"/>
              </w:rPr>
            </w:pPr>
            <w:r>
              <w:rPr>
                <w:rFonts w:ascii="Times New Roman" w:cs="Times New Roman" w:eastAsia="Times New Roman" w:hAnsi="Times New Roman"/>
                <w:sz w:val="19"/>
                <w:szCs w:val="19"/>
                <w:color w:val="auto"/>
              </w:rPr>
              <w:t>Consolidated Statements of Stockholders’ Equity</w:t>
            </w:r>
          </w:p>
        </w:tc>
        <w:tc>
          <w:tcPr>
            <w:tcW w:w="2280" w:type="dxa"/>
            <w:vAlign w:val="bottom"/>
          </w:tcPr>
          <w:p>
            <w:pPr>
              <w:ind w:left="2020"/>
              <w:spacing w:after="0"/>
              <w:rPr>
                <w:sz w:val="20"/>
                <w:szCs w:val="20"/>
                <w:color w:val="auto"/>
              </w:rPr>
            </w:pPr>
            <w:r>
              <w:rPr>
                <w:rFonts w:ascii="Times New Roman" w:cs="Times New Roman" w:eastAsia="Times New Roman" w:hAnsi="Times New Roman"/>
                <w:sz w:val="19"/>
                <w:szCs w:val="19"/>
                <w:color w:val="auto"/>
                <w:w w:val="90"/>
              </w:rPr>
              <w:t>F-5</w:t>
            </w:r>
          </w:p>
        </w:tc>
      </w:tr>
      <w:tr>
        <w:trPr>
          <w:trHeight w:val="272"/>
        </w:trPr>
        <w:tc>
          <w:tcPr>
            <w:tcW w:w="7720" w:type="dxa"/>
            <w:vAlign w:val="bottom"/>
          </w:tcPr>
          <w:p>
            <w:pPr>
              <w:spacing w:after="0"/>
              <w:rPr>
                <w:sz w:val="20"/>
                <w:szCs w:val="20"/>
                <w:color w:val="auto"/>
              </w:rPr>
            </w:pPr>
            <w:r>
              <w:rPr>
                <w:rFonts w:ascii="Times New Roman" w:cs="Times New Roman" w:eastAsia="Times New Roman" w:hAnsi="Times New Roman"/>
                <w:sz w:val="19"/>
                <w:szCs w:val="19"/>
                <w:color w:val="auto"/>
              </w:rPr>
              <w:t>Consolidated Statements of Cash Flows</w:t>
            </w:r>
          </w:p>
        </w:tc>
        <w:tc>
          <w:tcPr>
            <w:tcW w:w="2280" w:type="dxa"/>
            <w:vAlign w:val="bottom"/>
          </w:tcPr>
          <w:p>
            <w:pPr>
              <w:ind w:left="2020"/>
              <w:spacing w:after="0"/>
              <w:rPr>
                <w:sz w:val="20"/>
                <w:szCs w:val="20"/>
                <w:color w:val="auto"/>
              </w:rPr>
            </w:pPr>
            <w:r>
              <w:rPr>
                <w:rFonts w:ascii="Times New Roman" w:cs="Times New Roman" w:eastAsia="Times New Roman" w:hAnsi="Times New Roman"/>
                <w:sz w:val="19"/>
                <w:szCs w:val="19"/>
                <w:color w:val="auto"/>
                <w:w w:val="90"/>
              </w:rPr>
              <w:t>F-6</w:t>
            </w:r>
          </w:p>
        </w:tc>
      </w:tr>
      <w:tr>
        <w:trPr>
          <w:trHeight w:val="272"/>
        </w:trPr>
        <w:tc>
          <w:tcPr>
            <w:tcW w:w="7720" w:type="dxa"/>
            <w:vAlign w:val="bottom"/>
          </w:tcPr>
          <w:p>
            <w:pPr>
              <w:spacing w:after="0"/>
              <w:rPr>
                <w:sz w:val="20"/>
                <w:szCs w:val="20"/>
                <w:color w:val="auto"/>
              </w:rPr>
            </w:pPr>
            <w:r>
              <w:rPr>
                <w:rFonts w:ascii="Times New Roman" w:cs="Times New Roman" w:eastAsia="Times New Roman" w:hAnsi="Times New Roman"/>
                <w:sz w:val="19"/>
                <w:szCs w:val="19"/>
                <w:color w:val="auto"/>
              </w:rPr>
              <w:t>Notes to Consolidated Financial Statements</w:t>
            </w:r>
          </w:p>
        </w:tc>
        <w:tc>
          <w:tcPr>
            <w:tcW w:w="2280" w:type="dxa"/>
            <w:vAlign w:val="bottom"/>
          </w:tcPr>
          <w:p>
            <w:pPr>
              <w:ind w:left="2020"/>
              <w:spacing w:after="0"/>
              <w:rPr>
                <w:sz w:val="20"/>
                <w:szCs w:val="20"/>
                <w:color w:val="auto"/>
              </w:rPr>
            </w:pPr>
            <w:r>
              <w:rPr>
                <w:rFonts w:ascii="Times New Roman" w:cs="Times New Roman" w:eastAsia="Times New Roman" w:hAnsi="Times New Roman"/>
                <w:sz w:val="19"/>
                <w:szCs w:val="19"/>
                <w:color w:val="auto"/>
                <w:w w:val="90"/>
              </w:rPr>
              <w:t>F-7</w:t>
            </w:r>
          </w:p>
        </w:tc>
      </w:tr>
    </w:tbl>
    <w:p>
      <w:pPr>
        <w:spacing w:after="0" w:line="200" w:lineRule="exact"/>
        <w:rPr>
          <w:sz w:val="20"/>
          <w:szCs w:val="20"/>
          <w:color w:val="auto"/>
        </w:rPr>
      </w:pPr>
    </w:p>
    <w:p>
      <w:pPr>
        <w:spacing w:after="0" w:line="297" w:lineRule="exact"/>
        <w:rPr>
          <w:sz w:val="20"/>
          <w:szCs w:val="20"/>
          <w:color w:val="auto"/>
        </w:rPr>
      </w:pPr>
    </w:p>
    <w:p>
      <w:pPr>
        <w:ind w:left="460" w:hanging="460"/>
        <w:spacing w:after="0"/>
        <w:tabs>
          <w:tab w:leader="none" w:pos="460"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Financial Statement Schedules</w:t>
      </w:r>
    </w:p>
    <w:p>
      <w:pPr>
        <w:spacing w:after="0" w:line="238"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9"/>
          <w:szCs w:val="19"/>
          <w:color w:val="auto"/>
        </w:rPr>
        <w:t>All financial statement schedules have been omitted because they are not applicable, not required or the information required is shown in the financial statements or the notes thereto.</w:t>
      </w:r>
    </w:p>
    <w:p>
      <w:pPr>
        <w:spacing w:after="0" w:line="227" w:lineRule="exact"/>
        <w:rPr>
          <w:sz w:val="20"/>
          <w:szCs w:val="20"/>
          <w:color w:val="auto"/>
        </w:rPr>
      </w:pPr>
    </w:p>
    <w:p>
      <w:pPr>
        <w:ind w:left="460" w:hanging="460"/>
        <w:spacing w:after="0"/>
        <w:tabs>
          <w:tab w:leader="none" w:pos="460"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is a list of exhibits filed as part of this Annual Report on Form 10-K.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EXHIBIT INDEX</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5"/>
                <w:szCs w:val="15"/>
                <w:b w:val="1"/>
                <w:bCs w:val="1"/>
                <w:color w:val="auto"/>
              </w:rPr>
              <w:t>Incorporated by Reference</w:t>
            </w: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63"/>
        </w:trPr>
        <w:tc>
          <w:tcPr>
            <w:tcW w:w="720" w:type="dxa"/>
            <w:vAlign w:val="bottom"/>
          </w:tcPr>
          <w:p>
            <w:pPr>
              <w:ind w:left="120"/>
              <w:spacing w:after="0" w:line="163" w:lineRule="exact"/>
              <w:rPr>
                <w:sz w:val="20"/>
                <w:szCs w:val="20"/>
                <w:color w:val="auto"/>
              </w:rPr>
            </w:pPr>
            <w:r>
              <w:rPr>
                <w:rFonts w:ascii="Times New Roman" w:cs="Times New Roman" w:eastAsia="Times New Roman" w:hAnsi="Times New Roman"/>
                <w:sz w:val="15"/>
                <w:szCs w:val="15"/>
                <w:b w:val="1"/>
                <w:bCs w:val="1"/>
                <w:color w:val="auto"/>
              </w:rPr>
              <w:t>Exhibit</w:t>
            </w:r>
          </w:p>
        </w:tc>
        <w:tc>
          <w:tcPr>
            <w:tcW w:w="10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spacing w:after="0" w:line="163" w:lineRule="exact"/>
              <w:rPr>
                <w:sz w:val="20"/>
                <w:szCs w:val="20"/>
                <w:color w:val="auto"/>
              </w:rPr>
            </w:pPr>
            <w:r>
              <w:rPr>
                <w:rFonts w:ascii="Times New Roman" w:cs="Times New Roman" w:eastAsia="Times New Roman" w:hAnsi="Times New Roman"/>
                <w:sz w:val="15"/>
                <w:szCs w:val="15"/>
                <w:b w:val="1"/>
                <w:bCs w:val="1"/>
                <w:color w:val="auto"/>
              </w:rPr>
              <w:t>Exhibit</w:t>
            </w: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4"/>
        </w:trPr>
        <w:tc>
          <w:tcPr>
            <w:tcW w:w="7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b w:val="1"/>
                <w:bCs w:val="1"/>
                <w:color w:val="auto"/>
              </w:rPr>
              <w:t>Number</w:t>
            </w:r>
          </w:p>
        </w:tc>
        <w:tc>
          <w:tcPr>
            <w:tcW w:w="100" w:type="dxa"/>
            <w:vAlign w:val="bottom"/>
          </w:tcPr>
          <w:p>
            <w:pPr>
              <w:spacing w:after="0"/>
              <w:rPr>
                <w:sz w:val="15"/>
                <w:szCs w:val="15"/>
                <w:color w:val="auto"/>
              </w:rPr>
            </w:pPr>
          </w:p>
        </w:tc>
        <w:tc>
          <w:tcPr>
            <w:tcW w:w="480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5"/>
                <w:szCs w:val="15"/>
                <w:b w:val="1"/>
                <w:bCs w:val="1"/>
                <w:color w:val="auto"/>
              </w:rPr>
              <w:t>Description of Exhibit</w:t>
            </w:r>
          </w:p>
        </w:tc>
        <w:tc>
          <w:tcPr>
            <w:tcW w:w="100" w:type="dxa"/>
            <w:vAlign w:val="bottom"/>
          </w:tcPr>
          <w:p>
            <w:pPr>
              <w:spacing w:after="0"/>
              <w:rPr>
                <w:sz w:val="15"/>
                <w:szCs w:val="15"/>
                <w:color w:val="auto"/>
              </w:rPr>
            </w:pPr>
          </w:p>
        </w:tc>
        <w:tc>
          <w:tcPr>
            <w:tcW w:w="580" w:type="dxa"/>
            <w:vAlign w:val="bottom"/>
            <w:tcBorders>
              <w:bottom w:val="single" w:sz="8" w:color="auto"/>
            </w:tcBorders>
          </w:tcPr>
          <w:p>
            <w:pPr>
              <w:jc w:val="center"/>
              <w:ind w:left="127"/>
              <w:spacing w:after="0"/>
              <w:rPr>
                <w:sz w:val="20"/>
                <w:szCs w:val="20"/>
                <w:color w:val="auto"/>
              </w:rPr>
            </w:pPr>
            <w:r>
              <w:rPr>
                <w:rFonts w:ascii="Times New Roman" w:cs="Times New Roman" w:eastAsia="Times New Roman" w:hAnsi="Times New Roman"/>
                <w:sz w:val="15"/>
                <w:szCs w:val="15"/>
                <w:b w:val="1"/>
                <w:bCs w:val="1"/>
                <w:color w:val="auto"/>
              </w:rPr>
              <w:t>Form</w:t>
            </w:r>
          </w:p>
        </w:tc>
        <w:tc>
          <w:tcPr>
            <w:tcW w:w="2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5"/>
                <w:szCs w:val="15"/>
                <w:b w:val="1"/>
                <w:bCs w:val="1"/>
                <w:color w:val="auto"/>
              </w:rPr>
              <w:t>File No.</w:t>
            </w:r>
          </w:p>
        </w:tc>
        <w:tc>
          <w:tcPr>
            <w:tcW w:w="10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Number</w:t>
            </w:r>
          </w:p>
        </w:tc>
        <w:tc>
          <w:tcPr>
            <w:tcW w:w="120" w:type="dxa"/>
            <w:vAlign w:val="bottom"/>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Filing Date</w:t>
            </w:r>
          </w:p>
        </w:tc>
      </w:tr>
      <w:tr>
        <w:trPr>
          <w:trHeight w:val="206"/>
        </w:trPr>
        <w:tc>
          <w:tcPr>
            <w:tcW w:w="720" w:type="dxa"/>
            <w:vAlign w:val="bottom"/>
          </w:tcPr>
          <w:p>
            <w:pPr>
              <w:spacing w:after="0" w:line="206" w:lineRule="exact"/>
              <w:rPr>
                <w:sz w:val="20"/>
                <w:szCs w:val="20"/>
                <w:color w:val="auto"/>
              </w:rPr>
            </w:pPr>
            <w:r>
              <w:rPr>
                <w:rFonts w:ascii="Times New Roman" w:cs="Times New Roman" w:eastAsia="Times New Roman" w:hAnsi="Times New Roman"/>
                <w:sz w:val="19"/>
                <w:szCs w:val="19"/>
                <w:color w:val="auto"/>
              </w:rPr>
              <w:t>3.1</w:t>
            </w:r>
          </w:p>
        </w:tc>
        <w:tc>
          <w:tcPr>
            <w:tcW w:w="100" w:type="dxa"/>
            <w:vAlign w:val="bottom"/>
          </w:tcPr>
          <w:p>
            <w:pPr>
              <w:spacing w:after="0"/>
              <w:rPr>
                <w:sz w:val="17"/>
                <w:szCs w:val="17"/>
                <w:color w:val="auto"/>
              </w:rPr>
            </w:pPr>
          </w:p>
        </w:tc>
        <w:tc>
          <w:tcPr>
            <w:tcW w:w="4900" w:type="dxa"/>
            <w:vAlign w:val="bottom"/>
            <w:gridSpan w:val="2"/>
          </w:tcPr>
          <w:p>
            <w:pPr>
              <w:spacing w:after="0" w:line="206" w:lineRule="exact"/>
              <w:rPr>
                <w:sz w:val="20"/>
                <w:szCs w:val="20"/>
                <w:color w:val="auto"/>
              </w:rPr>
            </w:pPr>
            <w:r>
              <w:rPr>
                <w:rFonts w:ascii="Times New Roman" w:cs="Times New Roman" w:eastAsia="Times New Roman" w:hAnsi="Times New Roman"/>
                <w:sz w:val="19"/>
                <w:szCs w:val="19"/>
                <w:color w:val="auto"/>
              </w:rPr>
              <w:t>Restated Certificate of Incorporation of the Registrant, as</w:t>
            </w: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60" w:type="dxa"/>
            <w:vAlign w:val="bottom"/>
            <w:gridSpan w:val="2"/>
          </w:tcPr>
          <w:p>
            <w:pPr>
              <w:jc w:val="center"/>
              <w:ind w:left="6"/>
              <w:spacing w:after="0" w:line="206" w:lineRule="exact"/>
              <w:rPr>
                <w:sz w:val="20"/>
                <w:szCs w:val="20"/>
                <w:color w:val="auto"/>
              </w:rPr>
            </w:pPr>
            <w:r>
              <w:rPr>
                <w:rFonts w:ascii="Times New Roman" w:cs="Times New Roman" w:eastAsia="Times New Roman" w:hAnsi="Times New Roman"/>
                <w:sz w:val="19"/>
                <w:szCs w:val="19"/>
                <w:color w:val="auto"/>
              </w:rPr>
              <w:t>*</w:t>
            </w:r>
          </w:p>
        </w:tc>
      </w:tr>
      <w:tr>
        <w:trPr>
          <w:trHeight w:val="217"/>
        </w:trPr>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gridSpan w:val="2"/>
          </w:tcPr>
          <w:p>
            <w:pPr>
              <w:spacing w:after="0" w:line="217" w:lineRule="exact"/>
              <w:rPr>
                <w:sz w:val="20"/>
                <w:szCs w:val="20"/>
                <w:color w:val="auto"/>
              </w:rPr>
            </w:pPr>
            <w:r>
              <w:rPr>
                <w:rFonts w:ascii="Times New Roman" w:cs="Times New Roman" w:eastAsia="Times New Roman" w:hAnsi="Times New Roman"/>
                <w:sz w:val="19"/>
                <w:szCs w:val="19"/>
                <w:color w:val="auto"/>
              </w:rPr>
              <w:t>amended</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7"/>
        </w:trPr>
        <w:tc>
          <w:tcPr>
            <w:tcW w:w="720" w:type="dxa"/>
            <w:vAlign w:val="bottom"/>
          </w:tcPr>
          <w:p>
            <w:pPr>
              <w:spacing w:after="0" w:line="217" w:lineRule="exact"/>
              <w:rPr>
                <w:sz w:val="20"/>
                <w:szCs w:val="20"/>
                <w:color w:val="auto"/>
              </w:rPr>
            </w:pPr>
            <w:r>
              <w:rPr>
                <w:rFonts w:ascii="Times New Roman" w:cs="Times New Roman" w:eastAsia="Times New Roman" w:hAnsi="Times New Roman"/>
                <w:sz w:val="19"/>
                <w:szCs w:val="19"/>
                <w:color w:val="auto"/>
              </w:rPr>
              <w:t>3.2</w:t>
            </w:r>
          </w:p>
        </w:tc>
        <w:tc>
          <w:tcPr>
            <w:tcW w:w="100" w:type="dxa"/>
            <w:vAlign w:val="bottom"/>
          </w:tcPr>
          <w:p>
            <w:pPr>
              <w:spacing w:after="0"/>
              <w:rPr>
                <w:sz w:val="18"/>
                <w:szCs w:val="18"/>
                <w:color w:val="auto"/>
              </w:rPr>
            </w:pPr>
          </w:p>
        </w:tc>
        <w:tc>
          <w:tcPr>
            <w:tcW w:w="4900" w:type="dxa"/>
            <w:vAlign w:val="bottom"/>
            <w:gridSpan w:val="2"/>
          </w:tcPr>
          <w:p>
            <w:pPr>
              <w:spacing w:after="0" w:line="217" w:lineRule="exact"/>
              <w:rPr>
                <w:sz w:val="20"/>
                <w:szCs w:val="20"/>
                <w:color w:val="auto"/>
              </w:rPr>
            </w:pPr>
            <w:r>
              <w:rPr>
                <w:rFonts w:ascii="Times New Roman" w:cs="Times New Roman" w:eastAsia="Times New Roman" w:hAnsi="Times New Roman"/>
                <w:sz w:val="19"/>
                <w:szCs w:val="19"/>
                <w:color w:val="auto"/>
              </w:rPr>
              <w:t>Second Amended and Restated Bylaws of the Registrant</w:t>
            </w:r>
          </w:p>
        </w:tc>
        <w:tc>
          <w:tcPr>
            <w:tcW w:w="580" w:type="dxa"/>
            <w:vAlign w:val="bottom"/>
          </w:tcPr>
          <w:p>
            <w:pPr>
              <w:jc w:val="center"/>
              <w:ind w:left="107"/>
              <w:spacing w:after="0" w:line="217" w:lineRule="exact"/>
              <w:rPr>
                <w:sz w:val="20"/>
                <w:szCs w:val="20"/>
                <w:color w:val="auto"/>
              </w:rPr>
            </w:pPr>
            <w:r>
              <w:rPr>
                <w:rFonts w:ascii="Times New Roman" w:cs="Times New Roman" w:eastAsia="Times New Roman" w:hAnsi="Times New Roman"/>
                <w:sz w:val="19"/>
                <w:szCs w:val="19"/>
                <w:color w:val="auto"/>
              </w:rPr>
              <w:t>8-K</w:t>
            </w:r>
          </w:p>
        </w:tc>
        <w:tc>
          <w:tcPr>
            <w:tcW w:w="1240" w:type="dxa"/>
            <w:vAlign w:val="bottom"/>
            <w:gridSpan w:val="3"/>
          </w:tcPr>
          <w:p>
            <w:pPr>
              <w:jc w:val="center"/>
              <w:ind w:left="227"/>
              <w:spacing w:after="0" w:line="217" w:lineRule="exact"/>
              <w:rPr>
                <w:sz w:val="20"/>
                <w:szCs w:val="20"/>
                <w:color w:val="auto"/>
              </w:rPr>
            </w:pPr>
            <w:r>
              <w:rPr>
                <w:rFonts w:ascii="Times New Roman" w:cs="Times New Roman" w:eastAsia="Times New Roman" w:hAnsi="Times New Roman"/>
                <w:sz w:val="19"/>
                <w:szCs w:val="19"/>
                <w:color w:val="auto"/>
                <w:w w:val="97"/>
              </w:rPr>
              <w:t>001-40925</w:t>
            </w:r>
          </w:p>
        </w:tc>
        <w:tc>
          <w:tcPr>
            <w:tcW w:w="1100" w:type="dxa"/>
            <w:vAlign w:val="bottom"/>
            <w:gridSpan w:val="2"/>
          </w:tcPr>
          <w:p>
            <w:pPr>
              <w:jc w:val="center"/>
              <w:ind w:left="6"/>
              <w:spacing w:after="0" w:line="217" w:lineRule="exact"/>
              <w:rPr>
                <w:sz w:val="20"/>
                <w:szCs w:val="20"/>
                <w:color w:val="auto"/>
              </w:rPr>
            </w:pPr>
            <w:r>
              <w:rPr>
                <w:rFonts w:ascii="Times New Roman" w:cs="Times New Roman" w:eastAsia="Times New Roman" w:hAnsi="Times New Roman"/>
                <w:sz w:val="19"/>
                <w:szCs w:val="19"/>
                <w:color w:val="auto"/>
              </w:rPr>
              <w:t>3.1</w:t>
            </w:r>
          </w:p>
        </w:tc>
        <w:tc>
          <w:tcPr>
            <w:tcW w:w="120" w:type="dxa"/>
            <w:vAlign w:val="bottom"/>
          </w:tcPr>
          <w:p>
            <w:pPr>
              <w:spacing w:after="0"/>
              <w:rPr>
                <w:sz w:val="18"/>
                <w:szCs w:val="18"/>
                <w:color w:val="auto"/>
              </w:rPr>
            </w:pPr>
          </w:p>
        </w:tc>
        <w:tc>
          <w:tcPr>
            <w:tcW w:w="1440" w:type="dxa"/>
            <w:vAlign w:val="bottom"/>
          </w:tcPr>
          <w:p>
            <w:pPr>
              <w:jc w:val="center"/>
              <w:spacing w:after="0" w:line="217" w:lineRule="exact"/>
              <w:rPr>
                <w:sz w:val="20"/>
                <w:szCs w:val="20"/>
                <w:color w:val="auto"/>
              </w:rPr>
            </w:pPr>
            <w:r>
              <w:rPr>
                <w:rFonts w:ascii="Times New Roman" w:cs="Times New Roman" w:eastAsia="Times New Roman" w:hAnsi="Times New Roman"/>
                <w:sz w:val="19"/>
                <w:szCs w:val="19"/>
                <w:color w:val="auto"/>
              </w:rPr>
              <w:t>April 3, 2023</w:t>
            </w:r>
          </w:p>
        </w:tc>
      </w:tr>
      <w:tr>
        <w:trPr>
          <w:trHeight w:val="217"/>
        </w:trPr>
        <w:tc>
          <w:tcPr>
            <w:tcW w:w="720" w:type="dxa"/>
            <w:vAlign w:val="bottom"/>
          </w:tcPr>
          <w:p>
            <w:pPr>
              <w:spacing w:after="0" w:line="217" w:lineRule="exact"/>
              <w:rPr>
                <w:sz w:val="20"/>
                <w:szCs w:val="20"/>
                <w:color w:val="auto"/>
              </w:rPr>
            </w:pPr>
            <w:r>
              <w:rPr>
                <w:rFonts w:ascii="Times New Roman" w:cs="Times New Roman" w:eastAsia="Times New Roman" w:hAnsi="Times New Roman"/>
                <w:sz w:val="19"/>
                <w:szCs w:val="19"/>
                <w:color w:val="auto"/>
              </w:rPr>
              <w:t>4.1</w:t>
            </w:r>
          </w:p>
        </w:tc>
        <w:tc>
          <w:tcPr>
            <w:tcW w:w="100" w:type="dxa"/>
            <w:vAlign w:val="bottom"/>
          </w:tcPr>
          <w:p>
            <w:pPr>
              <w:spacing w:after="0"/>
              <w:rPr>
                <w:sz w:val="18"/>
                <w:szCs w:val="18"/>
                <w:color w:val="auto"/>
              </w:rPr>
            </w:pPr>
          </w:p>
        </w:tc>
        <w:tc>
          <w:tcPr>
            <w:tcW w:w="4900" w:type="dxa"/>
            <w:vAlign w:val="bottom"/>
            <w:gridSpan w:val="2"/>
          </w:tcPr>
          <w:p>
            <w:pPr>
              <w:spacing w:after="0" w:line="217" w:lineRule="exact"/>
              <w:rPr>
                <w:sz w:val="20"/>
                <w:szCs w:val="20"/>
                <w:color w:val="auto"/>
              </w:rPr>
            </w:pPr>
            <w:r>
              <w:rPr>
                <w:rFonts w:ascii="Times New Roman" w:cs="Times New Roman" w:eastAsia="Times New Roman" w:hAnsi="Times New Roman"/>
                <w:sz w:val="19"/>
                <w:szCs w:val="19"/>
                <w:color w:val="auto"/>
              </w:rPr>
              <w:t>Form of March 2024 Prefunded Warrant</w:t>
            </w:r>
          </w:p>
        </w:tc>
        <w:tc>
          <w:tcPr>
            <w:tcW w:w="580" w:type="dxa"/>
            <w:vAlign w:val="bottom"/>
          </w:tcPr>
          <w:p>
            <w:pPr>
              <w:jc w:val="center"/>
              <w:ind w:left="107"/>
              <w:spacing w:after="0" w:line="217" w:lineRule="exact"/>
              <w:rPr>
                <w:sz w:val="20"/>
                <w:szCs w:val="20"/>
                <w:color w:val="auto"/>
              </w:rPr>
            </w:pPr>
            <w:r>
              <w:rPr>
                <w:rFonts w:ascii="Times New Roman" w:cs="Times New Roman" w:eastAsia="Times New Roman" w:hAnsi="Times New Roman"/>
                <w:sz w:val="19"/>
                <w:szCs w:val="19"/>
                <w:color w:val="auto"/>
              </w:rPr>
              <w:t>8-K</w:t>
            </w:r>
          </w:p>
        </w:tc>
        <w:tc>
          <w:tcPr>
            <w:tcW w:w="1240" w:type="dxa"/>
            <w:vAlign w:val="bottom"/>
            <w:gridSpan w:val="3"/>
          </w:tcPr>
          <w:p>
            <w:pPr>
              <w:jc w:val="center"/>
              <w:ind w:left="227"/>
              <w:spacing w:after="0" w:line="217" w:lineRule="exact"/>
              <w:rPr>
                <w:sz w:val="20"/>
                <w:szCs w:val="20"/>
                <w:color w:val="auto"/>
              </w:rPr>
            </w:pPr>
            <w:r>
              <w:rPr>
                <w:rFonts w:ascii="Times New Roman" w:cs="Times New Roman" w:eastAsia="Times New Roman" w:hAnsi="Times New Roman"/>
                <w:sz w:val="19"/>
                <w:szCs w:val="19"/>
                <w:color w:val="auto"/>
                <w:w w:val="97"/>
              </w:rPr>
              <w:t>001-40925</w:t>
            </w:r>
          </w:p>
        </w:tc>
        <w:tc>
          <w:tcPr>
            <w:tcW w:w="1100" w:type="dxa"/>
            <w:vAlign w:val="bottom"/>
            <w:gridSpan w:val="2"/>
          </w:tcPr>
          <w:p>
            <w:pPr>
              <w:jc w:val="center"/>
              <w:ind w:left="6"/>
              <w:spacing w:after="0" w:line="217" w:lineRule="exact"/>
              <w:rPr>
                <w:sz w:val="20"/>
                <w:szCs w:val="20"/>
                <w:color w:val="auto"/>
              </w:rPr>
            </w:pPr>
            <w:r>
              <w:rPr>
                <w:rFonts w:ascii="Times New Roman" w:cs="Times New Roman" w:eastAsia="Times New Roman" w:hAnsi="Times New Roman"/>
                <w:sz w:val="19"/>
                <w:szCs w:val="19"/>
                <w:color w:val="auto"/>
              </w:rPr>
              <w:t>4.1</w:t>
            </w:r>
          </w:p>
        </w:tc>
        <w:tc>
          <w:tcPr>
            <w:tcW w:w="120" w:type="dxa"/>
            <w:vAlign w:val="bottom"/>
          </w:tcPr>
          <w:p>
            <w:pPr>
              <w:spacing w:after="0"/>
              <w:rPr>
                <w:sz w:val="18"/>
                <w:szCs w:val="18"/>
                <w:color w:val="auto"/>
              </w:rPr>
            </w:pPr>
          </w:p>
        </w:tc>
        <w:tc>
          <w:tcPr>
            <w:tcW w:w="1440" w:type="dxa"/>
            <w:vAlign w:val="bottom"/>
          </w:tcPr>
          <w:p>
            <w:pPr>
              <w:jc w:val="center"/>
              <w:spacing w:after="0" w:line="217" w:lineRule="exact"/>
              <w:rPr>
                <w:sz w:val="20"/>
                <w:szCs w:val="20"/>
                <w:color w:val="auto"/>
              </w:rPr>
            </w:pPr>
            <w:r>
              <w:rPr>
                <w:rFonts w:ascii="Times New Roman" w:cs="Times New Roman" w:eastAsia="Times New Roman" w:hAnsi="Times New Roman"/>
                <w:sz w:val="19"/>
                <w:szCs w:val="19"/>
                <w:color w:val="auto"/>
                <w:w w:val="99"/>
              </w:rPr>
              <w:t>March 28, 2024</w:t>
            </w:r>
          </w:p>
        </w:tc>
      </w:tr>
      <w:tr>
        <w:trPr>
          <w:trHeight w:val="217"/>
        </w:trPr>
        <w:tc>
          <w:tcPr>
            <w:tcW w:w="720" w:type="dxa"/>
            <w:vAlign w:val="bottom"/>
          </w:tcPr>
          <w:p>
            <w:pPr>
              <w:spacing w:after="0" w:line="217" w:lineRule="exact"/>
              <w:rPr>
                <w:sz w:val="20"/>
                <w:szCs w:val="20"/>
                <w:color w:val="auto"/>
              </w:rPr>
            </w:pPr>
            <w:r>
              <w:rPr>
                <w:rFonts w:ascii="Times New Roman" w:cs="Times New Roman" w:eastAsia="Times New Roman" w:hAnsi="Times New Roman"/>
                <w:sz w:val="19"/>
                <w:szCs w:val="19"/>
                <w:color w:val="auto"/>
              </w:rPr>
              <w:t>4.2</w:t>
            </w:r>
          </w:p>
        </w:tc>
        <w:tc>
          <w:tcPr>
            <w:tcW w:w="100" w:type="dxa"/>
            <w:vAlign w:val="bottom"/>
          </w:tcPr>
          <w:p>
            <w:pPr>
              <w:spacing w:after="0"/>
              <w:rPr>
                <w:sz w:val="18"/>
                <w:szCs w:val="18"/>
                <w:color w:val="auto"/>
              </w:rPr>
            </w:pPr>
          </w:p>
        </w:tc>
        <w:tc>
          <w:tcPr>
            <w:tcW w:w="4900" w:type="dxa"/>
            <w:vAlign w:val="bottom"/>
            <w:gridSpan w:val="2"/>
          </w:tcPr>
          <w:p>
            <w:pPr>
              <w:spacing w:after="0" w:line="217" w:lineRule="exact"/>
              <w:rPr>
                <w:sz w:val="20"/>
                <w:szCs w:val="20"/>
                <w:color w:val="auto"/>
              </w:rPr>
            </w:pPr>
            <w:r>
              <w:rPr>
                <w:rFonts w:ascii="Times New Roman" w:cs="Times New Roman" w:eastAsia="Times New Roman" w:hAnsi="Times New Roman"/>
                <w:sz w:val="19"/>
                <w:szCs w:val="19"/>
                <w:color w:val="auto"/>
              </w:rPr>
              <w:t>Form of June 2025 Prefunded Warrant</w:t>
            </w:r>
          </w:p>
        </w:tc>
        <w:tc>
          <w:tcPr>
            <w:tcW w:w="580" w:type="dxa"/>
            <w:vAlign w:val="bottom"/>
          </w:tcPr>
          <w:p>
            <w:pPr>
              <w:jc w:val="center"/>
              <w:ind w:left="107"/>
              <w:spacing w:after="0" w:line="217" w:lineRule="exact"/>
              <w:rPr>
                <w:sz w:val="20"/>
                <w:szCs w:val="20"/>
                <w:color w:val="auto"/>
              </w:rPr>
            </w:pPr>
            <w:r>
              <w:rPr>
                <w:rFonts w:ascii="Times New Roman" w:cs="Times New Roman" w:eastAsia="Times New Roman" w:hAnsi="Times New Roman"/>
                <w:sz w:val="19"/>
                <w:szCs w:val="19"/>
                <w:color w:val="auto"/>
              </w:rPr>
              <w:t>8-K</w:t>
            </w:r>
          </w:p>
        </w:tc>
        <w:tc>
          <w:tcPr>
            <w:tcW w:w="1240" w:type="dxa"/>
            <w:vAlign w:val="bottom"/>
            <w:gridSpan w:val="3"/>
          </w:tcPr>
          <w:p>
            <w:pPr>
              <w:jc w:val="center"/>
              <w:ind w:left="227"/>
              <w:spacing w:after="0" w:line="217" w:lineRule="exact"/>
              <w:rPr>
                <w:sz w:val="20"/>
                <w:szCs w:val="20"/>
                <w:color w:val="auto"/>
              </w:rPr>
            </w:pPr>
            <w:r>
              <w:rPr>
                <w:rFonts w:ascii="Times New Roman" w:cs="Times New Roman" w:eastAsia="Times New Roman" w:hAnsi="Times New Roman"/>
                <w:sz w:val="19"/>
                <w:szCs w:val="19"/>
                <w:color w:val="auto"/>
                <w:w w:val="97"/>
              </w:rPr>
              <w:t>001-40925</w:t>
            </w:r>
          </w:p>
        </w:tc>
        <w:tc>
          <w:tcPr>
            <w:tcW w:w="1100" w:type="dxa"/>
            <w:vAlign w:val="bottom"/>
            <w:gridSpan w:val="2"/>
          </w:tcPr>
          <w:p>
            <w:pPr>
              <w:jc w:val="center"/>
              <w:ind w:left="6"/>
              <w:spacing w:after="0" w:line="217" w:lineRule="exact"/>
              <w:rPr>
                <w:sz w:val="20"/>
                <w:szCs w:val="20"/>
                <w:color w:val="auto"/>
              </w:rPr>
            </w:pPr>
            <w:r>
              <w:rPr>
                <w:rFonts w:ascii="Times New Roman" w:cs="Times New Roman" w:eastAsia="Times New Roman" w:hAnsi="Times New Roman"/>
                <w:sz w:val="19"/>
                <w:szCs w:val="19"/>
                <w:color w:val="auto"/>
              </w:rPr>
              <w:t>4.1</w:t>
            </w:r>
          </w:p>
        </w:tc>
        <w:tc>
          <w:tcPr>
            <w:tcW w:w="120" w:type="dxa"/>
            <w:vAlign w:val="bottom"/>
          </w:tcPr>
          <w:p>
            <w:pPr>
              <w:spacing w:after="0"/>
              <w:rPr>
                <w:sz w:val="18"/>
                <w:szCs w:val="18"/>
                <w:color w:val="auto"/>
              </w:rPr>
            </w:pPr>
          </w:p>
        </w:tc>
        <w:tc>
          <w:tcPr>
            <w:tcW w:w="1440" w:type="dxa"/>
            <w:vAlign w:val="bottom"/>
          </w:tcPr>
          <w:p>
            <w:pPr>
              <w:jc w:val="center"/>
              <w:spacing w:after="0" w:line="217" w:lineRule="exact"/>
              <w:rPr>
                <w:sz w:val="20"/>
                <w:szCs w:val="20"/>
                <w:color w:val="auto"/>
              </w:rPr>
            </w:pPr>
            <w:r>
              <w:rPr>
                <w:rFonts w:ascii="Times New Roman" w:cs="Times New Roman" w:eastAsia="Times New Roman" w:hAnsi="Times New Roman"/>
                <w:sz w:val="19"/>
                <w:szCs w:val="19"/>
                <w:color w:val="auto"/>
                <w:w w:val="99"/>
              </w:rPr>
              <w:t>June 3, 2025</w:t>
            </w:r>
          </w:p>
        </w:tc>
      </w:tr>
      <w:tr>
        <w:trPr>
          <w:trHeight w:val="217"/>
        </w:trPr>
        <w:tc>
          <w:tcPr>
            <w:tcW w:w="720" w:type="dxa"/>
            <w:vAlign w:val="bottom"/>
          </w:tcPr>
          <w:p>
            <w:pPr>
              <w:spacing w:after="0" w:line="217" w:lineRule="exact"/>
              <w:rPr>
                <w:sz w:val="20"/>
                <w:szCs w:val="20"/>
                <w:color w:val="auto"/>
              </w:rPr>
            </w:pPr>
            <w:r>
              <w:rPr>
                <w:rFonts w:ascii="Times New Roman" w:cs="Times New Roman" w:eastAsia="Times New Roman" w:hAnsi="Times New Roman"/>
                <w:sz w:val="19"/>
                <w:szCs w:val="19"/>
                <w:color w:val="auto"/>
              </w:rPr>
              <w:t>4.3</w:t>
            </w:r>
          </w:p>
        </w:tc>
        <w:tc>
          <w:tcPr>
            <w:tcW w:w="100" w:type="dxa"/>
            <w:vAlign w:val="bottom"/>
          </w:tcPr>
          <w:p>
            <w:pPr>
              <w:spacing w:after="0"/>
              <w:rPr>
                <w:sz w:val="18"/>
                <w:szCs w:val="18"/>
                <w:color w:val="auto"/>
              </w:rPr>
            </w:pPr>
          </w:p>
        </w:tc>
        <w:tc>
          <w:tcPr>
            <w:tcW w:w="4900" w:type="dxa"/>
            <w:vAlign w:val="bottom"/>
            <w:gridSpan w:val="2"/>
          </w:tcPr>
          <w:p>
            <w:pPr>
              <w:spacing w:after="0" w:line="217" w:lineRule="exact"/>
              <w:rPr>
                <w:sz w:val="20"/>
                <w:szCs w:val="20"/>
                <w:color w:val="auto"/>
              </w:rPr>
            </w:pPr>
            <w:r>
              <w:rPr>
                <w:rFonts w:ascii="Times New Roman" w:cs="Times New Roman" w:eastAsia="Times New Roman" w:hAnsi="Times New Roman"/>
                <w:sz w:val="19"/>
                <w:szCs w:val="19"/>
                <w:color w:val="auto"/>
              </w:rPr>
              <w:t>Form of Series A, Series B and Series C Warrant Agreement</w:t>
            </w:r>
          </w:p>
        </w:tc>
        <w:tc>
          <w:tcPr>
            <w:tcW w:w="580" w:type="dxa"/>
            <w:vAlign w:val="bottom"/>
          </w:tcPr>
          <w:p>
            <w:pPr>
              <w:jc w:val="center"/>
              <w:ind w:left="107"/>
              <w:spacing w:after="0" w:line="217" w:lineRule="exact"/>
              <w:rPr>
                <w:sz w:val="20"/>
                <w:szCs w:val="20"/>
                <w:color w:val="auto"/>
              </w:rPr>
            </w:pPr>
            <w:r>
              <w:rPr>
                <w:rFonts w:ascii="Times New Roman" w:cs="Times New Roman" w:eastAsia="Times New Roman" w:hAnsi="Times New Roman"/>
                <w:sz w:val="19"/>
                <w:szCs w:val="19"/>
                <w:color w:val="auto"/>
              </w:rPr>
              <w:t>8-K</w:t>
            </w:r>
          </w:p>
        </w:tc>
        <w:tc>
          <w:tcPr>
            <w:tcW w:w="1240" w:type="dxa"/>
            <w:vAlign w:val="bottom"/>
            <w:gridSpan w:val="3"/>
          </w:tcPr>
          <w:p>
            <w:pPr>
              <w:jc w:val="center"/>
              <w:ind w:left="227"/>
              <w:spacing w:after="0" w:line="217" w:lineRule="exact"/>
              <w:rPr>
                <w:sz w:val="20"/>
                <w:szCs w:val="20"/>
                <w:color w:val="auto"/>
              </w:rPr>
            </w:pPr>
            <w:r>
              <w:rPr>
                <w:rFonts w:ascii="Times New Roman" w:cs="Times New Roman" w:eastAsia="Times New Roman" w:hAnsi="Times New Roman"/>
                <w:sz w:val="19"/>
                <w:szCs w:val="19"/>
                <w:color w:val="auto"/>
                <w:w w:val="97"/>
              </w:rPr>
              <w:t>001-40925</w:t>
            </w:r>
          </w:p>
        </w:tc>
        <w:tc>
          <w:tcPr>
            <w:tcW w:w="1100" w:type="dxa"/>
            <w:vAlign w:val="bottom"/>
            <w:gridSpan w:val="2"/>
          </w:tcPr>
          <w:p>
            <w:pPr>
              <w:jc w:val="center"/>
              <w:ind w:left="6"/>
              <w:spacing w:after="0" w:line="217" w:lineRule="exact"/>
              <w:rPr>
                <w:sz w:val="20"/>
                <w:szCs w:val="20"/>
                <w:color w:val="auto"/>
              </w:rPr>
            </w:pPr>
            <w:r>
              <w:rPr>
                <w:rFonts w:ascii="Times New Roman" w:cs="Times New Roman" w:eastAsia="Times New Roman" w:hAnsi="Times New Roman"/>
                <w:sz w:val="19"/>
                <w:szCs w:val="19"/>
                <w:color w:val="auto"/>
              </w:rPr>
              <w:t>4.2</w:t>
            </w:r>
          </w:p>
        </w:tc>
        <w:tc>
          <w:tcPr>
            <w:tcW w:w="120" w:type="dxa"/>
            <w:vAlign w:val="bottom"/>
          </w:tcPr>
          <w:p>
            <w:pPr>
              <w:spacing w:after="0"/>
              <w:rPr>
                <w:sz w:val="18"/>
                <w:szCs w:val="18"/>
                <w:color w:val="auto"/>
              </w:rPr>
            </w:pPr>
          </w:p>
        </w:tc>
        <w:tc>
          <w:tcPr>
            <w:tcW w:w="1440" w:type="dxa"/>
            <w:vAlign w:val="bottom"/>
          </w:tcPr>
          <w:p>
            <w:pPr>
              <w:jc w:val="center"/>
              <w:spacing w:after="0" w:line="217" w:lineRule="exact"/>
              <w:rPr>
                <w:sz w:val="20"/>
                <w:szCs w:val="20"/>
                <w:color w:val="auto"/>
              </w:rPr>
            </w:pPr>
            <w:r>
              <w:rPr>
                <w:rFonts w:ascii="Times New Roman" w:cs="Times New Roman" w:eastAsia="Times New Roman" w:hAnsi="Times New Roman"/>
                <w:sz w:val="19"/>
                <w:szCs w:val="19"/>
                <w:color w:val="auto"/>
                <w:w w:val="99"/>
              </w:rPr>
              <w:t>June 3, 2025</w:t>
            </w:r>
          </w:p>
        </w:tc>
      </w:tr>
      <w:tr>
        <w:trPr>
          <w:trHeight w:val="217"/>
        </w:trPr>
        <w:tc>
          <w:tcPr>
            <w:tcW w:w="720" w:type="dxa"/>
            <w:vAlign w:val="bottom"/>
          </w:tcPr>
          <w:p>
            <w:pPr>
              <w:spacing w:after="0" w:line="217" w:lineRule="exact"/>
              <w:rPr>
                <w:sz w:val="20"/>
                <w:szCs w:val="20"/>
                <w:color w:val="auto"/>
              </w:rPr>
            </w:pPr>
            <w:r>
              <w:rPr>
                <w:rFonts w:ascii="Times New Roman" w:cs="Times New Roman" w:eastAsia="Times New Roman" w:hAnsi="Times New Roman"/>
                <w:sz w:val="19"/>
                <w:szCs w:val="19"/>
                <w:color w:val="auto"/>
              </w:rPr>
              <w:t>4.4</w:t>
            </w:r>
          </w:p>
        </w:tc>
        <w:tc>
          <w:tcPr>
            <w:tcW w:w="100" w:type="dxa"/>
            <w:vAlign w:val="bottom"/>
          </w:tcPr>
          <w:p>
            <w:pPr>
              <w:spacing w:after="0"/>
              <w:rPr>
                <w:sz w:val="18"/>
                <w:szCs w:val="18"/>
                <w:color w:val="auto"/>
              </w:rPr>
            </w:pPr>
          </w:p>
        </w:tc>
        <w:tc>
          <w:tcPr>
            <w:tcW w:w="4900" w:type="dxa"/>
            <w:vAlign w:val="bottom"/>
            <w:gridSpan w:val="2"/>
          </w:tcPr>
          <w:p>
            <w:pPr>
              <w:spacing w:after="0" w:line="217" w:lineRule="exact"/>
              <w:rPr>
                <w:sz w:val="20"/>
                <w:szCs w:val="20"/>
                <w:color w:val="auto"/>
              </w:rPr>
            </w:pPr>
            <w:r>
              <w:rPr>
                <w:rFonts w:ascii="Times New Roman" w:cs="Times New Roman" w:eastAsia="Times New Roman" w:hAnsi="Times New Roman"/>
                <w:sz w:val="19"/>
                <w:szCs w:val="19"/>
                <w:color w:val="auto"/>
              </w:rPr>
              <w:t>Description of the Registrant’s securities registered pursuant to</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60" w:type="dxa"/>
            <w:vAlign w:val="bottom"/>
            <w:gridSpan w:val="2"/>
          </w:tcPr>
          <w:p>
            <w:pPr>
              <w:jc w:val="center"/>
              <w:ind w:left="6"/>
              <w:spacing w:after="0" w:line="217" w:lineRule="exact"/>
              <w:rPr>
                <w:sz w:val="20"/>
                <w:szCs w:val="20"/>
                <w:color w:val="auto"/>
              </w:rPr>
            </w:pPr>
            <w:r>
              <w:rPr>
                <w:rFonts w:ascii="Times New Roman" w:cs="Times New Roman" w:eastAsia="Times New Roman" w:hAnsi="Times New Roman"/>
                <w:sz w:val="19"/>
                <w:szCs w:val="19"/>
                <w:color w:val="auto"/>
              </w:rPr>
              <w:t>*</w:t>
            </w:r>
          </w:p>
        </w:tc>
      </w:tr>
      <w:tr>
        <w:trPr>
          <w:trHeight w:val="217"/>
        </w:trPr>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gridSpan w:val="2"/>
          </w:tcPr>
          <w:p>
            <w:pPr>
              <w:spacing w:after="0" w:line="217" w:lineRule="exact"/>
              <w:rPr>
                <w:sz w:val="20"/>
                <w:szCs w:val="20"/>
                <w:color w:val="auto"/>
              </w:rPr>
            </w:pPr>
            <w:r>
              <w:rPr>
                <w:rFonts w:ascii="Times New Roman" w:cs="Times New Roman" w:eastAsia="Times New Roman" w:hAnsi="Times New Roman"/>
                <w:sz w:val="19"/>
                <w:szCs w:val="19"/>
                <w:color w:val="auto"/>
              </w:rPr>
              <w:t>Section 12 of the Securities and Exchange Act of 1934, as</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7"/>
        </w:trPr>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gridSpan w:val="2"/>
          </w:tcPr>
          <w:p>
            <w:pPr>
              <w:spacing w:after="0" w:line="217" w:lineRule="exact"/>
              <w:rPr>
                <w:sz w:val="20"/>
                <w:szCs w:val="20"/>
                <w:color w:val="auto"/>
              </w:rPr>
            </w:pPr>
            <w:r>
              <w:rPr>
                <w:rFonts w:ascii="Times New Roman" w:cs="Times New Roman" w:eastAsia="Times New Roman" w:hAnsi="Times New Roman"/>
                <w:sz w:val="19"/>
                <w:szCs w:val="19"/>
                <w:color w:val="auto"/>
              </w:rPr>
              <w:t>amended</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7"/>
        </w:trPr>
        <w:tc>
          <w:tcPr>
            <w:tcW w:w="720" w:type="dxa"/>
            <w:vAlign w:val="bottom"/>
          </w:tcPr>
          <w:p>
            <w:pPr>
              <w:spacing w:after="0" w:line="217" w:lineRule="exact"/>
              <w:rPr>
                <w:sz w:val="20"/>
                <w:szCs w:val="20"/>
                <w:color w:val="auto"/>
              </w:rPr>
            </w:pPr>
            <w:r>
              <w:rPr>
                <w:rFonts w:ascii="Times New Roman" w:cs="Times New Roman" w:eastAsia="Times New Roman" w:hAnsi="Times New Roman"/>
                <w:sz w:val="19"/>
                <w:szCs w:val="19"/>
                <w:color w:val="auto"/>
              </w:rPr>
              <w:t>10.1</w:t>
            </w:r>
          </w:p>
        </w:tc>
        <w:tc>
          <w:tcPr>
            <w:tcW w:w="100" w:type="dxa"/>
            <w:vAlign w:val="bottom"/>
          </w:tcPr>
          <w:p>
            <w:pPr>
              <w:spacing w:after="0"/>
              <w:rPr>
                <w:sz w:val="18"/>
                <w:szCs w:val="18"/>
                <w:color w:val="auto"/>
              </w:rPr>
            </w:pPr>
          </w:p>
        </w:tc>
        <w:tc>
          <w:tcPr>
            <w:tcW w:w="4900" w:type="dxa"/>
            <w:vAlign w:val="bottom"/>
            <w:gridSpan w:val="2"/>
          </w:tcPr>
          <w:p>
            <w:pPr>
              <w:spacing w:after="0" w:line="217" w:lineRule="exact"/>
              <w:rPr>
                <w:sz w:val="20"/>
                <w:szCs w:val="20"/>
                <w:color w:val="auto"/>
              </w:rPr>
            </w:pPr>
            <w:r>
              <w:rPr>
                <w:rFonts w:ascii="Times New Roman" w:cs="Times New Roman" w:eastAsia="Times New Roman" w:hAnsi="Times New Roman"/>
                <w:sz w:val="19"/>
                <w:szCs w:val="19"/>
                <w:color w:val="auto"/>
              </w:rPr>
              <w:t>2020 Stock Incentive Plan, as amended</w:t>
            </w:r>
          </w:p>
        </w:tc>
        <w:tc>
          <w:tcPr>
            <w:tcW w:w="580" w:type="dxa"/>
            <w:vAlign w:val="bottom"/>
          </w:tcPr>
          <w:p>
            <w:pPr>
              <w:jc w:val="center"/>
              <w:ind w:left="107"/>
              <w:spacing w:after="0" w:line="217" w:lineRule="exact"/>
              <w:rPr>
                <w:sz w:val="20"/>
                <w:szCs w:val="20"/>
                <w:color w:val="auto"/>
              </w:rPr>
            </w:pPr>
            <w:r>
              <w:rPr>
                <w:rFonts w:ascii="Times New Roman" w:cs="Times New Roman" w:eastAsia="Times New Roman" w:hAnsi="Times New Roman"/>
                <w:sz w:val="19"/>
                <w:szCs w:val="19"/>
                <w:color w:val="auto"/>
                <w:w w:val="98"/>
              </w:rPr>
              <w:t>S-1</w:t>
            </w:r>
          </w:p>
        </w:tc>
        <w:tc>
          <w:tcPr>
            <w:tcW w:w="1240" w:type="dxa"/>
            <w:vAlign w:val="bottom"/>
            <w:gridSpan w:val="3"/>
          </w:tcPr>
          <w:p>
            <w:pPr>
              <w:jc w:val="center"/>
              <w:ind w:left="227"/>
              <w:spacing w:after="0" w:line="217" w:lineRule="exact"/>
              <w:rPr>
                <w:sz w:val="20"/>
                <w:szCs w:val="20"/>
                <w:color w:val="auto"/>
              </w:rPr>
            </w:pPr>
            <w:r>
              <w:rPr>
                <w:rFonts w:ascii="Times New Roman" w:cs="Times New Roman" w:eastAsia="Times New Roman" w:hAnsi="Times New Roman"/>
                <w:sz w:val="19"/>
                <w:szCs w:val="19"/>
                <w:color w:val="auto"/>
              </w:rPr>
              <w:t>333-259973</w:t>
            </w:r>
          </w:p>
        </w:tc>
        <w:tc>
          <w:tcPr>
            <w:tcW w:w="1100" w:type="dxa"/>
            <w:vAlign w:val="bottom"/>
            <w:gridSpan w:val="2"/>
          </w:tcPr>
          <w:p>
            <w:pPr>
              <w:jc w:val="center"/>
              <w:ind w:left="6"/>
              <w:spacing w:after="0" w:line="217" w:lineRule="exact"/>
              <w:rPr>
                <w:sz w:val="20"/>
                <w:szCs w:val="20"/>
                <w:color w:val="auto"/>
              </w:rPr>
            </w:pPr>
            <w:r>
              <w:rPr>
                <w:rFonts w:ascii="Times New Roman" w:cs="Times New Roman" w:eastAsia="Times New Roman" w:hAnsi="Times New Roman"/>
                <w:sz w:val="19"/>
                <w:szCs w:val="19"/>
                <w:color w:val="auto"/>
                <w:w w:val="96"/>
              </w:rPr>
              <w:t>10.2</w:t>
            </w:r>
          </w:p>
        </w:tc>
        <w:tc>
          <w:tcPr>
            <w:tcW w:w="120" w:type="dxa"/>
            <w:vAlign w:val="bottom"/>
          </w:tcPr>
          <w:p>
            <w:pPr>
              <w:spacing w:after="0"/>
              <w:rPr>
                <w:sz w:val="18"/>
                <w:szCs w:val="18"/>
                <w:color w:val="auto"/>
              </w:rPr>
            </w:pPr>
          </w:p>
        </w:tc>
        <w:tc>
          <w:tcPr>
            <w:tcW w:w="1440" w:type="dxa"/>
            <w:vAlign w:val="bottom"/>
          </w:tcPr>
          <w:p>
            <w:pPr>
              <w:jc w:val="center"/>
              <w:spacing w:after="0" w:line="217" w:lineRule="exact"/>
              <w:rPr>
                <w:sz w:val="20"/>
                <w:szCs w:val="20"/>
                <w:color w:val="auto"/>
              </w:rPr>
            </w:pPr>
            <w:r>
              <w:rPr>
                <w:rFonts w:ascii="Times New Roman" w:cs="Times New Roman" w:eastAsia="Times New Roman" w:hAnsi="Times New Roman"/>
                <w:sz w:val="19"/>
                <w:szCs w:val="19"/>
                <w:color w:val="auto"/>
                <w:w w:val="99"/>
              </w:rPr>
              <w:t>October 1, 2021</w:t>
            </w:r>
          </w:p>
        </w:tc>
      </w:tr>
      <w:tr>
        <w:trPr>
          <w:trHeight w:val="217"/>
        </w:trPr>
        <w:tc>
          <w:tcPr>
            <w:tcW w:w="720" w:type="dxa"/>
            <w:vAlign w:val="bottom"/>
          </w:tcPr>
          <w:p>
            <w:pPr>
              <w:spacing w:after="0" w:line="217" w:lineRule="exact"/>
              <w:rPr>
                <w:sz w:val="20"/>
                <w:szCs w:val="20"/>
                <w:color w:val="auto"/>
              </w:rPr>
            </w:pPr>
            <w:r>
              <w:rPr>
                <w:rFonts w:ascii="Times New Roman" w:cs="Times New Roman" w:eastAsia="Times New Roman" w:hAnsi="Times New Roman"/>
                <w:sz w:val="19"/>
                <w:szCs w:val="19"/>
                <w:color w:val="auto"/>
              </w:rPr>
              <w:t>10.2</w:t>
            </w:r>
          </w:p>
        </w:tc>
        <w:tc>
          <w:tcPr>
            <w:tcW w:w="100" w:type="dxa"/>
            <w:vAlign w:val="bottom"/>
          </w:tcPr>
          <w:p>
            <w:pPr>
              <w:spacing w:after="0"/>
              <w:rPr>
                <w:sz w:val="18"/>
                <w:szCs w:val="18"/>
                <w:color w:val="auto"/>
              </w:rPr>
            </w:pPr>
          </w:p>
        </w:tc>
        <w:tc>
          <w:tcPr>
            <w:tcW w:w="4900" w:type="dxa"/>
            <w:vAlign w:val="bottom"/>
            <w:gridSpan w:val="2"/>
          </w:tcPr>
          <w:p>
            <w:pPr>
              <w:spacing w:after="0" w:line="217" w:lineRule="exact"/>
              <w:rPr>
                <w:sz w:val="20"/>
                <w:szCs w:val="20"/>
                <w:color w:val="auto"/>
              </w:rPr>
            </w:pPr>
            <w:r>
              <w:rPr>
                <w:rFonts w:ascii="Times New Roman" w:cs="Times New Roman" w:eastAsia="Times New Roman" w:hAnsi="Times New Roman"/>
                <w:sz w:val="19"/>
                <w:szCs w:val="19"/>
                <w:color w:val="auto"/>
              </w:rPr>
              <w:t>Form of Stock Option Agreement under 2020 Stock Incentive</w:t>
            </w:r>
          </w:p>
        </w:tc>
        <w:tc>
          <w:tcPr>
            <w:tcW w:w="580" w:type="dxa"/>
            <w:vAlign w:val="bottom"/>
          </w:tcPr>
          <w:p>
            <w:pPr>
              <w:jc w:val="center"/>
              <w:ind w:left="107"/>
              <w:spacing w:after="0" w:line="217" w:lineRule="exact"/>
              <w:rPr>
                <w:sz w:val="20"/>
                <w:szCs w:val="20"/>
                <w:color w:val="auto"/>
              </w:rPr>
            </w:pPr>
            <w:r>
              <w:rPr>
                <w:rFonts w:ascii="Times New Roman" w:cs="Times New Roman" w:eastAsia="Times New Roman" w:hAnsi="Times New Roman"/>
                <w:sz w:val="19"/>
                <w:szCs w:val="19"/>
                <w:color w:val="auto"/>
                <w:w w:val="98"/>
              </w:rPr>
              <w:t>S-1</w:t>
            </w:r>
          </w:p>
        </w:tc>
        <w:tc>
          <w:tcPr>
            <w:tcW w:w="1240" w:type="dxa"/>
            <w:vAlign w:val="bottom"/>
            <w:gridSpan w:val="3"/>
          </w:tcPr>
          <w:p>
            <w:pPr>
              <w:jc w:val="center"/>
              <w:ind w:left="227"/>
              <w:spacing w:after="0" w:line="217" w:lineRule="exact"/>
              <w:rPr>
                <w:sz w:val="20"/>
                <w:szCs w:val="20"/>
                <w:color w:val="auto"/>
              </w:rPr>
            </w:pPr>
            <w:r>
              <w:rPr>
                <w:rFonts w:ascii="Times New Roman" w:cs="Times New Roman" w:eastAsia="Times New Roman" w:hAnsi="Times New Roman"/>
                <w:sz w:val="19"/>
                <w:szCs w:val="19"/>
                <w:color w:val="auto"/>
              </w:rPr>
              <w:t>333-259973</w:t>
            </w:r>
          </w:p>
        </w:tc>
        <w:tc>
          <w:tcPr>
            <w:tcW w:w="1100" w:type="dxa"/>
            <w:vAlign w:val="bottom"/>
            <w:gridSpan w:val="2"/>
          </w:tcPr>
          <w:p>
            <w:pPr>
              <w:jc w:val="center"/>
              <w:ind w:left="6"/>
              <w:spacing w:after="0" w:line="217" w:lineRule="exact"/>
              <w:rPr>
                <w:sz w:val="20"/>
                <w:szCs w:val="20"/>
                <w:color w:val="auto"/>
              </w:rPr>
            </w:pPr>
            <w:r>
              <w:rPr>
                <w:rFonts w:ascii="Times New Roman" w:cs="Times New Roman" w:eastAsia="Times New Roman" w:hAnsi="Times New Roman"/>
                <w:sz w:val="19"/>
                <w:szCs w:val="19"/>
                <w:color w:val="auto"/>
                <w:w w:val="96"/>
              </w:rPr>
              <w:t>10.3</w:t>
            </w:r>
          </w:p>
        </w:tc>
        <w:tc>
          <w:tcPr>
            <w:tcW w:w="120" w:type="dxa"/>
            <w:vAlign w:val="bottom"/>
          </w:tcPr>
          <w:p>
            <w:pPr>
              <w:spacing w:after="0"/>
              <w:rPr>
                <w:sz w:val="18"/>
                <w:szCs w:val="18"/>
                <w:color w:val="auto"/>
              </w:rPr>
            </w:pPr>
          </w:p>
        </w:tc>
        <w:tc>
          <w:tcPr>
            <w:tcW w:w="1440" w:type="dxa"/>
            <w:vAlign w:val="bottom"/>
          </w:tcPr>
          <w:p>
            <w:pPr>
              <w:jc w:val="center"/>
              <w:spacing w:after="0" w:line="217" w:lineRule="exact"/>
              <w:rPr>
                <w:sz w:val="20"/>
                <w:szCs w:val="20"/>
                <w:color w:val="auto"/>
              </w:rPr>
            </w:pPr>
            <w:r>
              <w:rPr>
                <w:rFonts w:ascii="Times New Roman" w:cs="Times New Roman" w:eastAsia="Times New Roman" w:hAnsi="Times New Roman"/>
                <w:sz w:val="19"/>
                <w:szCs w:val="19"/>
                <w:color w:val="auto"/>
                <w:w w:val="99"/>
              </w:rPr>
              <w:t>October 1, 2021</w:t>
            </w:r>
          </w:p>
        </w:tc>
      </w:tr>
      <w:tr>
        <w:trPr>
          <w:trHeight w:val="217"/>
        </w:trPr>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gridSpan w:val="2"/>
          </w:tcPr>
          <w:p>
            <w:pPr>
              <w:spacing w:after="0" w:line="217" w:lineRule="exact"/>
              <w:rPr>
                <w:sz w:val="20"/>
                <w:szCs w:val="20"/>
                <w:color w:val="auto"/>
              </w:rPr>
            </w:pPr>
            <w:r>
              <w:rPr>
                <w:rFonts w:ascii="Times New Roman" w:cs="Times New Roman" w:eastAsia="Times New Roman" w:hAnsi="Times New Roman"/>
                <w:sz w:val="19"/>
                <w:szCs w:val="19"/>
                <w:color w:val="auto"/>
              </w:rPr>
              <w:t>Plan</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7"/>
        </w:trPr>
        <w:tc>
          <w:tcPr>
            <w:tcW w:w="720" w:type="dxa"/>
            <w:vAlign w:val="bottom"/>
          </w:tcPr>
          <w:p>
            <w:pPr>
              <w:spacing w:after="0" w:line="217" w:lineRule="exact"/>
              <w:rPr>
                <w:sz w:val="20"/>
                <w:szCs w:val="20"/>
                <w:color w:val="auto"/>
              </w:rPr>
            </w:pPr>
            <w:r>
              <w:rPr>
                <w:rFonts w:ascii="Times New Roman" w:cs="Times New Roman" w:eastAsia="Times New Roman" w:hAnsi="Times New Roman"/>
                <w:sz w:val="19"/>
                <w:szCs w:val="19"/>
                <w:color w:val="auto"/>
              </w:rPr>
              <w:t>10.3</w:t>
            </w:r>
          </w:p>
        </w:tc>
        <w:tc>
          <w:tcPr>
            <w:tcW w:w="100" w:type="dxa"/>
            <w:vAlign w:val="bottom"/>
          </w:tcPr>
          <w:p>
            <w:pPr>
              <w:spacing w:after="0"/>
              <w:rPr>
                <w:sz w:val="18"/>
                <w:szCs w:val="18"/>
                <w:color w:val="auto"/>
              </w:rPr>
            </w:pPr>
          </w:p>
        </w:tc>
        <w:tc>
          <w:tcPr>
            <w:tcW w:w="4900" w:type="dxa"/>
            <w:vAlign w:val="bottom"/>
            <w:gridSpan w:val="2"/>
          </w:tcPr>
          <w:p>
            <w:pPr>
              <w:spacing w:after="0" w:line="217" w:lineRule="exact"/>
              <w:rPr>
                <w:sz w:val="20"/>
                <w:szCs w:val="20"/>
                <w:color w:val="auto"/>
              </w:rPr>
            </w:pPr>
            <w:r>
              <w:rPr>
                <w:rFonts w:ascii="Times New Roman" w:cs="Times New Roman" w:eastAsia="Times New Roman" w:hAnsi="Times New Roman"/>
                <w:sz w:val="19"/>
                <w:szCs w:val="19"/>
                <w:color w:val="auto"/>
              </w:rPr>
              <w:t>Form of Restricted Stock Agreement under 2020 Stock</w:t>
            </w:r>
          </w:p>
        </w:tc>
        <w:tc>
          <w:tcPr>
            <w:tcW w:w="580" w:type="dxa"/>
            <w:vAlign w:val="bottom"/>
          </w:tcPr>
          <w:p>
            <w:pPr>
              <w:jc w:val="center"/>
              <w:ind w:left="107"/>
              <w:spacing w:after="0" w:line="217" w:lineRule="exact"/>
              <w:rPr>
                <w:sz w:val="20"/>
                <w:szCs w:val="20"/>
                <w:color w:val="auto"/>
              </w:rPr>
            </w:pPr>
            <w:r>
              <w:rPr>
                <w:rFonts w:ascii="Times New Roman" w:cs="Times New Roman" w:eastAsia="Times New Roman" w:hAnsi="Times New Roman"/>
                <w:sz w:val="19"/>
                <w:szCs w:val="19"/>
                <w:color w:val="auto"/>
                <w:w w:val="98"/>
              </w:rPr>
              <w:t>S-1</w:t>
            </w:r>
          </w:p>
        </w:tc>
        <w:tc>
          <w:tcPr>
            <w:tcW w:w="1240" w:type="dxa"/>
            <w:vAlign w:val="bottom"/>
            <w:gridSpan w:val="3"/>
          </w:tcPr>
          <w:p>
            <w:pPr>
              <w:jc w:val="center"/>
              <w:ind w:left="227"/>
              <w:spacing w:after="0" w:line="217" w:lineRule="exact"/>
              <w:rPr>
                <w:sz w:val="20"/>
                <w:szCs w:val="20"/>
                <w:color w:val="auto"/>
              </w:rPr>
            </w:pPr>
            <w:r>
              <w:rPr>
                <w:rFonts w:ascii="Times New Roman" w:cs="Times New Roman" w:eastAsia="Times New Roman" w:hAnsi="Times New Roman"/>
                <w:sz w:val="19"/>
                <w:szCs w:val="19"/>
                <w:color w:val="auto"/>
              </w:rPr>
              <w:t>333-259973</w:t>
            </w:r>
          </w:p>
        </w:tc>
        <w:tc>
          <w:tcPr>
            <w:tcW w:w="1100" w:type="dxa"/>
            <w:vAlign w:val="bottom"/>
            <w:gridSpan w:val="2"/>
          </w:tcPr>
          <w:p>
            <w:pPr>
              <w:jc w:val="center"/>
              <w:ind w:left="6"/>
              <w:spacing w:after="0" w:line="217" w:lineRule="exact"/>
              <w:rPr>
                <w:sz w:val="20"/>
                <w:szCs w:val="20"/>
                <w:color w:val="auto"/>
              </w:rPr>
            </w:pPr>
            <w:r>
              <w:rPr>
                <w:rFonts w:ascii="Times New Roman" w:cs="Times New Roman" w:eastAsia="Times New Roman" w:hAnsi="Times New Roman"/>
                <w:sz w:val="19"/>
                <w:szCs w:val="19"/>
                <w:color w:val="auto"/>
                <w:w w:val="96"/>
              </w:rPr>
              <w:t>10.4</w:t>
            </w:r>
          </w:p>
        </w:tc>
        <w:tc>
          <w:tcPr>
            <w:tcW w:w="120" w:type="dxa"/>
            <w:vAlign w:val="bottom"/>
          </w:tcPr>
          <w:p>
            <w:pPr>
              <w:spacing w:after="0"/>
              <w:rPr>
                <w:sz w:val="18"/>
                <w:szCs w:val="18"/>
                <w:color w:val="auto"/>
              </w:rPr>
            </w:pPr>
          </w:p>
        </w:tc>
        <w:tc>
          <w:tcPr>
            <w:tcW w:w="1440" w:type="dxa"/>
            <w:vAlign w:val="bottom"/>
          </w:tcPr>
          <w:p>
            <w:pPr>
              <w:jc w:val="center"/>
              <w:spacing w:after="0" w:line="217" w:lineRule="exact"/>
              <w:rPr>
                <w:sz w:val="20"/>
                <w:szCs w:val="20"/>
                <w:color w:val="auto"/>
              </w:rPr>
            </w:pPr>
            <w:r>
              <w:rPr>
                <w:rFonts w:ascii="Times New Roman" w:cs="Times New Roman" w:eastAsia="Times New Roman" w:hAnsi="Times New Roman"/>
                <w:sz w:val="19"/>
                <w:szCs w:val="19"/>
                <w:color w:val="auto"/>
                <w:w w:val="99"/>
              </w:rPr>
              <w:t>October 1, 2021</w:t>
            </w:r>
          </w:p>
        </w:tc>
      </w:tr>
      <w:tr>
        <w:trPr>
          <w:trHeight w:val="217"/>
        </w:trPr>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gridSpan w:val="2"/>
          </w:tcPr>
          <w:p>
            <w:pPr>
              <w:spacing w:after="0" w:line="217" w:lineRule="exact"/>
              <w:rPr>
                <w:sz w:val="20"/>
                <w:szCs w:val="20"/>
                <w:color w:val="auto"/>
              </w:rPr>
            </w:pPr>
            <w:r>
              <w:rPr>
                <w:rFonts w:ascii="Times New Roman" w:cs="Times New Roman" w:eastAsia="Times New Roman" w:hAnsi="Times New Roman"/>
                <w:sz w:val="19"/>
                <w:szCs w:val="19"/>
                <w:color w:val="auto"/>
              </w:rPr>
              <w:t>Incentive Plan</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7"/>
        </w:trPr>
        <w:tc>
          <w:tcPr>
            <w:tcW w:w="720" w:type="dxa"/>
            <w:vAlign w:val="bottom"/>
          </w:tcPr>
          <w:p>
            <w:pPr>
              <w:spacing w:after="0" w:line="217" w:lineRule="exact"/>
              <w:rPr>
                <w:sz w:val="20"/>
                <w:szCs w:val="20"/>
                <w:color w:val="auto"/>
              </w:rPr>
            </w:pPr>
            <w:r>
              <w:rPr>
                <w:rFonts w:ascii="Times New Roman" w:cs="Times New Roman" w:eastAsia="Times New Roman" w:hAnsi="Times New Roman"/>
                <w:sz w:val="19"/>
                <w:szCs w:val="19"/>
                <w:color w:val="auto"/>
              </w:rPr>
              <w:t>10.4</w:t>
            </w:r>
          </w:p>
        </w:tc>
        <w:tc>
          <w:tcPr>
            <w:tcW w:w="100" w:type="dxa"/>
            <w:vAlign w:val="bottom"/>
          </w:tcPr>
          <w:p>
            <w:pPr>
              <w:spacing w:after="0"/>
              <w:rPr>
                <w:sz w:val="18"/>
                <w:szCs w:val="18"/>
                <w:color w:val="auto"/>
              </w:rPr>
            </w:pPr>
          </w:p>
        </w:tc>
        <w:tc>
          <w:tcPr>
            <w:tcW w:w="4900" w:type="dxa"/>
            <w:vAlign w:val="bottom"/>
            <w:gridSpan w:val="2"/>
          </w:tcPr>
          <w:p>
            <w:pPr>
              <w:spacing w:after="0" w:line="217" w:lineRule="exact"/>
              <w:rPr>
                <w:sz w:val="20"/>
                <w:szCs w:val="20"/>
                <w:color w:val="auto"/>
              </w:rPr>
            </w:pPr>
            <w:r>
              <w:rPr>
                <w:rFonts w:ascii="Times New Roman" w:cs="Times New Roman" w:eastAsia="Times New Roman" w:hAnsi="Times New Roman"/>
                <w:sz w:val="19"/>
                <w:szCs w:val="19"/>
                <w:color w:val="auto"/>
              </w:rPr>
              <w:t>2021 Stock Incentive Plan</w:t>
            </w:r>
          </w:p>
        </w:tc>
        <w:tc>
          <w:tcPr>
            <w:tcW w:w="580" w:type="dxa"/>
            <w:vAlign w:val="bottom"/>
          </w:tcPr>
          <w:p>
            <w:pPr>
              <w:jc w:val="center"/>
              <w:ind w:left="107"/>
              <w:spacing w:after="0" w:line="217" w:lineRule="exact"/>
              <w:rPr>
                <w:sz w:val="20"/>
                <w:szCs w:val="20"/>
                <w:color w:val="auto"/>
              </w:rPr>
            </w:pPr>
            <w:r>
              <w:rPr>
                <w:rFonts w:ascii="Times New Roman" w:cs="Times New Roman" w:eastAsia="Times New Roman" w:hAnsi="Times New Roman"/>
                <w:sz w:val="19"/>
                <w:szCs w:val="19"/>
                <w:color w:val="auto"/>
                <w:w w:val="98"/>
              </w:rPr>
              <w:t>S-1</w:t>
            </w:r>
          </w:p>
        </w:tc>
        <w:tc>
          <w:tcPr>
            <w:tcW w:w="1240" w:type="dxa"/>
            <w:vAlign w:val="bottom"/>
            <w:gridSpan w:val="3"/>
          </w:tcPr>
          <w:p>
            <w:pPr>
              <w:jc w:val="center"/>
              <w:ind w:left="227"/>
              <w:spacing w:after="0" w:line="217" w:lineRule="exact"/>
              <w:rPr>
                <w:sz w:val="20"/>
                <w:szCs w:val="20"/>
                <w:color w:val="auto"/>
              </w:rPr>
            </w:pPr>
            <w:r>
              <w:rPr>
                <w:rFonts w:ascii="Times New Roman" w:cs="Times New Roman" w:eastAsia="Times New Roman" w:hAnsi="Times New Roman"/>
                <w:sz w:val="19"/>
                <w:szCs w:val="19"/>
                <w:color w:val="auto"/>
              </w:rPr>
              <w:t>333-259973</w:t>
            </w:r>
          </w:p>
        </w:tc>
        <w:tc>
          <w:tcPr>
            <w:tcW w:w="1100" w:type="dxa"/>
            <w:vAlign w:val="bottom"/>
            <w:gridSpan w:val="2"/>
          </w:tcPr>
          <w:p>
            <w:pPr>
              <w:jc w:val="center"/>
              <w:ind w:left="6"/>
              <w:spacing w:after="0" w:line="217" w:lineRule="exact"/>
              <w:rPr>
                <w:sz w:val="20"/>
                <w:szCs w:val="20"/>
                <w:color w:val="auto"/>
              </w:rPr>
            </w:pPr>
            <w:r>
              <w:rPr>
                <w:rFonts w:ascii="Times New Roman" w:cs="Times New Roman" w:eastAsia="Times New Roman" w:hAnsi="Times New Roman"/>
                <w:sz w:val="19"/>
                <w:szCs w:val="19"/>
                <w:color w:val="auto"/>
                <w:w w:val="96"/>
              </w:rPr>
              <w:t>10.5</w:t>
            </w:r>
          </w:p>
        </w:tc>
        <w:tc>
          <w:tcPr>
            <w:tcW w:w="120" w:type="dxa"/>
            <w:vAlign w:val="bottom"/>
          </w:tcPr>
          <w:p>
            <w:pPr>
              <w:spacing w:after="0"/>
              <w:rPr>
                <w:sz w:val="18"/>
                <w:szCs w:val="18"/>
                <w:color w:val="auto"/>
              </w:rPr>
            </w:pPr>
          </w:p>
        </w:tc>
        <w:tc>
          <w:tcPr>
            <w:tcW w:w="1440" w:type="dxa"/>
            <w:vAlign w:val="bottom"/>
          </w:tcPr>
          <w:p>
            <w:pPr>
              <w:jc w:val="center"/>
              <w:spacing w:after="0" w:line="217" w:lineRule="exact"/>
              <w:rPr>
                <w:sz w:val="20"/>
                <w:szCs w:val="20"/>
                <w:color w:val="auto"/>
              </w:rPr>
            </w:pPr>
            <w:r>
              <w:rPr>
                <w:rFonts w:ascii="Times New Roman" w:cs="Times New Roman" w:eastAsia="Times New Roman" w:hAnsi="Times New Roman"/>
                <w:sz w:val="19"/>
                <w:szCs w:val="19"/>
                <w:color w:val="auto"/>
                <w:w w:val="99"/>
              </w:rPr>
              <w:t>October 18, 2021</w:t>
            </w:r>
          </w:p>
        </w:tc>
      </w:tr>
      <w:tr>
        <w:trPr>
          <w:trHeight w:val="217"/>
        </w:trPr>
        <w:tc>
          <w:tcPr>
            <w:tcW w:w="720" w:type="dxa"/>
            <w:vAlign w:val="bottom"/>
          </w:tcPr>
          <w:p>
            <w:pPr>
              <w:spacing w:after="0" w:line="217" w:lineRule="exact"/>
              <w:rPr>
                <w:sz w:val="20"/>
                <w:szCs w:val="20"/>
                <w:color w:val="auto"/>
              </w:rPr>
            </w:pPr>
            <w:r>
              <w:rPr>
                <w:rFonts w:ascii="Times New Roman" w:cs="Times New Roman" w:eastAsia="Times New Roman" w:hAnsi="Times New Roman"/>
                <w:sz w:val="19"/>
                <w:szCs w:val="19"/>
                <w:color w:val="auto"/>
              </w:rPr>
              <w:t>10.5</w:t>
            </w:r>
          </w:p>
        </w:tc>
        <w:tc>
          <w:tcPr>
            <w:tcW w:w="100" w:type="dxa"/>
            <w:vAlign w:val="bottom"/>
          </w:tcPr>
          <w:p>
            <w:pPr>
              <w:spacing w:after="0"/>
              <w:rPr>
                <w:sz w:val="18"/>
                <w:szCs w:val="18"/>
                <w:color w:val="auto"/>
              </w:rPr>
            </w:pPr>
          </w:p>
        </w:tc>
        <w:tc>
          <w:tcPr>
            <w:tcW w:w="4900" w:type="dxa"/>
            <w:vAlign w:val="bottom"/>
            <w:gridSpan w:val="2"/>
          </w:tcPr>
          <w:p>
            <w:pPr>
              <w:spacing w:after="0" w:line="217" w:lineRule="exact"/>
              <w:rPr>
                <w:sz w:val="20"/>
                <w:szCs w:val="20"/>
                <w:color w:val="auto"/>
              </w:rPr>
            </w:pPr>
            <w:r>
              <w:rPr>
                <w:rFonts w:ascii="Times New Roman" w:cs="Times New Roman" w:eastAsia="Times New Roman" w:hAnsi="Times New Roman"/>
                <w:sz w:val="19"/>
                <w:szCs w:val="19"/>
                <w:color w:val="auto"/>
              </w:rPr>
              <w:t>Form of Stock Option Agreement under the 2021 Stock</w:t>
            </w:r>
          </w:p>
        </w:tc>
        <w:tc>
          <w:tcPr>
            <w:tcW w:w="580" w:type="dxa"/>
            <w:vAlign w:val="bottom"/>
          </w:tcPr>
          <w:p>
            <w:pPr>
              <w:jc w:val="center"/>
              <w:ind w:left="107"/>
              <w:spacing w:after="0" w:line="217" w:lineRule="exact"/>
              <w:rPr>
                <w:sz w:val="20"/>
                <w:szCs w:val="20"/>
                <w:color w:val="auto"/>
              </w:rPr>
            </w:pPr>
            <w:r>
              <w:rPr>
                <w:rFonts w:ascii="Times New Roman" w:cs="Times New Roman" w:eastAsia="Times New Roman" w:hAnsi="Times New Roman"/>
                <w:sz w:val="19"/>
                <w:szCs w:val="19"/>
                <w:color w:val="auto"/>
                <w:w w:val="98"/>
              </w:rPr>
              <w:t>S-1</w:t>
            </w:r>
          </w:p>
        </w:tc>
        <w:tc>
          <w:tcPr>
            <w:tcW w:w="1240" w:type="dxa"/>
            <w:vAlign w:val="bottom"/>
            <w:gridSpan w:val="3"/>
          </w:tcPr>
          <w:p>
            <w:pPr>
              <w:jc w:val="center"/>
              <w:ind w:left="227"/>
              <w:spacing w:after="0" w:line="217" w:lineRule="exact"/>
              <w:rPr>
                <w:sz w:val="20"/>
                <w:szCs w:val="20"/>
                <w:color w:val="auto"/>
              </w:rPr>
            </w:pPr>
            <w:r>
              <w:rPr>
                <w:rFonts w:ascii="Times New Roman" w:cs="Times New Roman" w:eastAsia="Times New Roman" w:hAnsi="Times New Roman"/>
                <w:sz w:val="19"/>
                <w:szCs w:val="19"/>
                <w:color w:val="auto"/>
              </w:rPr>
              <w:t>333-259973</w:t>
            </w:r>
          </w:p>
        </w:tc>
        <w:tc>
          <w:tcPr>
            <w:tcW w:w="1100" w:type="dxa"/>
            <w:vAlign w:val="bottom"/>
            <w:gridSpan w:val="2"/>
          </w:tcPr>
          <w:p>
            <w:pPr>
              <w:jc w:val="center"/>
              <w:ind w:left="6"/>
              <w:spacing w:after="0" w:line="217" w:lineRule="exact"/>
              <w:rPr>
                <w:sz w:val="20"/>
                <w:szCs w:val="20"/>
                <w:color w:val="auto"/>
              </w:rPr>
            </w:pPr>
            <w:r>
              <w:rPr>
                <w:rFonts w:ascii="Times New Roman" w:cs="Times New Roman" w:eastAsia="Times New Roman" w:hAnsi="Times New Roman"/>
                <w:sz w:val="19"/>
                <w:szCs w:val="19"/>
                <w:color w:val="auto"/>
                <w:w w:val="96"/>
              </w:rPr>
              <w:t>10.6</w:t>
            </w:r>
          </w:p>
        </w:tc>
        <w:tc>
          <w:tcPr>
            <w:tcW w:w="120" w:type="dxa"/>
            <w:vAlign w:val="bottom"/>
          </w:tcPr>
          <w:p>
            <w:pPr>
              <w:spacing w:after="0"/>
              <w:rPr>
                <w:sz w:val="18"/>
                <w:szCs w:val="18"/>
                <w:color w:val="auto"/>
              </w:rPr>
            </w:pPr>
          </w:p>
        </w:tc>
        <w:tc>
          <w:tcPr>
            <w:tcW w:w="1440" w:type="dxa"/>
            <w:vAlign w:val="bottom"/>
          </w:tcPr>
          <w:p>
            <w:pPr>
              <w:jc w:val="center"/>
              <w:spacing w:after="0" w:line="217" w:lineRule="exact"/>
              <w:rPr>
                <w:sz w:val="20"/>
                <w:szCs w:val="20"/>
                <w:color w:val="auto"/>
              </w:rPr>
            </w:pPr>
            <w:r>
              <w:rPr>
                <w:rFonts w:ascii="Times New Roman" w:cs="Times New Roman" w:eastAsia="Times New Roman" w:hAnsi="Times New Roman"/>
                <w:sz w:val="19"/>
                <w:szCs w:val="19"/>
                <w:color w:val="auto"/>
                <w:w w:val="99"/>
              </w:rPr>
              <w:t>October 18, 2021</w:t>
            </w:r>
          </w:p>
        </w:tc>
      </w:tr>
      <w:tr>
        <w:trPr>
          <w:trHeight w:val="217"/>
        </w:trPr>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gridSpan w:val="2"/>
          </w:tcPr>
          <w:p>
            <w:pPr>
              <w:spacing w:after="0" w:line="217" w:lineRule="exact"/>
              <w:rPr>
                <w:sz w:val="20"/>
                <w:szCs w:val="20"/>
                <w:color w:val="auto"/>
              </w:rPr>
            </w:pPr>
            <w:r>
              <w:rPr>
                <w:rFonts w:ascii="Times New Roman" w:cs="Times New Roman" w:eastAsia="Times New Roman" w:hAnsi="Times New Roman"/>
                <w:sz w:val="19"/>
                <w:szCs w:val="19"/>
                <w:color w:val="auto"/>
              </w:rPr>
              <w:t>Incentive Plan</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7"/>
        </w:trPr>
        <w:tc>
          <w:tcPr>
            <w:tcW w:w="720" w:type="dxa"/>
            <w:vAlign w:val="bottom"/>
          </w:tcPr>
          <w:p>
            <w:pPr>
              <w:spacing w:after="0" w:line="217" w:lineRule="exact"/>
              <w:rPr>
                <w:sz w:val="20"/>
                <w:szCs w:val="20"/>
                <w:color w:val="auto"/>
              </w:rPr>
            </w:pPr>
            <w:r>
              <w:rPr>
                <w:rFonts w:ascii="Times New Roman" w:cs="Times New Roman" w:eastAsia="Times New Roman" w:hAnsi="Times New Roman"/>
                <w:sz w:val="19"/>
                <w:szCs w:val="19"/>
                <w:color w:val="auto"/>
              </w:rPr>
              <w:t>10.6</w:t>
            </w:r>
          </w:p>
        </w:tc>
        <w:tc>
          <w:tcPr>
            <w:tcW w:w="100" w:type="dxa"/>
            <w:vAlign w:val="bottom"/>
          </w:tcPr>
          <w:p>
            <w:pPr>
              <w:spacing w:after="0"/>
              <w:rPr>
                <w:sz w:val="18"/>
                <w:szCs w:val="18"/>
                <w:color w:val="auto"/>
              </w:rPr>
            </w:pPr>
          </w:p>
        </w:tc>
        <w:tc>
          <w:tcPr>
            <w:tcW w:w="4900" w:type="dxa"/>
            <w:vAlign w:val="bottom"/>
            <w:gridSpan w:val="2"/>
          </w:tcPr>
          <w:p>
            <w:pPr>
              <w:spacing w:after="0" w:line="217" w:lineRule="exact"/>
              <w:rPr>
                <w:sz w:val="20"/>
                <w:szCs w:val="20"/>
                <w:color w:val="auto"/>
              </w:rPr>
            </w:pPr>
            <w:r>
              <w:rPr>
                <w:rFonts w:ascii="Times New Roman" w:cs="Times New Roman" w:eastAsia="Times New Roman" w:hAnsi="Times New Roman"/>
                <w:sz w:val="19"/>
                <w:szCs w:val="19"/>
                <w:color w:val="auto"/>
              </w:rPr>
              <w:t>Form of Non-Employee Director Stock Option Agreement</w:t>
            </w:r>
          </w:p>
        </w:tc>
        <w:tc>
          <w:tcPr>
            <w:tcW w:w="580" w:type="dxa"/>
            <w:vAlign w:val="bottom"/>
          </w:tcPr>
          <w:p>
            <w:pPr>
              <w:jc w:val="center"/>
              <w:ind w:left="107"/>
              <w:spacing w:after="0" w:line="217" w:lineRule="exact"/>
              <w:rPr>
                <w:sz w:val="20"/>
                <w:szCs w:val="20"/>
                <w:color w:val="auto"/>
              </w:rPr>
            </w:pPr>
            <w:r>
              <w:rPr>
                <w:rFonts w:ascii="Times New Roman" w:cs="Times New Roman" w:eastAsia="Times New Roman" w:hAnsi="Times New Roman"/>
                <w:sz w:val="19"/>
                <w:szCs w:val="19"/>
                <w:color w:val="auto"/>
                <w:w w:val="98"/>
              </w:rPr>
              <w:t>S-1</w:t>
            </w:r>
          </w:p>
        </w:tc>
        <w:tc>
          <w:tcPr>
            <w:tcW w:w="1240" w:type="dxa"/>
            <w:vAlign w:val="bottom"/>
            <w:gridSpan w:val="3"/>
          </w:tcPr>
          <w:p>
            <w:pPr>
              <w:jc w:val="center"/>
              <w:ind w:left="227"/>
              <w:spacing w:after="0" w:line="217" w:lineRule="exact"/>
              <w:rPr>
                <w:sz w:val="20"/>
                <w:szCs w:val="20"/>
                <w:color w:val="auto"/>
              </w:rPr>
            </w:pPr>
            <w:r>
              <w:rPr>
                <w:rFonts w:ascii="Times New Roman" w:cs="Times New Roman" w:eastAsia="Times New Roman" w:hAnsi="Times New Roman"/>
                <w:sz w:val="19"/>
                <w:szCs w:val="19"/>
                <w:color w:val="auto"/>
              </w:rPr>
              <w:t>333-259973</w:t>
            </w:r>
          </w:p>
        </w:tc>
        <w:tc>
          <w:tcPr>
            <w:tcW w:w="1100" w:type="dxa"/>
            <w:vAlign w:val="bottom"/>
            <w:gridSpan w:val="2"/>
          </w:tcPr>
          <w:p>
            <w:pPr>
              <w:jc w:val="center"/>
              <w:ind w:left="6"/>
              <w:spacing w:after="0" w:line="217" w:lineRule="exact"/>
              <w:rPr>
                <w:sz w:val="20"/>
                <w:szCs w:val="20"/>
                <w:color w:val="auto"/>
              </w:rPr>
            </w:pPr>
            <w:r>
              <w:rPr>
                <w:rFonts w:ascii="Times New Roman" w:cs="Times New Roman" w:eastAsia="Times New Roman" w:hAnsi="Times New Roman"/>
                <w:sz w:val="19"/>
                <w:szCs w:val="19"/>
                <w:color w:val="auto"/>
                <w:w w:val="96"/>
              </w:rPr>
              <w:t>10.7</w:t>
            </w:r>
          </w:p>
        </w:tc>
        <w:tc>
          <w:tcPr>
            <w:tcW w:w="120" w:type="dxa"/>
            <w:vAlign w:val="bottom"/>
          </w:tcPr>
          <w:p>
            <w:pPr>
              <w:spacing w:after="0"/>
              <w:rPr>
                <w:sz w:val="18"/>
                <w:szCs w:val="18"/>
                <w:color w:val="auto"/>
              </w:rPr>
            </w:pPr>
          </w:p>
        </w:tc>
        <w:tc>
          <w:tcPr>
            <w:tcW w:w="1440" w:type="dxa"/>
            <w:vAlign w:val="bottom"/>
          </w:tcPr>
          <w:p>
            <w:pPr>
              <w:jc w:val="center"/>
              <w:spacing w:after="0" w:line="217" w:lineRule="exact"/>
              <w:rPr>
                <w:sz w:val="20"/>
                <w:szCs w:val="20"/>
                <w:color w:val="auto"/>
              </w:rPr>
            </w:pPr>
            <w:r>
              <w:rPr>
                <w:rFonts w:ascii="Times New Roman" w:cs="Times New Roman" w:eastAsia="Times New Roman" w:hAnsi="Times New Roman"/>
                <w:sz w:val="19"/>
                <w:szCs w:val="19"/>
                <w:color w:val="auto"/>
                <w:w w:val="99"/>
              </w:rPr>
              <w:t>October 18, 2021</w:t>
            </w:r>
          </w:p>
        </w:tc>
      </w:tr>
      <w:tr>
        <w:trPr>
          <w:trHeight w:val="217"/>
        </w:trPr>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gridSpan w:val="2"/>
          </w:tcPr>
          <w:p>
            <w:pPr>
              <w:spacing w:after="0" w:line="217" w:lineRule="exact"/>
              <w:rPr>
                <w:sz w:val="20"/>
                <w:szCs w:val="20"/>
                <w:color w:val="auto"/>
              </w:rPr>
            </w:pPr>
            <w:r>
              <w:rPr>
                <w:rFonts w:ascii="Times New Roman" w:cs="Times New Roman" w:eastAsia="Times New Roman" w:hAnsi="Times New Roman"/>
                <w:sz w:val="19"/>
                <w:szCs w:val="19"/>
                <w:color w:val="auto"/>
              </w:rPr>
              <w:t>under the 2021 Stock Incentive Plan</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7"/>
        </w:trPr>
        <w:tc>
          <w:tcPr>
            <w:tcW w:w="720" w:type="dxa"/>
            <w:vAlign w:val="bottom"/>
          </w:tcPr>
          <w:p>
            <w:pPr>
              <w:spacing w:after="0" w:line="217" w:lineRule="exact"/>
              <w:rPr>
                <w:sz w:val="20"/>
                <w:szCs w:val="20"/>
                <w:color w:val="auto"/>
              </w:rPr>
            </w:pPr>
            <w:r>
              <w:rPr>
                <w:rFonts w:ascii="Times New Roman" w:cs="Times New Roman" w:eastAsia="Times New Roman" w:hAnsi="Times New Roman"/>
                <w:sz w:val="19"/>
                <w:szCs w:val="19"/>
                <w:color w:val="auto"/>
              </w:rPr>
              <w:t>10.7</w:t>
            </w:r>
          </w:p>
        </w:tc>
        <w:tc>
          <w:tcPr>
            <w:tcW w:w="100" w:type="dxa"/>
            <w:vAlign w:val="bottom"/>
          </w:tcPr>
          <w:p>
            <w:pPr>
              <w:spacing w:after="0"/>
              <w:rPr>
                <w:sz w:val="18"/>
                <w:szCs w:val="18"/>
                <w:color w:val="auto"/>
              </w:rPr>
            </w:pPr>
          </w:p>
        </w:tc>
        <w:tc>
          <w:tcPr>
            <w:tcW w:w="4900" w:type="dxa"/>
            <w:vAlign w:val="bottom"/>
            <w:gridSpan w:val="2"/>
          </w:tcPr>
          <w:p>
            <w:pPr>
              <w:spacing w:after="0" w:line="217" w:lineRule="exact"/>
              <w:rPr>
                <w:sz w:val="20"/>
                <w:szCs w:val="20"/>
                <w:color w:val="auto"/>
              </w:rPr>
            </w:pPr>
            <w:r>
              <w:rPr>
                <w:rFonts w:ascii="Times New Roman" w:cs="Times New Roman" w:eastAsia="Times New Roman" w:hAnsi="Times New Roman"/>
                <w:sz w:val="19"/>
                <w:szCs w:val="19"/>
                <w:color w:val="auto"/>
              </w:rPr>
              <w:t>Form of Restricted Stock Unit Agreement under the 2021</w:t>
            </w:r>
          </w:p>
        </w:tc>
        <w:tc>
          <w:tcPr>
            <w:tcW w:w="580" w:type="dxa"/>
            <w:vAlign w:val="bottom"/>
          </w:tcPr>
          <w:p>
            <w:pPr>
              <w:jc w:val="center"/>
              <w:ind w:left="107"/>
              <w:spacing w:after="0" w:line="217" w:lineRule="exact"/>
              <w:rPr>
                <w:sz w:val="20"/>
                <w:szCs w:val="20"/>
                <w:color w:val="auto"/>
              </w:rPr>
            </w:pPr>
            <w:r>
              <w:rPr>
                <w:rFonts w:ascii="Times New Roman" w:cs="Times New Roman" w:eastAsia="Times New Roman" w:hAnsi="Times New Roman"/>
                <w:sz w:val="19"/>
                <w:szCs w:val="19"/>
                <w:color w:val="auto"/>
              </w:rPr>
              <w:t>8-K</w:t>
            </w:r>
          </w:p>
        </w:tc>
        <w:tc>
          <w:tcPr>
            <w:tcW w:w="1240" w:type="dxa"/>
            <w:vAlign w:val="bottom"/>
            <w:gridSpan w:val="3"/>
          </w:tcPr>
          <w:p>
            <w:pPr>
              <w:jc w:val="center"/>
              <w:ind w:left="227"/>
              <w:spacing w:after="0" w:line="217" w:lineRule="exact"/>
              <w:rPr>
                <w:sz w:val="20"/>
                <w:szCs w:val="20"/>
                <w:color w:val="auto"/>
              </w:rPr>
            </w:pPr>
            <w:r>
              <w:rPr>
                <w:rFonts w:ascii="Times New Roman" w:cs="Times New Roman" w:eastAsia="Times New Roman" w:hAnsi="Times New Roman"/>
                <w:sz w:val="19"/>
                <w:szCs w:val="19"/>
                <w:color w:val="auto"/>
                <w:w w:val="97"/>
              </w:rPr>
              <w:t>001-40925</w:t>
            </w:r>
          </w:p>
        </w:tc>
        <w:tc>
          <w:tcPr>
            <w:tcW w:w="1100" w:type="dxa"/>
            <w:vAlign w:val="bottom"/>
            <w:gridSpan w:val="2"/>
          </w:tcPr>
          <w:p>
            <w:pPr>
              <w:jc w:val="center"/>
              <w:ind w:left="6"/>
              <w:spacing w:after="0" w:line="217" w:lineRule="exact"/>
              <w:rPr>
                <w:sz w:val="20"/>
                <w:szCs w:val="20"/>
                <w:color w:val="auto"/>
              </w:rPr>
            </w:pPr>
            <w:r>
              <w:rPr>
                <w:rFonts w:ascii="Times New Roman" w:cs="Times New Roman" w:eastAsia="Times New Roman" w:hAnsi="Times New Roman"/>
                <w:sz w:val="19"/>
                <w:szCs w:val="19"/>
                <w:color w:val="auto"/>
                <w:w w:val="96"/>
              </w:rPr>
              <w:t>10.1</w:t>
            </w:r>
          </w:p>
        </w:tc>
        <w:tc>
          <w:tcPr>
            <w:tcW w:w="120" w:type="dxa"/>
            <w:vAlign w:val="bottom"/>
          </w:tcPr>
          <w:p>
            <w:pPr>
              <w:spacing w:after="0"/>
              <w:rPr>
                <w:sz w:val="18"/>
                <w:szCs w:val="18"/>
                <w:color w:val="auto"/>
              </w:rPr>
            </w:pPr>
          </w:p>
        </w:tc>
        <w:tc>
          <w:tcPr>
            <w:tcW w:w="1440" w:type="dxa"/>
            <w:vAlign w:val="bottom"/>
          </w:tcPr>
          <w:p>
            <w:pPr>
              <w:jc w:val="center"/>
              <w:spacing w:after="0" w:line="217" w:lineRule="exact"/>
              <w:rPr>
                <w:sz w:val="20"/>
                <w:szCs w:val="20"/>
                <w:color w:val="auto"/>
              </w:rPr>
            </w:pPr>
            <w:r>
              <w:rPr>
                <w:rFonts w:ascii="Times New Roman" w:cs="Times New Roman" w:eastAsia="Times New Roman" w:hAnsi="Times New Roman"/>
                <w:sz w:val="19"/>
                <w:szCs w:val="19"/>
                <w:color w:val="auto"/>
                <w:w w:val="99"/>
              </w:rPr>
              <w:t>January 3, 2024</w:t>
            </w:r>
          </w:p>
        </w:tc>
      </w:tr>
      <w:tr>
        <w:trPr>
          <w:trHeight w:val="217"/>
        </w:trPr>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gridSpan w:val="2"/>
          </w:tcPr>
          <w:p>
            <w:pPr>
              <w:spacing w:after="0" w:line="217" w:lineRule="exact"/>
              <w:rPr>
                <w:sz w:val="20"/>
                <w:szCs w:val="20"/>
                <w:color w:val="auto"/>
              </w:rPr>
            </w:pPr>
            <w:r>
              <w:rPr>
                <w:rFonts w:ascii="Times New Roman" w:cs="Times New Roman" w:eastAsia="Times New Roman" w:hAnsi="Times New Roman"/>
                <w:sz w:val="19"/>
                <w:szCs w:val="19"/>
                <w:color w:val="auto"/>
              </w:rPr>
              <w:t>Stock Incentive Plan</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7"/>
        </w:trPr>
        <w:tc>
          <w:tcPr>
            <w:tcW w:w="720" w:type="dxa"/>
            <w:vAlign w:val="bottom"/>
          </w:tcPr>
          <w:p>
            <w:pPr>
              <w:spacing w:after="0" w:line="217" w:lineRule="exact"/>
              <w:rPr>
                <w:sz w:val="20"/>
                <w:szCs w:val="20"/>
                <w:color w:val="auto"/>
              </w:rPr>
            </w:pPr>
            <w:r>
              <w:rPr>
                <w:rFonts w:ascii="Times New Roman" w:cs="Times New Roman" w:eastAsia="Times New Roman" w:hAnsi="Times New Roman"/>
                <w:sz w:val="19"/>
                <w:szCs w:val="19"/>
                <w:color w:val="auto"/>
              </w:rPr>
              <w:t>10.8</w:t>
            </w:r>
          </w:p>
        </w:tc>
        <w:tc>
          <w:tcPr>
            <w:tcW w:w="100" w:type="dxa"/>
            <w:vAlign w:val="bottom"/>
          </w:tcPr>
          <w:p>
            <w:pPr>
              <w:spacing w:after="0"/>
              <w:rPr>
                <w:sz w:val="18"/>
                <w:szCs w:val="18"/>
                <w:color w:val="auto"/>
              </w:rPr>
            </w:pPr>
          </w:p>
        </w:tc>
        <w:tc>
          <w:tcPr>
            <w:tcW w:w="4900" w:type="dxa"/>
            <w:vAlign w:val="bottom"/>
            <w:gridSpan w:val="2"/>
          </w:tcPr>
          <w:p>
            <w:pPr>
              <w:spacing w:after="0" w:line="217" w:lineRule="exact"/>
              <w:rPr>
                <w:sz w:val="20"/>
                <w:szCs w:val="20"/>
                <w:color w:val="auto"/>
              </w:rPr>
            </w:pPr>
            <w:r>
              <w:rPr>
                <w:rFonts w:ascii="Times New Roman" w:cs="Times New Roman" w:eastAsia="Times New Roman" w:hAnsi="Times New Roman"/>
                <w:sz w:val="19"/>
                <w:szCs w:val="19"/>
                <w:color w:val="auto"/>
              </w:rPr>
              <w:t>2021 Employee Stock Purchase Plan</w:t>
            </w:r>
          </w:p>
        </w:tc>
        <w:tc>
          <w:tcPr>
            <w:tcW w:w="580" w:type="dxa"/>
            <w:vAlign w:val="bottom"/>
          </w:tcPr>
          <w:p>
            <w:pPr>
              <w:jc w:val="center"/>
              <w:ind w:left="107"/>
              <w:spacing w:after="0" w:line="217" w:lineRule="exact"/>
              <w:rPr>
                <w:sz w:val="20"/>
                <w:szCs w:val="20"/>
                <w:color w:val="auto"/>
              </w:rPr>
            </w:pPr>
            <w:r>
              <w:rPr>
                <w:rFonts w:ascii="Times New Roman" w:cs="Times New Roman" w:eastAsia="Times New Roman" w:hAnsi="Times New Roman"/>
                <w:sz w:val="19"/>
                <w:szCs w:val="19"/>
                <w:color w:val="auto"/>
                <w:w w:val="98"/>
              </w:rPr>
              <w:t>S-1</w:t>
            </w:r>
          </w:p>
        </w:tc>
        <w:tc>
          <w:tcPr>
            <w:tcW w:w="1240" w:type="dxa"/>
            <w:vAlign w:val="bottom"/>
            <w:gridSpan w:val="3"/>
          </w:tcPr>
          <w:p>
            <w:pPr>
              <w:jc w:val="center"/>
              <w:ind w:left="227"/>
              <w:spacing w:after="0" w:line="217" w:lineRule="exact"/>
              <w:rPr>
                <w:sz w:val="20"/>
                <w:szCs w:val="20"/>
                <w:color w:val="auto"/>
              </w:rPr>
            </w:pPr>
            <w:r>
              <w:rPr>
                <w:rFonts w:ascii="Times New Roman" w:cs="Times New Roman" w:eastAsia="Times New Roman" w:hAnsi="Times New Roman"/>
                <w:sz w:val="19"/>
                <w:szCs w:val="19"/>
                <w:color w:val="auto"/>
              </w:rPr>
              <w:t>333-259973</w:t>
            </w:r>
          </w:p>
        </w:tc>
        <w:tc>
          <w:tcPr>
            <w:tcW w:w="1100" w:type="dxa"/>
            <w:vAlign w:val="bottom"/>
            <w:gridSpan w:val="2"/>
          </w:tcPr>
          <w:p>
            <w:pPr>
              <w:jc w:val="center"/>
              <w:ind w:left="6"/>
              <w:spacing w:after="0" w:line="217" w:lineRule="exact"/>
              <w:rPr>
                <w:sz w:val="20"/>
                <w:szCs w:val="20"/>
                <w:color w:val="auto"/>
              </w:rPr>
            </w:pPr>
            <w:r>
              <w:rPr>
                <w:rFonts w:ascii="Times New Roman" w:cs="Times New Roman" w:eastAsia="Times New Roman" w:hAnsi="Times New Roman"/>
                <w:sz w:val="19"/>
                <w:szCs w:val="19"/>
                <w:color w:val="auto"/>
                <w:w w:val="96"/>
              </w:rPr>
              <w:t>10.8</w:t>
            </w:r>
          </w:p>
        </w:tc>
        <w:tc>
          <w:tcPr>
            <w:tcW w:w="120" w:type="dxa"/>
            <w:vAlign w:val="bottom"/>
          </w:tcPr>
          <w:p>
            <w:pPr>
              <w:spacing w:after="0"/>
              <w:rPr>
                <w:sz w:val="18"/>
                <w:szCs w:val="18"/>
                <w:color w:val="auto"/>
              </w:rPr>
            </w:pPr>
          </w:p>
        </w:tc>
        <w:tc>
          <w:tcPr>
            <w:tcW w:w="1440" w:type="dxa"/>
            <w:vAlign w:val="bottom"/>
          </w:tcPr>
          <w:p>
            <w:pPr>
              <w:jc w:val="center"/>
              <w:spacing w:after="0" w:line="217" w:lineRule="exact"/>
              <w:rPr>
                <w:sz w:val="20"/>
                <w:szCs w:val="20"/>
                <w:color w:val="auto"/>
              </w:rPr>
            </w:pPr>
            <w:r>
              <w:rPr>
                <w:rFonts w:ascii="Times New Roman" w:cs="Times New Roman" w:eastAsia="Times New Roman" w:hAnsi="Times New Roman"/>
                <w:sz w:val="19"/>
                <w:szCs w:val="19"/>
                <w:color w:val="auto"/>
                <w:w w:val="99"/>
              </w:rPr>
              <w:t>October 18, 2021</w:t>
            </w:r>
          </w:p>
        </w:tc>
      </w:tr>
    </w:tbl>
    <w:p>
      <w:pPr>
        <w:spacing w:after="0" w:line="200" w:lineRule="exact"/>
        <w:rPr>
          <w:sz w:val="20"/>
          <w:szCs w:val="20"/>
          <w:color w:val="auto"/>
        </w:rPr>
      </w:pPr>
    </w:p>
    <w:p>
      <w:pPr>
        <w:sectPr>
          <w:pgSz w:w="12240" w:h="15840" w:orient="portrait"/>
          <w:cols w:equalWidth="0" w:num="1">
            <w:col w:w="10200"/>
          </w:cols>
          <w:pgMar w:left="1020" w:top="1335" w:right="1020" w:bottom="556" w:gutter="0" w:footer="0" w:header="0"/>
        </w:sect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ectPr>
          <w:pgSz w:w="12240" w:h="15840" w:orient="portrait"/>
          <w:cols w:equalWidth="0" w:num="1">
            <w:col w:w="10200"/>
          </w:cols>
          <w:pgMar w:left="1020" w:top="1335" w:right="1020" w:bottom="556" w:gutter="0" w:footer="0" w:header="0"/>
          <w:type w:val="continuous"/>
        </w:sectPr>
      </w:pPr>
    </w:p>
    <w:bookmarkStart w:id="120" w:name="page121"/>
    <w:bookmarkEnd w:id="120"/>
    <w:tbl>
      <w:tblPr>
        <w:tblLayout w:type="fixed"/>
        <w:tblInd w:w="0" w:type="dxa"/>
        <w:tblCellMar>
          <w:top w:w="0" w:type="dxa"/>
          <w:left w:w="0" w:type="dxa"/>
          <w:bottom w:w="0" w:type="dxa"/>
          <w:right w:w="0" w:type="dxa"/>
        </w:tblCellMar>
      </w:tblPr>
      <w:tr>
        <w:trPr>
          <w:trHeight w:val="218"/>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10.9</w:t>
            </w:r>
          </w:p>
        </w:tc>
        <w:tc>
          <w:tcPr>
            <w:tcW w:w="492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Second Amended and Restated 2022 Inducement Stock</w:t>
            </w:r>
          </w:p>
        </w:tc>
      </w:tr>
      <w:tr>
        <w:trPr>
          <w:trHeight w:val="217"/>
        </w:trPr>
        <w:tc>
          <w:tcPr>
            <w:tcW w:w="660" w:type="dxa"/>
            <w:vAlign w:val="bottom"/>
          </w:tcPr>
          <w:p>
            <w:pPr>
              <w:spacing w:after="0"/>
              <w:rPr>
                <w:sz w:val="18"/>
                <w:szCs w:val="18"/>
                <w:color w:val="auto"/>
              </w:rPr>
            </w:pPr>
          </w:p>
        </w:tc>
        <w:tc>
          <w:tcPr>
            <w:tcW w:w="4920" w:type="dxa"/>
            <w:vAlign w:val="bottom"/>
          </w:tcPr>
          <w:p>
            <w:pPr>
              <w:ind w:left="160"/>
              <w:spacing w:after="0" w:line="217" w:lineRule="exact"/>
              <w:rPr>
                <w:sz w:val="20"/>
                <w:szCs w:val="20"/>
                <w:color w:val="auto"/>
              </w:rPr>
            </w:pPr>
            <w:r>
              <w:rPr>
                <w:rFonts w:ascii="Times New Roman" w:cs="Times New Roman" w:eastAsia="Times New Roman" w:hAnsi="Times New Roman"/>
                <w:sz w:val="19"/>
                <w:szCs w:val="19"/>
                <w:color w:val="auto"/>
              </w:rPr>
              <w:t>Incentive Plan</w:t>
            </w:r>
          </w:p>
        </w:tc>
      </w:tr>
      <w:tr>
        <w:trPr>
          <w:trHeight w:val="217"/>
        </w:trPr>
        <w:tc>
          <w:tcPr>
            <w:tcW w:w="660" w:type="dxa"/>
            <w:vAlign w:val="bottom"/>
          </w:tcPr>
          <w:p>
            <w:pPr>
              <w:spacing w:after="0" w:line="217" w:lineRule="exact"/>
              <w:rPr>
                <w:sz w:val="20"/>
                <w:szCs w:val="20"/>
                <w:color w:val="auto"/>
              </w:rPr>
            </w:pPr>
            <w:r>
              <w:rPr>
                <w:rFonts w:ascii="Times New Roman" w:cs="Times New Roman" w:eastAsia="Times New Roman" w:hAnsi="Times New Roman"/>
                <w:sz w:val="19"/>
                <w:szCs w:val="19"/>
                <w:color w:val="auto"/>
              </w:rPr>
              <w:t>10.10</w:t>
            </w:r>
          </w:p>
        </w:tc>
        <w:tc>
          <w:tcPr>
            <w:tcW w:w="4920" w:type="dxa"/>
            <w:vAlign w:val="bottom"/>
          </w:tcPr>
          <w:p>
            <w:pPr>
              <w:ind w:left="160"/>
              <w:spacing w:after="0" w:line="217" w:lineRule="exact"/>
              <w:rPr>
                <w:sz w:val="20"/>
                <w:szCs w:val="20"/>
                <w:color w:val="auto"/>
              </w:rPr>
            </w:pPr>
            <w:r>
              <w:rPr>
                <w:rFonts w:ascii="Times New Roman" w:cs="Times New Roman" w:eastAsia="Times New Roman" w:hAnsi="Times New Roman"/>
                <w:sz w:val="19"/>
                <w:szCs w:val="19"/>
                <w:color w:val="auto"/>
              </w:rPr>
              <w:t>Form of Stock Option Agreement under the 2022 Inducement</w:t>
            </w:r>
          </w:p>
        </w:tc>
      </w:tr>
      <w:tr>
        <w:trPr>
          <w:trHeight w:val="217"/>
        </w:trPr>
        <w:tc>
          <w:tcPr>
            <w:tcW w:w="660" w:type="dxa"/>
            <w:vAlign w:val="bottom"/>
          </w:tcPr>
          <w:p>
            <w:pPr>
              <w:spacing w:after="0"/>
              <w:rPr>
                <w:sz w:val="18"/>
                <w:szCs w:val="18"/>
                <w:color w:val="auto"/>
              </w:rPr>
            </w:pPr>
          </w:p>
        </w:tc>
        <w:tc>
          <w:tcPr>
            <w:tcW w:w="4920" w:type="dxa"/>
            <w:vAlign w:val="bottom"/>
          </w:tcPr>
          <w:p>
            <w:pPr>
              <w:ind w:left="160"/>
              <w:spacing w:after="0" w:line="217" w:lineRule="exact"/>
              <w:rPr>
                <w:sz w:val="20"/>
                <w:szCs w:val="20"/>
                <w:color w:val="auto"/>
              </w:rPr>
            </w:pPr>
            <w:r>
              <w:rPr>
                <w:rFonts w:ascii="Times New Roman" w:cs="Times New Roman" w:eastAsia="Times New Roman" w:hAnsi="Times New Roman"/>
                <w:sz w:val="19"/>
                <w:szCs w:val="19"/>
                <w:color w:val="auto"/>
              </w:rPr>
              <w:t>Stock Incentive Plan</w:t>
            </w:r>
          </w:p>
        </w:tc>
      </w:tr>
      <w:tr>
        <w:trPr>
          <w:trHeight w:val="217"/>
        </w:trPr>
        <w:tc>
          <w:tcPr>
            <w:tcW w:w="660" w:type="dxa"/>
            <w:vAlign w:val="bottom"/>
          </w:tcPr>
          <w:p>
            <w:pPr>
              <w:spacing w:after="0" w:line="217" w:lineRule="exact"/>
              <w:rPr>
                <w:sz w:val="20"/>
                <w:szCs w:val="20"/>
                <w:color w:val="auto"/>
              </w:rPr>
            </w:pPr>
            <w:r>
              <w:rPr>
                <w:rFonts w:ascii="Times New Roman" w:cs="Times New Roman" w:eastAsia="Times New Roman" w:hAnsi="Times New Roman"/>
                <w:sz w:val="19"/>
                <w:szCs w:val="19"/>
                <w:color w:val="auto"/>
              </w:rPr>
              <w:t>10.11</w:t>
            </w:r>
          </w:p>
        </w:tc>
        <w:tc>
          <w:tcPr>
            <w:tcW w:w="4920" w:type="dxa"/>
            <w:vAlign w:val="bottom"/>
          </w:tcPr>
          <w:p>
            <w:pPr>
              <w:ind w:left="160"/>
              <w:spacing w:after="0" w:line="217" w:lineRule="exact"/>
              <w:rPr>
                <w:sz w:val="20"/>
                <w:szCs w:val="20"/>
                <w:color w:val="auto"/>
              </w:rPr>
            </w:pPr>
            <w:r>
              <w:rPr>
                <w:rFonts w:ascii="Times New Roman" w:cs="Times New Roman" w:eastAsia="Times New Roman" w:hAnsi="Times New Roman"/>
                <w:sz w:val="19"/>
                <w:szCs w:val="19"/>
                <w:color w:val="auto"/>
              </w:rPr>
              <w:t>Form of Restricted Stock Unit Agreement under the 2022</w:t>
            </w:r>
          </w:p>
        </w:tc>
      </w:tr>
      <w:tr>
        <w:trPr>
          <w:trHeight w:val="217"/>
        </w:trPr>
        <w:tc>
          <w:tcPr>
            <w:tcW w:w="660" w:type="dxa"/>
            <w:vAlign w:val="bottom"/>
          </w:tcPr>
          <w:p>
            <w:pPr>
              <w:spacing w:after="0"/>
              <w:rPr>
                <w:sz w:val="18"/>
                <w:szCs w:val="18"/>
                <w:color w:val="auto"/>
              </w:rPr>
            </w:pPr>
          </w:p>
        </w:tc>
        <w:tc>
          <w:tcPr>
            <w:tcW w:w="4920" w:type="dxa"/>
            <w:vAlign w:val="bottom"/>
          </w:tcPr>
          <w:p>
            <w:pPr>
              <w:ind w:left="160"/>
              <w:spacing w:after="0" w:line="217" w:lineRule="exact"/>
              <w:rPr>
                <w:sz w:val="20"/>
                <w:szCs w:val="20"/>
                <w:color w:val="auto"/>
              </w:rPr>
            </w:pPr>
            <w:r>
              <w:rPr>
                <w:rFonts w:ascii="Times New Roman" w:cs="Times New Roman" w:eastAsia="Times New Roman" w:hAnsi="Times New Roman"/>
                <w:sz w:val="19"/>
                <w:szCs w:val="19"/>
                <w:color w:val="auto"/>
              </w:rPr>
              <w:t>Inducement Stock Incentive Plan</w:t>
            </w:r>
          </w:p>
        </w:tc>
      </w:tr>
      <w:tr>
        <w:trPr>
          <w:trHeight w:val="217"/>
        </w:trPr>
        <w:tc>
          <w:tcPr>
            <w:tcW w:w="660" w:type="dxa"/>
            <w:vAlign w:val="bottom"/>
          </w:tcPr>
          <w:p>
            <w:pPr>
              <w:spacing w:after="0" w:line="217" w:lineRule="exact"/>
              <w:rPr>
                <w:sz w:val="20"/>
                <w:szCs w:val="20"/>
                <w:color w:val="auto"/>
              </w:rPr>
            </w:pPr>
            <w:r>
              <w:rPr>
                <w:rFonts w:ascii="Times New Roman" w:cs="Times New Roman" w:eastAsia="Times New Roman" w:hAnsi="Times New Roman"/>
                <w:sz w:val="19"/>
                <w:szCs w:val="19"/>
                <w:color w:val="auto"/>
              </w:rPr>
              <w:t>10.12</w:t>
            </w:r>
          </w:p>
        </w:tc>
        <w:tc>
          <w:tcPr>
            <w:tcW w:w="4920" w:type="dxa"/>
            <w:vAlign w:val="bottom"/>
          </w:tcPr>
          <w:p>
            <w:pPr>
              <w:ind w:left="160"/>
              <w:spacing w:after="0" w:line="217" w:lineRule="exact"/>
              <w:rPr>
                <w:sz w:val="20"/>
                <w:szCs w:val="20"/>
                <w:color w:val="auto"/>
              </w:rPr>
            </w:pPr>
            <w:r>
              <w:rPr>
                <w:rFonts w:ascii="Times New Roman" w:cs="Times New Roman" w:eastAsia="Times New Roman" w:hAnsi="Times New Roman"/>
                <w:sz w:val="19"/>
                <w:szCs w:val="19"/>
                <w:color w:val="auto"/>
              </w:rPr>
              <w:t>2025 Stock Incentive Plan</w:t>
            </w:r>
          </w:p>
        </w:tc>
      </w:tr>
      <w:tr>
        <w:trPr>
          <w:trHeight w:val="217"/>
        </w:trPr>
        <w:tc>
          <w:tcPr>
            <w:tcW w:w="660" w:type="dxa"/>
            <w:vAlign w:val="bottom"/>
          </w:tcPr>
          <w:p>
            <w:pPr>
              <w:spacing w:after="0" w:line="217" w:lineRule="exact"/>
              <w:rPr>
                <w:sz w:val="20"/>
                <w:szCs w:val="20"/>
                <w:color w:val="auto"/>
              </w:rPr>
            </w:pPr>
            <w:r>
              <w:rPr>
                <w:rFonts w:ascii="Times New Roman" w:cs="Times New Roman" w:eastAsia="Times New Roman" w:hAnsi="Times New Roman"/>
                <w:sz w:val="19"/>
                <w:szCs w:val="19"/>
                <w:color w:val="auto"/>
              </w:rPr>
              <w:t>10.13</w:t>
            </w:r>
          </w:p>
        </w:tc>
        <w:tc>
          <w:tcPr>
            <w:tcW w:w="4920" w:type="dxa"/>
            <w:vAlign w:val="bottom"/>
          </w:tcPr>
          <w:p>
            <w:pPr>
              <w:ind w:left="160"/>
              <w:spacing w:after="0" w:line="217" w:lineRule="exact"/>
              <w:rPr>
                <w:sz w:val="20"/>
                <w:szCs w:val="20"/>
                <w:color w:val="auto"/>
              </w:rPr>
            </w:pPr>
            <w:r>
              <w:rPr>
                <w:rFonts w:ascii="Times New Roman" w:cs="Times New Roman" w:eastAsia="Times New Roman" w:hAnsi="Times New Roman"/>
                <w:sz w:val="19"/>
                <w:szCs w:val="19"/>
                <w:color w:val="auto"/>
              </w:rPr>
              <w:t>Form of Tranche 1 Stock Option Agreement under the 2025</w:t>
            </w:r>
          </w:p>
        </w:tc>
      </w:tr>
      <w:tr>
        <w:trPr>
          <w:trHeight w:val="217"/>
        </w:trPr>
        <w:tc>
          <w:tcPr>
            <w:tcW w:w="660" w:type="dxa"/>
            <w:vAlign w:val="bottom"/>
          </w:tcPr>
          <w:p>
            <w:pPr>
              <w:spacing w:after="0"/>
              <w:rPr>
                <w:sz w:val="18"/>
                <w:szCs w:val="18"/>
                <w:color w:val="auto"/>
              </w:rPr>
            </w:pPr>
          </w:p>
        </w:tc>
        <w:tc>
          <w:tcPr>
            <w:tcW w:w="4920" w:type="dxa"/>
            <w:vAlign w:val="bottom"/>
          </w:tcPr>
          <w:p>
            <w:pPr>
              <w:ind w:left="160"/>
              <w:spacing w:after="0" w:line="217" w:lineRule="exact"/>
              <w:rPr>
                <w:sz w:val="20"/>
                <w:szCs w:val="20"/>
                <w:color w:val="auto"/>
              </w:rPr>
            </w:pPr>
            <w:r>
              <w:rPr>
                <w:rFonts w:ascii="Times New Roman" w:cs="Times New Roman" w:eastAsia="Times New Roman" w:hAnsi="Times New Roman"/>
                <w:sz w:val="19"/>
                <w:szCs w:val="19"/>
                <w:color w:val="auto"/>
              </w:rPr>
              <w:t>Stock Incentive Plan</w:t>
            </w:r>
          </w:p>
        </w:tc>
      </w:tr>
      <w:tr>
        <w:trPr>
          <w:trHeight w:val="217"/>
        </w:trPr>
        <w:tc>
          <w:tcPr>
            <w:tcW w:w="660" w:type="dxa"/>
            <w:vAlign w:val="bottom"/>
          </w:tcPr>
          <w:p>
            <w:pPr>
              <w:spacing w:after="0" w:line="217" w:lineRule="exact"/>
              <w:rPr>
                <w:sz w:val="20"/>
                <w:szCs w:val="20"/>
                <w:color w:val="auto"/>
              </w:rPr>
            </w:pPr>
            <w:r>
              <w:rPr>
                <w:rFonts w:ascii="Times New Roman" w:cs="Times New Roman" w:eastAsia="Times New Roman" w:hAnsi="Times New Roman"/>
                <w:sz w:val="19"/>
                <w:szCs w:val="19"/>
                <w:color w:val="auto"/>
              </w:rPr>
              <w:t>10.14</w:t>
            </w:r>
          </w:p>
        </w:tc>
        <w:tc>
          <w:tcPr>
            <w:tcW w:w="4920" w:type="dxa"/>
            <w:vAlign w:val="bottom"/>
          </w:tcPr>
          <w:p>
            <w:pPr>
              <w:ind w:left="160"/>
              <w:spacing w:after="0" w:line="217" w:lineRule="exact"/>
              <w:rPr>
                <w:sz w:val="20"/>
                <w:szCs w:val="20"/>
                <w:color w:val="auto"/>
              </w:rPr>
            </w:pPr>
            <w:r>
              <w:rPr>
                <w:rFonts w:ascii="Times New Roman" w:cs="Times New Roman" w:eastAsia="Times New Roman" w:hAnsi="Times New Roman"/>
                <w:sz w:val="19"/>
                <w:szCs w:val="19"/>
                <w:color w:val="auto"/>
              </w:rPr>
              <w:t>Form of Performance Options Stock Option Agreement under</w:t>
            </w:r>
          </w:p>
        </w:tc>
      </w:tr>
      <w:tr>
        <w:trPr>
          <w:trHeight w:val="217"/>
        </w:trPr>
        <w:tc>
          <w:tcPr>
            <w:tcW w:w="660" w:type="dxa"/>
            <w:vAlign w:val="bottom"/>
          </w:tcPr>
          <w:p>
            <w:pPr>
              <w:spacing w:after="0"/>
              <w:rPr>
                <w:sz w:val="18"/>
                <w:szCs w:val="18"/>
                <w:color w:val="auto"/>
              </w:rPr>
            </w:pPr>
          </w:p>
        </w:tc>
        <w:tc>
          <w:tcPr>
            <w:tcW w:w="4920" w:type="dxa"/>
            <w:vAlign w:val="bottom"/>
          </w:tcPr>
          <w:p>
            <w:pPr>
              <w:ind w:left="160"/>
              <w:spacing w:after="0" w:line="217" w:lineRule="exact"/>
              <w:rPr>
                <w:sz w:val="20"/>
                <w:szCs w:val="20"/>
                <w:color w:val="auto"/>
              </w:rPr>
            </w:pPr>
            <w:r>
              <w:rPr>
                <w:rFonts w:ascii="Times New Roman" w:cs="Times New Roman" w:eastAsia="Times New Roman" w:hAnsi="Times New Roman"/>
                <w:sz w:val="19"/>
                <w:szCs w:val="19"/>
                <w:color w:val="auto"/>
              </w:rPr>
              <w:t>the 2025 Stock Incentive Plan</w:t>
            </w:r>
          </w:p>
        </w:tc>
      </w:tr>
      <w:tr>
        <w:trPr>
          <w:trHeight w:val="217"/>
        </w:trPr>
        <w:tc>
          <w:tcPr>
            <w:tcW w:w="660" w:type="dxa"/>
            <w:vAlign w:val="bottom"/>
          </w:tcPr>
          <w:p>
            <w:pPr>
              <w:spacing w:after="0" w:line="217" w:lineRule="exact"/>
              <w:rPr>
                <w:sz w:val="20"/>
                <w:szCs w:val="20"/>
                <w:color w:val="auto"/>
              </w:rPr>
            </w:pPr>
            <w:r>
              <w:rPr>
                <w:rFonts w:ascii="Times New Roman" w:cs="Times New Roman" w:eastAsia="Times New Roman" w:hAnsi="Times New Roman"/>
                <w:sz w:val="19"/>
                <w:szCs w:val="19"/>
                <w:color w:val="auto"/>
              </w:rPr>
              <w:t>10.15#</w:t>
            </w:r>
          </w:p>
        </w:tc>
        <w:tc>
          <w:tcPr>
            <w:tcW w:w="4920" w:type="dxa"/>
            <w:vAlign w:val="bottom"/>
          </w:tcPr>
          <w:p>
            <w:pPr>
              <w:ind w:left="160"/>
              <w:spacing w:after="0" w:line="217" w:lineRule="exact"/>
              <w:rPr>
                <w:sz w:val="20"/>
                <w:szCs w:val="20"/>
                <w:color w:val="auto"/>
              </w:rPr>
            </w:pPr>
            <w:r>
              <w:rPr>
                <w:rFonts w:ascii="Times New Roman" w:cs="Times New Roman" w:eastAsia="Times New Roman" w:hAnsi="Times New Roman"/>
                <w:sz w:val="19"/>
                <w:szCs w:val="19"/>
                <w:color w:val="auto"/>
              </w:rPr>
              <w:t>Amended and Restated Employment Agreement, dated</w:t>
            </w:r>
          </w:p>
        </w:tc>
      </w:tr>
      <w:tr>
        <w:trPr>
          <w:trHeight w:val="217"/>
        </w:trPr>
        <w:tc>
          <w:tcPr>
            <w:tcW w:w="660" w:type="dxa"/>
            <w:vAlign w:val="bottom"/>
          </w:tcPr>
          <w:p>
            <w:pPr>
              <w:spacing w:after="0"/>
              <w:rPr>
                <w:sz w:val="18"/>
                <w:szCs w:val="18"/>
                <w:color w:val="auto"/>
              </w:rPr>
            </w:pPr>
          </w:p>
        </w:tc>
        <w:tc>
          <w:tcPr>
            <w:tcW w:w="4920" w:type="dxa"/>
            <w:vAlign w:val="bottom"/>
          </w:tcPr>
          <w:p>
            <w:pPr>
              <w:ind w:left="160"/>
              <w:spacing w:after="0" w:line="217" w:lineRule="exact"/>
              <w:rPr>
                <w:sz w:val="20"/>
                <w:szCs w:val="20"/>
                <w:color w:val="auto"/>
              </w:rPr>
            </w:pPr>
            <w:r>
              <w:rPr>
                <w:rFonts w:ascii="Times New Roman" w:cs="Times New Roman" w:eastAsia="Times New Roman" w:hAnsi="Times New Roman"/>
                <w:sz w:val="19"/>
                <w:szCs w:val="19"/>
                <w:color w:val="auto"/>
              </w:rPr>
              <w:t>January 1, 2026, by and between the Registrant and René</w:t>
            </w:r>
          </w:p>
        </w:tc>
      </w:tr>
      <w:tr>
        <w:trPr>
          <w:trHeight w:val="217"/>
        </w:trPr>
        <w:tc>
          <w:tcPr>
            <w:tcW w:w="660" w:type="dxa"/>
            <w:vAlign w:val="bottom"/>
          </w:tcPr>
          <w:p>
            <w:pPr>
              <w:spacing w:after="0"/>
              <w:rPr>
                <w:sz w:val="18"/>
                <w:szCs w:val="18"/>
                <w:color w:val="auto"/>
              </w:rPr>
            </w:pPr>
          </w:p>
        </w:tc>
        <w:tc>
          <w:tcPr>
            <w:tcW w:w="4920" w:type="dxa"/>
            <w:vAlign w:val="bottom"/>
          </w:tcPr>
          <w:p>
            <w:pPr>
              <w:ind w:left="160"/>
              <w:spacing w:after="0" w:line="217" w:lineRule="exact"/>
              <w:rPr>
                <w:sz w:val="20"/>
                <w:szCs w:val="20"/>
                <w:color w:val="auto"/>
              </w:rPr>
            </w:pPr>
            <w:r>
              <w:rPr>
                <w:rFonts w:ascii="Times New Roman" w:cs="Times New Roman" w:eastAsia="Times New Roman" w:hAnsi="Times New Roman"/>
                <w:sz w:val="19"/>
                <w:szCs w:val="19"/>
                <w:color w:val="auto"/>
              </w:rPr>
              <w:t>Russo</w:t>
            </w:r>
          </w:p>
        </w:tc>
      </w:tr>
      <w:tr>
        <w:trPr>
          <w:trHeight w:val="217"/>
        </w:trPr>
        <w:tc>
          <w:tcPr>
            <w:tcW w:w="660" w:type="dxa"/>
            <w:vAlign w:val="bottom"/>
          </w:tcPr>
          <w:p>
            <w:pPr>
              <w:spacing w:after="0" w:line="217" w:lineRule="exact"/>
              <w:rPr>
                <w:sz w:val="20"/>
                <w:szCs w:val="20"/>
                <w:color w:val="auto"/>
              </w:rPr>
            </w:pPr>
            <w:r>
              <w:rPr>
                <w:rFonts w:ascii="Times New Roman" w:cs="Times New Roman" w:eastAsia="Times New Roman" w:hAnsi="Times New Roman"/>
                <w:sz w:val="19"/>
                <w:szCs w:val="19"/>
                <w:color w:val="auto"/>
              </w:rPr>
              <w:t>10.16#</w:t>
            </w:r>
          </w:p>
        </w:tc>
        <w:tc>
          <w:tcPr>
            <w:tcW w:w="4920" w:type="dxa"/>
            <w:vAlign w:val="bottom"/>
          </w:tcPr>
          <w:p>
            <w:pPr>
              <w:ind w:left="160"/>
              <w:spacing w:after="0" w:line="217" w:lineRule="exact"/>
              <w:rPr>
                <w:sz w:val="20"/>
                <w:szCs w:val="20"/>
                <w:color w:val="auto"/>
              </w:rPr>
            </w:pPr>
            <w:r>
              <w:rPr>
                <w:rFonts w:ascii="Times New Roman" w:cs="Times New Roman" w:eastAsia="Times New Roman" w:hAnsi="Times New Roman"/>
                <w:sz w:val="19"/>
                <w:szCs w:val="19"/>
                <w:color w:val="auto"/>
              </w:rPr>
              <w:t>Third Amended and Restated Employment Agreement, dated</w:t>
            </w:r>
          </w:p>
        </w:tc>
      </w:tr>
      <w:tr>
        <w:trPr>
          <w:trHeight w:val="217"/>
        </w:trPr>
        <w:tc>
          <w:tcPr>
            <w:tcW w:w="660" w:type="dxa"/>
            <w:vAlign w:val="bottom"/>
          </w:tcPr>
          <w:p>
            <w:pPr>
              <w:spacing w:after="0"/>
              <w:rPr>
                <w:sz w:val="18"/>
                <w:szCs w:val="18"/>
                <w:color w:val="auto"/>
              </w:rPr>
            </w:pPr>
          </w:p>
        </w:tc>
        <w:tc>
          <w:tcPr>
            <w:tcW w:w="4920" w:type="dxa"/>
            <w:vAlign w:val="bottom"/>
          </w:tcPr>
          <w:p>
            <w:pPr>
              <w:ind w:left="160"/>
              <w:spacing w:after="0" w:line="217" w:lineRule="exact"/>
              <w:rPr>
                <w:sz w:val="20"/>
                <w:szCs w:val="20"/>
                <w:color w:val="auto"/>
              </w:rPr>
            </w:pPr>
            <w:r>
              <w:rPr>
                <w:rFonts w:ascii="Times New Roman" w:cs="Times New Roman" w:eastAsia="Times New Roman" w:hAnsi="Times New Roman"/>
                <w:sz w:val="19"/>
                <w:szCs w:val="19"/>
                <w:color w:val="auto"/>
              </w:rPr>
              <w:t>August 3, 2024, by and between the Registrant and</w:t>
            </w:r>
          </w:p>
        </w:tc>
      </w:tr>
      <w:tr>
        <w:trPr>
          <w:trHeight w:val="217"/>
        </w:trPr>
        <w:tc>
          <w:tcPr>
            <w:tcW w:w="660" w:type="dxa"/>
            <w:vAlign w:val="bottom"/>
          </w:tcPr>
          <w:p>
            <w:pPr>
              <w:spacing w:after="0"/>
              <w:rPr>
                <w:sz w:val="18"/>
                <w:szCs w:val="18"/>
                <w:color w:val="auto"/>
              </w:rPr>
            </w:pPr>
          </w:p>
        </w:tc>
        <w:tc>
          <w:tcPr>
            <w:tcW w:w="4920" w:type="dxa"/>
            <w:vAlign w:val="bottom"/>
          </w:tcPr>
          <w:p>
            <w:pPr>
              <w:ind w:left="160"/>
              <w:spacing w:after="0" w:line="217" w:lineRule="exact"/>
              <w:rPr>
                <w:sz w:val="20"/>
                <w:szCs w:val="20"/>
                <w:color w:val="auto"/>
              </w:rPr>
            </w:pPr>
            <w:r>
              <w:rPr>
                <w:rFonts w:ascii="Times New Roman" w:cs="Times New Roman" w:eastAsia="Times New Roman" w:hAnsi="Times New Roman"/>
                <w:sz w:val="19"/>
                <w:szCs w:val="19"/>
                <w:color w:val="auto"/>
              </w:rPr>
              <w:t>Christopher Frankenfield</w:t>
            </w:r>
          </w:p>
        </w:tc>
      </w:tr>
      <w:tr>
        <w:trPr>
          <w:trHeight w:val="217"/>
        </w:trPr>
        <w:tc>
          <w:tcPr>
            <w:tcW w:w="660" w:type="dxa"/>
            <w:vAlign w:val="bottom"/>
          </w:tcPr>
          <w:p>
            <w:pPr>
              <w:spacing w:after="0" w:line="217" w:lineRule="exact"/>
              <w:rPr>
                <w:sz w:val="20"/>
                <w:szCs w:val="20"/>
                <w:color w:val="auto"/>
              </w:rPr>
            </w:pPr>
            <w:r>
              <w:rPr>
                <w:rFonts w:ascii="Times New Roman" w:cs="Times New Roman" w:eastAsia="Times New Roman" w:hAnsi="Times New Roman"/>
                <w:sz w:val="19"/>
                <w:szCs w:val="19"/>
                <w:color w:val="auto"/>
              </w:rPr>
              <w:t>10.17#</w:t>
            </w:r>
          </w:p>
        </w:tc>
        <w:tc>
          <w:tcPr>
            <w:tcW w:w="4920" w:type="dxa"/>
            <w:vAlign w:val="bottom"/>
          </w:tcPr>
          <w:p>
            <w:pPr>
              <w:ind w:left="160"/>
              <w:spacing w:after="0" w:line="217" w:lineRule="exact"/>
              <w:rPr>
                <w:sz w:val="20"/>
                <w:szCs w:val="20"/>
                <w:color w:val="auto"/>
              </w:rPr>
            </w:pPr>
            <w:r>
              <w:rPr>
                <w:rFonts w:ascii="Times New Roman" w:cs="Times New Roman" w:eastAsia="Times New Roman" w:hAnsi="Times New Roman"/>
                <w:sz w:val="19"/>
                <w:szCs w:val="19"/>
                <w:color w:val="auto"/>
              </w:rPr>
              <w:t>Employment Agreement, dated September 5, 2023, by and</w:t>
            </w:r>
          </w:p>
        </w:tc>
      </w:tr>
      <w:tr>
        <w:trPr>
          <w:trHeight w:val="217"/>
        </w:trPr>
        <w:tc>
          <w:tcPr>
            <w:tcW w:w="660" w:type="dxa"/>
            <w:vAlign w:val="bottom"/>
          </w:tcPr>
          <w:p>
            <w:pPr>
              <w:spacing w:after="0"/>
              <w:rPr>
                <w:sz w:val="18"/>
                <w:szCs w:val="18"/>
                <w:color w:val="auto"/>
              </w:rPr>
            </w:pPr>
          </w:p>
        </w:tc>
        <w:tc>
          <w:tcPr>
            <w:tcW w:w="4920" w:type="dxa"/>
            <w:vAlign w:val="bottom"/>
          </w:tcPr>
          <w:p>
            <w:pPr>
              <w:ind w:left="160"/>
              <w:spacing w:after="0" w:line="217" w:lineRule="exact"/>
              <w:rPr>
                <w:sz w:val="20"/>
                <w:szCs w:val="20"/>
                <w:color w:val="auto"/>
              </w:rPr>
            </w:pPr>
            <w:r>
              <w:rPr>
                <w:rFonts w:ascii="Times New Roman" w:cs="Times New Roman" w:eastAsia="Times New Roman" w:hAnsi="Times New Roman"/>
                <w:sz w:val="19"/>
                <w:szCs w:val="19"/>
                <w:color w:val="auto"/>
              </w:rPr>
              <w:t>between the Registrant and Kevin Brennan</w:t>
            </w:r>
          </w:p>
        </w:tc>
      </w:tr>
      <w:tr>
        <w:trPr>
          <w:trHeight w:val="217"/>
        </w:trPr>
        <w:tc>
          <w:tcPr>
            <w:tcW w:w="660" w:type="dxa"/>
            <w:vAlign w:val="bottom"/>
          </w:tcPr>
          <w:p>
            <w:pPr>
              <w:spacing w:after="0" w:line="217" w:lineRule="exact"/>
              <w:rPr>
                <w:sz w:val="20"/>
                <w:szCs w:val="20"/>
                <w:color w:val="auto"/>
              </w:rPr>
            </w:pPr>
            <w:r>
              <w:rPr>
                <w:rFonts w:ascii="Times New Roman" w:cs="Times New Roman" w:eastAsia="Times New Roman" w:hAnsi="Times New Roman"/>
                <w:sz w:val="19"/>
                <w:szCs w:val="19"/>
                <w:color w:val="auto"/>
              </w:rPr>
              <w:t>10.18#</w:t>
            </w:r>
          </w:p>
        </w:tc>
        <w:tc>
          <w:tcPr>
            <w:tcW w:w="4920" w:type="dxa"/>
            <w:vAlign w:val="bottom"/>
          </w:tcPr>
          <w:p>
            <w:pPr>
              <w:ind w:left="160"/>
              <w:spacing w:after="0" w:line="217" w:lineRule="exact"/>
              <w:rPr>
                <w:sz w:val="20"/>
                <w:szCs w:val="20"/>
                <w:color w:val="auto"/>
              </w:rPr>
            </w:pPr>
            <w:r>
              <w:rPr>
                <w:rFonts w:ascii="Times New Roman" w:cs="Times New Roman" w:eastAsia="Times New Roman" w:hAnsi="Times New Roman"/>
                <w:sz w:val="19"/>
                <w:szCs w:val="19"/>
                <w:color w:val="auto"/>
              </w:rPr>
              <w:t>Employment Agreement, dated September 5, 2023, by and</w:t>
            </w:r>
          </w:p>
        </w:tc>
      </w:tr>
      <w:tr>
        <w:trPr>
          <w:trHeight w:val="217"/>
        </w:trPr>
        <w:tc>
          <w:tcPr>
            <w:tcW w:w="660" w:type="dxa"/>
            <w:vAlign w:val="bottom"/>
          </w:tcPr>
          <w:p>
            <w:pPr>
              <w:spacing w:after="0"/>
              <w:rPr>
                <w:sz w:val="18"/>
                <w:szCs w:val="18"/>
                <w:color w:val="auto"/>
              </w:rPr>
            </w:pPr>
          </w:p>
        </w:tc>
        <w:tc>
          <w:tcPr>
            <w:tcW w:w="4920" w:type="dxa"/>
            <w:vAlign w:val="bottom"/>
          </w:tcPr>
          <w:p>
            <w:pPr>
              <w:ind w:left="160"/>
              <w:spacing w:after="0" w:line="217" w:lineRule="exact"/>
              <w:rPr>
                <w:sz w:val="20"/>
                <w:szCs w:val="20"/>
                <w:color w:val="auto"/>
              </w:rPr>
            </w:pPr>
            <w:r>
              <w:rPr>
                <w:rFonts w:ascii="Times New Roman" w:cs="Times New Roman" w:eastAsia="Times New Roman" w:hAnsi="Times New Roman"/>
                <w:sz w:val="19"/>
                <w:szCs w:val="19"/>
                <w:color w:val="auto"/>
              </w:rPr>
              <w:t>between the Registrant and Katarina Luptakova, M.D.</w:t>
            </w:r>
          </w:p>
        </w:tc>
      </w:tr>
      <w:tr>
        <w:trPr>
          <w:trHeight w:val="217"/>
        </w:trPr>
        <w:tc>
          <w:tcPr>
            <w:tcW w:w="660" w:type="dxa"/>
            <w:vAlign w:val="bottom"/>
          </w:tcPr>
          <w:p>
            <w:pPr>
              <w:spacing w:after="0" w:line="217" w:lineRule="exact"/>
              <w:rPr>
                <w:sz w:val="20"/>
                <w:szCs w:val="20"/>
                <w:color w:val="auto"/>
              </w:rPr>
            </w:pPr>
            <w:r>
              <w:rPr>
                <w:rFonts w:ascii="Times New Roman" w:cs="Times New Roman" w:eastAsia="Times New Roman" w:hAnsi="Times New Roman"/>
                <w:sz w:val="19"/>
                <w:szCs w:val="19"/>
                <w:color w:val="auto"/>
              </w:rPr>
              <w:t>10.19</w:t>
            </w:r>
          </w:p>
        </w:tc>
        <w:tc>
          <w:tcPr>
            <w:tcW w:w="4920" w:type="dxa"/>
            <w:vAlign w:val="bottom"/>
          </w:tcPr>
          <w:p>
            <w:pPr>
              <w:ind w:left="160"/>
              <w:spacing w:after="0" w:line="217" w:lineRule="exact"/>
              <w:rPr>
                <w:sz w:val="20"/>
                <w:szCs w:val="20"/>
                <w:color w:val="auto"/>
              </w:rPr>
            </w:pPr>
            <w:r>
              <w:rPr>
                <w:rFonts w:ascii="Times New Roman" w:cs="Times New Roman" w:eastAsia="Times New Roman" w:hAnsi="Times New Roman"/>
                <w:sz w:val="19"/>
                <w:szCs w:val="19"/>
                <w:color w:val="auto"/>
              </w:rPr>
              <w:t>Form of Indemnification Agreement between the Registrant</w:t>
            </w:r>
          </w:p>
        </w:tc>
      </w:tr>
      <w:tr>
        <w:trPr>
          <w:trHeight w:val="217"/>
        </w:trPr>
        <w:tc>
          <w:tcPr>
            <w:tcW w:w="660" w:type="dxa"/>
            <w:vAlign w:val="bottom"/>
          </w:tcPr>
          <w:p>
            <w:pPr>
              <w:spacing w:after="0"/>
              <w:rPr>
                <w:sz w:val="18"/>
                <w:szCs w:val="18"/>
                <w:color w:val="auto"/>
              </w:rPr>
            </w:pPr>
          </w:p>
        </w:tc>
        <w:tc>
          <w:tcPr>
            <w:tcW w:w="4920" w:type="dxa"/>
            <w:vAlign w:val="bottom"/>
          </w:tcPr>
          <w:p>
            <w:pPr>
              <w:ind w:left="160"/>
              <w:spacing w:after="0" w:line="217" w:lineRule="exact"/>
              <w:rPr>
                <w:sz w:val="20"/>
                <w:szCs w:val="20"/>
                <w:color w:val="auto"/>
              </w:rPr>
            </w:pPr>
            <w:r>
              <w:rPr>
                <w:rFonts w:ascii="Times New Roman" w:cs="Times New Roman" w:eastAsia="Times New Roman" w:hAnsi="Times New Roman"/>
                <w:sz w:val="19"/>
                <w:szCs w:val="19"/>
                <w:color w:val="auto"/>
              </w:rPr>
              <w:t>and each of its Executive Officers and Directors</w:t>
            </w:r>
          </w:p>
        </w:tc>
      </w:tr>
      <w:tr>
        <w:trPr>
          <w:trHeight w:val="217"/>
        </w:trPr>
        <w:tc>
          <w:tcPr>
            <w:tcW w:w="660" w:type="dxa"/>
            <w:vAlign w:val="bottom"/>
          </w:tcPr>
          <w:p>
            <w:pPr>
              <w:spacing w:after="0" w:line="217" w:lineRule="exact"/>
              <w:rPr>
                <w:sz w:val="20"/>
                <w:szCs w:val="20"/>
                <w:color w:val="auto"/>
              </w:rPr>
            </w:pPr>
            <w:r>
              <w:rPr>
                <w:rFonts w:ascii="Times New Roman" w:cs="Times New Roman" w:eastAsia="Times New Roman" w:hAnsi="Times New Roman"/>
                <w:sz w:val="19"/>
                <w:szCs w:val="19"/>
                <w:color w:val="auto"/>
              </w:rPr>
              <w:t>10.20</w:t>
            </w:r>
          </w:p>
        </w:tc>
        <w:tc>
          <w:tcPr>
            <w:tcW w:w="4920" w:type="dxa"/>
            <w:vAlign w:val="bottom"/>
          </w:tcPr>
          <w:p>
            <w:pPr>
              <w:ind w:left="160"/>
              <w:spacing w:after="0" w:line="217" w:lineRule="exact"/>
              <w:rPr>
                <w:sz w:val="20"/>
                <w:szCs w:val="20"/>
                <w:color w:val="auto"/>
              </w:rPr>
            </w:pPr>
            <w:r>
              <w:rPr>
                <w:rFonts w:ascii="Times New Roman" w:cs="Times New Roman" w:eastAsia="Times New Roman" w:hAnsi="Times New Roman"/>
                <w:sz w:val="19"/>
                <w:szCs w:val="19"/>
                <w:color w:val="auto"/>
                <w:w w:val="98"/>
              </w:rPr>
              <w:t>Amended and Restated Non-Employee Director Compensation</w:t>
            </w:r>
          </w:p>
        </w:tc>
      </w:tr>
      <w:tr>
        <w:trPr>
          <w:trHeight w:val="217"/>
        </w:trPr>
        <w:tc>
          <w:tcPr>
            <w:tcW w:w="660" w:type="dxa"/>
            <w:vAlign w:val="bottom"/>
          </w:tcPr>
          <w:p>
            <w:pPr>
              <w:spacing w:after="0"/>
              <w:rPr>
                <w:sz w:val="18"/>
                <w:szCs w:val="18"/>
                <w:color w:val="auto"/>
              </w:rPr>
            </w:pPr>
          </w:p>
        </w:tc>
        <w:tc>
          <w:tcPr>
            <w:tcW w:w="4920" w:type="dxa"/>
            <w:vAlign w:val="bottom"/>
          </w:tcPr>
          <w:p>
            <w:pPr>
              <w:ind w:left="160"/>
              <w:spacing w:after="0" w:line="217" w:lineRule="exact"/>
              <w:rPr>
                <w:sz w:val="20"/>
                <w:szCs w:val="20"/>
                <w:color w:val="auto"/>
              </w:rPr>
            </w:pPr>
            <w:r>
              <w:rPr>
                <w:rFonts w:ascii="Times New Roman" w:cs="Times New Roman" w:eastAsia="Times New Roman" w:hAnsi="Times New Roman"/>
                <w:sz w:val="19"/>
                <w:szCs w:val="19"/>
                <w:color w:val="auto"/>
              </w:rPr>
              <w:t>Policy</w:t>
            </w:r>
          </w:p>
        </w:tc>
      </w:tr>
      <w:tr>
        <w:trPr>
          <w:trHeight w:val="217"/>
        </w:trPr>
        <w:tc>
          <w:tcPr>
            <w:tcW w:w="660" w:type="dxa"/>
            <w:vAlign w:val="bottom"/>
          </w:tcPr>
          <w:p>
            <w:pPr>
              <w:spacing w:after="0" w:line="217" w:lineRule="exact"/>
              <w:rPr>
                <w:sz w:val="20"/>
                <w:szCs w:val="20"/>
                <w:color w:val="auto"/>
              </w:rPr>
            </w:pPr>
            <w:r>
              <w:rPr>
                <w:rFonts w:ascii="Times New Roman" w:cs="Times New Roman" w:eastAsia="Times New Roman" w:hAnsi="Times New Roman"/>
                <w:sz w:val="19"/>
                <w:szCs w:val="19"/>
                <w:color w:val="auto"/>
              </w:rPr>
              <w:t>10.21†</w:t>
            </w:r>
          </w:p>
        </w:tc>
        <w:tc>
          <w:tcPr>
            <w:tcW w:w="4920" w:type="dxa"/>
            <w:vAlign w:val="bottom"/>
          </w:tcPr>
          <w:p>
            <w:pPr>
              <w:ind w:left="160"/>
              <w:spacing w:after="0" w:line="217" w:lineRule="exact"/>
              <w:rPr>
                <w:sz w:val="20"/>
                <w:szCs w:val="20"/>
                <w:color w:val="auto"/>
              </w:rPr>
            </w:pPr>
            <w:r>
              <w:rPr>
                <w:rFonts w:ascii="Times New Roman" w:cs="Times New Roman" w:eastAsia="Times New Roman" w:hAnsi="Times New Roman"/>
                <w:sz w:val="19"/>
                <w:szCs w:val="19"/>
                <w:color w:val="auto"/>
                <w:w w:val="98"/>
              </w:rPr>
              <w:t>Amended and Restated Exclusive License Agreement, dated as</w:t>
            </w:r>
          </w:p>
        </w:tc>
      </w:tr>
      <w:tr>
        <w:trPr>
          <w:trHeight w:val="217"/>
        </w:trPr>
        <w:tc>
          <w:tcPr>
            <w:tcW w:w="660" w:type="dxa"/>
            <w:vAlign w:val="bottom"/>
          </w:tcPr>
          <w:p>
            <w:pPr>
              <w:spacing w:after="0"/>
              <w:rPr>
                <w:sz w:val="18"/>
                <w:szCs w:val="18"/>
                <w:color w:val="auto"/>
              </w:rPr>
            </w:pPr>
          </w:p>
        </w:tc>
        <w:tc>
          <w:tcPr>
            <w:tcW w:w="4920" w:type="dxa"/>
            <w:vAlign w:val="bottom"/>
          </w:tcPr>
          <w:p>
            <w:pPr>
              <w:ind w:left="160"/>
              <w:spacing w:after="0" w:line="217" w:lineRule="exact"/>
              <w:rPr>
                <w:sz w:val="20"/>
                <w:szCs w:val="20"/>
                <w:color w:val="auto"/>
              </w:rPr>
            </w:pPr>
            <w:r>
              <w:rPr>
                <w:rFonts w:ascii="Times New Roman" w:cs="Times New Roman" w:eastAsia="Times New Roman" w:hAnsi="Times New Roman"/>
                <w:sz w:val="19"/>
                <w:szCs w:val="19"/>
                <w:color w:val="auto"/>
                <w:w w:val="99"/>
              </w:rPr>
              <w:t>of August 16, 2016, by and between the Registrant and City of</w:t>
            </w:r>
          </w:p>
        </w:tc>
      </w:tr>
      <w:tr>
        <w:trPr>
          <w:trHeight w:val="217"/>
        </w:trPr>
        <w:tc>
          <w:tcPr>
            <w:tcW w:w="660" w:type="dxa"/>
            <w:vAlign w:val="bottom"/>
          </w:tcPr>
          <w:p>
            <w:pPr>
              <w:spacing w:after="0"/>
              <w:rPr>
                <w:sz w:val="18"/>
                <w:szCs w:val="18"/>
                <w:color w:val="auto"/>
              </w:rPr>
            </w:pPr>
          </w:p>
        </w:tc>
        <w:tc>
          <w:tcPr>
            <w:tcW w:w="4920" w:type="dxa"/>
            <w:vAlign w:val="bottom"/>
          </w:tcPr>
          <w:p>
            <w:pPr>
              <w:ind w:left="160"/>
              <w:spacing w:after="0" w:line="217" w:lineRule="exact"/>
              <w:rPr>
                <w:sz w:val="20"/>
                <w:szCs w:val="20"/>
                <w:color w:val="auto"/>
              </w:rPr>
            </w:pPr>
            <w:r>
              <w:rPr>
                <w:rFonts w:ascii="Times New Roman" w:cs="Times New Roman" w:eastAsia="Times New Roman" w:hAnsi="Times New Roman"/>
                <w:sz w:val="19"/>
                <w:szCs w:val="19"/>
                <w:color w:val="auto"/>
              </w:rPr>
              <w:t>Hope</w:t>
            </w:r>
          </w:p>
        </w:tc>
      </w:tr>
      <w:tr>
        <w:trPr>
          <w:trHeight w:val="217"/>
        </w:trPr>
        <w:tc>
          <w:tcPr>
            <w:tcW w:w="660" w:type="dxa"/>
            <w:vAlign w:val="bottom"/>
          </w:tcPr>
          <w:p>
            <w:pPr>
              <w:spacing w:after="0" w:line="217" w:lineRule="exact"/>
              <w:rPr>
                <w:sz w:val="20"/>
                <w:szCs w:val="20"/>
                <w:color w:val="auto"/>
              </w:rPr>
            </w:pPr>
            <w:r>
              <w:rPr>
                <w:rFonts w:ascii="Times New Roman" w:cs="Times New Roman" w:eastAsia="Times New Roman" w:hAnsi="Times New Roman"/>
                <w:sz w:val="19"/>
                <w:szCs w:val="19"/>
                <w:color w:val="auto"/>
              </w:rPr>
              <w:t>10.22†</w:t>
            </w:r>
          </w:p>
        </w:tc>
        <w:tc>
          <w:tcPr>
            <w:tcW w:w="4920" w:type="dxa"/>
            <w:vAlign w:val="bottom"/>
          </w:tcPr>
          <w:p>
            <w:pPr>
              <w:ind w:left="160"/>
              <w:spacing w:after="0" w:line="217" w:lineRule="exact"/>
              <w:rPr>
                <w:sz w:val="20"/>
                <w:szCs w:val="20"/>
                <w:color w:val="auto"/>
              </w:rPr>
            </w:pPr>
            <w:r>
              <w:rPr>
                <w:rFonts w:ascii="Times New Roman" w:cs="Times New Roman" w:eastAsia="Times New Roman" w:hAnsi="Times New Roman"/>
                <w:sz w:val="19"/>
                <w:szCs w:val="19"/>
                <w:color w:val="auto"/>
              </w:rPr>
              <w:t>License Agreement, dated as of September 26, 2016, as</w:t>
            </w:r>
          </w:p>
        </w:tc>
      </w:tr>
      <w:tr>
        <w:trPr>
          <w:trHeight w:val="217"/>
        </w:trPr>
        <w:tc>
          <w:tcPr>
            <w:tcW w:w="660" w:type="dxa"/>
            <w:vAlign w:val="bottom"/>
          </w:tcPr>
          <w:p>
            <w:pPr>
              <w:spacing w:after="0"/>
              <w:rPr>
                <w:sz w:val="18"/>
                <w:szCs w:val="18"/>
                <w:color w:val="auto"/>
              </w:rPr>
            </w:pPr>
          </w:p>
        </w:tc>
        <w:tc>
          <w:tcPr>
            <w:tcW w:w="4920" w:type="dxa"/>
            <w:vAlign w:val="bottom"/>
          </w:tcPr>
          <w:p>
            <w:pPr>
              <w:ind w:left="160"/>
              <w:spacing w:after="0" w:line="217" w:lineRule="exact"/>
              <w:rPr>
                <w:sz w:val="20"/>
                <w:szCs w:val="20"/>
                <w:color w:val="auto"/>
              </w:rPr>
            </w:pPr>
            <w:r>
              <w:rPr>
                <w:rFonts w:ascii="Times New Roman" w:cs="Times New Roman" w:eastAsia="Times New Roman" w:hAnsi="Times New Roman"/>
                <w:sz w:val="19"/>
                <w:szCs w:val="19"/>
                <w:color w:val="auto"/>
              </w:rPr>
              <w:t>amended, by and between the Registrant and WuXi Biologics</w:t>
            </w:r>
          </w:p>
        </w:tc>
      </w:tr>
      <w:tr>
        <w:trPr>
          <w:trHeight w:val="217"/>
        </w:trPr>
        <w:tc>
          <w:tcPr>
            <w:tcW w:w="660" w:type="dxa"/>
            <w:vAlign w:val="bottom"/>
          </w:tcPr>
          <w:p>
            <w:pPr>
              <w:spacing w:after="0"/>
              <w:rPr>
                <w:sz w:val="18"/>
                <w:szCs w:val="18"/>
                <w:color w:val="auto"/>
              </w:rPr>
            </w:pPr>
          </w:p>
        </w:tc>
        <w:tc>
          <w:tcPr>
            <w:tcW w:w="4920" w:type="dxa"/>
            <w:vAlign w:val="bottom"/>
          </w:tcPr>
          <w:p>
            <w:pPr>
              <w:ind w:left="160"/>
              <w:spacing w:after="0" w:line="217" w:lineRule="exact"/>
              <w:rPr>
                <w:sz w:val="20"/>
                <w:szCs w:val="20"/>
                <w:color w:val="auto"/>
              </w:rPr>
            </w:pPr>
            <w:r>
              <w:rPr>
                <w:rFonts w:ascii="Times New Roman" w:cs="Times New Roman" w:eastAsia="Times New Roman" w:hAnsi="Times New Roman"/>
                <w:sz w:val="19"/>
                <w:szCs w:val="19"/>
                <w:color w:val="auto"/>
              </w:rPr>
              <w:t>(Hong Kong) Limited</w:t>
            </w:r>
          </w:p>
        </w:tc>
      </w:tr>
      <w:tr>
        <w:trPr>
          <w:trHeight w:val="217"/>
        </w:trPr>
        <w:tc>
          <w:tcPr>
            <w:tcW w:w="660" w:type="dxa"/>
            <w:vAlign w:val="bottom"/>
          </w:tcPr>
          <w:p>
            <w:pPr>
              <w:spacing w:after="0" w:line="217" w:lineRule="exact"/>
              <w:rPr>
                <w:sz w:val="20"/>
                <w:szCs w:val="20"/>
                <w:color w:val="auto"/>
              </w:rPr>
            </w:pPr>
            <w:r>
              <w:rPr>
                <w:rFonts w:ascii="Times New Roman" w:cs="Times New Roman" w:eastAsia="Times New Roman" w:hAnsi="Times New Roman"/>
                <w:sz w:val="19"/>
                <w:szCs w:val="19"/>
                <w:color w:val="auto"/>
              </w:rPr>
              <w:t>10.23</w:t>
            </w:r>
          </w:p>
        </w:tc>
        <w:tc>
          <w:tcPr>
            <w:tcW w:w="4920" w:type="dxa"/>
            <w:vAlign w:val="bottom"/>
          </w:tcPr>
          <w:p>
            <w:pPr>
              <w:ind w:left="160"/>
              <w:spacing w:after="0" w:line="217" w:lineRule="exact"/>
              <w:rPr>
                <w:sz w:val="20"/>
                <w:szCs w:val="20"/>
                <w:color w:val="auto"/>
              </w:rPr>
            </w:pPr>
            <w:r>
              <w:rPr>
                <w:rFonts w:ascii="Times New Roman" w:cs="Times New Roman" w:eastAsia="Times New Roman" w:hAnsi="Times New Roman"/>
                <w:sz w:val="19"/>
                <w:szCs w:val="19"/>
                <w:color w:val="auto"/>
              </w:rPr>
              <w:t>Lease, dated as of August 26, 2019, by and between the</w:t>
            </w:r>
          </w:p>
        </w:tc>
      </w:tr>
      <w:tr>
        <w:trPr>
          <w:trHeight w:val="217"/>
        </w:trPr>
        <w:tc>
          <w:tcPr>
            <w:tcW w:w="660" w:type="dxa"/>
            <w:vAlign w:val="bottom"/>
          </w:tcPr>
          <w:p>
            <w:pPr>
              <w:spacing w:after="0"/>
              <w:rPr>
                <w:sz w:val="18"/>
                <w:szCs w:val="18"/>
                <w:color w:val="auto"/>
              </w:rPr>
            </w:pPr>
          </w:p>
        </w:tc>
        <w:tc>
          <w:tcPr>
            <w:tcW w:w="4920" w:type="dxa"/>
            <w:vAlign w:val="bottom"/>
          </w:tcPr>
          <w:p>
            <w:pPr>
              <w:ind w:left="160"/>
              <w:spacing w:after="0" w:line="217" w:lineRule="exact"/>
              <w:rPr>
                <w:sz w:val="20"/>
                <w:szCs w:val="20"/>
                <w:color w:val="auto"/>
              </w:rPr>
            </w:pPr>
            <w:r>
              <w:rPr>
                <w:rFonts w:ascii="Times New Roman" w:cs="Times New Roman" w:eastAsia="Times New Roman" w:hAnsi="Times New Roman"/>
                <w:sz w:val="19"/>
                <w:szCs w:val="19"/>
                <w:color w:val="auto"/>
              </w:rPr>
              <w:t>Registrant and PPF OFF 828-830 Winter Street, LLC</w:t>
            </w:r>
          </w:p>
        </w:tc>
      </w:tr>
      <w:tr>
        <w:trPr>
          <w:trHeight w:val="217"/>
        </w:trPr>
        <w:tc>
          <w:tcPr>
            <w:tcW w:w="660" w:type="dxa"/>
            <w:vAlign w:val="bottom"/>
          </w:tcPr>
          <w:p>
            <w:pPr>
              <w:spacing w:after="0" w:line="217" w:lineRule="exact"/>
              <w:rPr>
                <w:sz w:val="20"/>
                <w:szCs w:val="20"/>
                <w:color w:val="auto"/>
              </w:rPr>
            </w:pPr>
            <w:r>
              <w:rPr>
                <w:rFonts w:ascii="Times New Roman" w:cs="Times New Roman" w:eastAsia="Times New Roman" w:hAnsi="Times New Roman"/>
                <w:sz w:val="19"/>
                <w:szCs w:val="19"/>
                <w:color w:val="auto"/>
              </w:rPr>
              <w:t>10.24</w:t>
            </w:r>
          </w:p>
        </w:tc>
        <w:tc>
          <w:tcPr>
            <w:tcW w:w="4920" w:type="dxa"/>
            <w:vAlign w:val="bottom"/>
          </w:tcPr>
          <w:p>
            <w:pPr>
              <w:ind w:left="160"/>
              <w:spacing w:after="0" w:line="217" w:lineRule="exact"/>
              <w:rPr>
                <w:sz w:val="20"/>
                <w:szCs w:val="20"/>
                <w:color w:val="auto"/>
              </w:rPr>
            </w:pPr>
            <w:r>
              <w:rPr>
                <w:rFonts w:ascii="Times New Roman" w:cs="Times New Roman" w:eastAsia="Times New Roman" w:hAnsi="Times New Roman"/>
                <w:sz w:val="19"/>
                <w:szCs w:val="19"/>
                <w:color w:val="auto"/>
              </w:rPr>
              <w:t>Registration Rights Agreement, dated March 28, 2024, among</w:t>
            </w:r>
          </w:p>
        </w:tc>
      </w:tr>
      <w:tr>
        <w:trPr>
          <w:trHeight w:val="217"/>
        </w:trPr>
        <w:tc>
          <w:tcPr>
            <w:tcW w:w="660" w:type="dxa"/>
            <w:vAlign w:val="bottom"/>
          </w:tcPr>
          <w:p>
            <w:pPr>
              <w:spacing w:after="0"/>
              <w:rPr>
                <w:sz w:val="18"/>
                <w:szCs w:val="18"/>
                <w:color w:val="auto"/>
              </w:rPr>
            </w:pPr>
          </w:p>
        </w:tc>
        <w:tc>
          <w:tcPr>
            <w:tcW w:w="4920" w:type="dxa"/>
            <w:vAlign w:val="bottom"/>
          </w:tcPr>
          <w:p>
            <w:pPr>
              <w:ind w:left="160"/>
              <w:spacing w:after="0" w:line="217" w:lineRule="exact"/>
              <w:rPr>
                <w:sz w:val="20"/>
                <w:szCs w:val="20"/>
                <w:color w:val="auto"/>
              </w:rPr>
            </w:pPr>
            <w:r>
              <w:rPr>
                <w:rFonts w:ascii="Times New Roman" w:cs="Times New Roman" w:eastAsia="Times New Roman" w:hAnsi="Times New Roman"/>
                <w:sz w:val="19"/>
                <w:szCs w:val="19"/>
                <w:color w:val="auto"/>
              </w:rPr>
              <w:t>the Registrant and the persons party thereto</w:t>
            </w:r>
          </w:p>
        </w:tc>
      </w:tr>
      <w:tr>
        <w:trPr>
          <w:trHeight w:val="217"/>
        </w:trPr>
        <w:tc>
          <w:tcPr>
            <w:tcW w:w="660" w:type="dxa"/>
            <w:vAlign w:val="bottom"/>
          </w:tcPr>
          <w:p>
            <w:pPr>
              <w:spacing w:after="0" w:line="217" w:lineRule="exact"/>
              <w:rPr>
                <w:sz w:val="20"/>
                <w:szCs w:val="20"/>
                <w:color w:val="auto"/>
              </w:rPr>
            </w:pPr>
            <w:r>
              <w:rPr>
                <w:rFonts w:ascii="Times New Roman" w:cs="Times New Roman" w:eastAsia="Times New Roman" w:hAnsi="Times New Roman"/>
                <w:sz w:val="19"/>
                <w:szCs w:val="19"/>
                <w:color w:val="auto"/>
              </w:rPr>
              <w:t>10.25†</w:t>
            </w:r>
          </w:p>
        </w:tc>
        <w:tc>
          <w:tcPr>
            <w:tcW w:w="4920" w:type="dxa"/>
            <w:vAlign w:val="bottom"/>
          </w:tcPr>
          <w:p>
            <w:pPr>
              <w:ind w:left="160"/>
              <w:spacing w:after="0" w:line="217" w:lineRule="exact"/>
              <w:rPr>
                <w:sz w:val="20"/>
                <w:szCs w:val="20"/>
                <w:color w:val="auto"/>
              </w:rPr>
            </w:pPr>
            <w:r>
              <w:rPr>
                <w:rFonts w:ascii="Times New Roman" w:cs="Times New Roman" w:eastAsia="Times New Roman" w:hAnsi="Times New Roman"/>
                <w:sz w:val="19"/>
                <w:szCs w:val="19"/>
                <w:color w:val="auto"/>
              </w:rPr>
              <w:t>License Agreement, dated March 27, 2024, between Xilio</w:t>
            </w:r>
          </w:p>
        </w:tc>
      </w:tr>
      <w:tr>
        <w:trPr>
          <w:trHeight w:val="217"/>
        </w:trPr>
        <w:tc>
          <w:tcPr>
            <w:tcW w:w="660" w:type="dxa"/>
            <w:vAlign w:val="bottom"/>
          </w:tcPr>
          <w:p>
            <w:pPr>
              <w:spacing w:after="0"/>
              <w:rPr>
                <w:sz w:val="18"/>
                <w:szCs w:val="18"/>
                <w:color w:val="auto"/>
              </w:rPr>
            </w:pPr>
          </w:p>
        </w:tc>
        <w:tc>
          <w:tcPr>
            <w:tcW w:w="4920" w:type="dxa"/>
            <w:vAlign w:val="bottom"/>
          </w:tcPr>
          <w:p>
            <w:pPr>
              <w:ind w:left="160"/>
              <w:spacing w:after="0" w:line="217" w:lineRule="exact"/>
              <w:rPr>
                <w:sz w:val="20"/>
                <w:szCs w:val="20"/>
                <w:color w:val="auto"/>
              </w:rPr>
            </w:pPr>
            <w:r>
              <w:rPr>
                <w:rFonts w:ascii="Times New Roman" w:cs="Times New Roman" w:eastAsia="Times New Roman" w:hAnsi="Times New Roman"/>
                <w:sz w:val="19"/>
                <w:szCs w:val="19"/>
                <w:color w:val="auto"/>
              </w:rPr>
              <w:t>Development, Inc. and Gilead Sciences, Inc.</w:t>
            </w:r>
          </w:p>
        </w:tc>
      </w:tr>
      <w:tr>
        <w:trPr>
          <w:trHeight w:val="217"/>
        </w:trPr>
        <w:tc>
          <w:tcPr>
            <w:tcW w:w="660" w:type="dxa"/>
            <w:vAlign w:val="bottom"/>
          </w:tcPr>
          <w:p>
            <w:pPr>
              <w:spacing w:after="0" w:line="217" w:lineRule="exact"/>
              <w:rPr>
                <w:sz w:val="20"/>
                <w:szCs w:val="20"/>
                <w:color w:val="auto"/>
              </w:rPr>
            </w:pPr>
            <w:r>
              <w:rPr>
                <w:rFonts w:ascii="Times New Roman" w:cs="Times New Roman" w:eastAsia="Times New Roman" w:hAnsi="Times New Roman"/>
                <w:sz w:val="19"/>
                <w:szCs w:val="19"/>
                <w:color w:val="auto"/>
              </w:rPr>
              <w:t>10.26†</w:t>
            </w:r>
          </w:p>
        </w:tc>
        <w:tc>
          <w:tcPr>
            <w:tcW w:w="4920" w:type="dxa"/>
            <w:vAlign w:val="bottom"/>
          </w:tcPr>
          <w:p>
            <w:pPr>
              <w:ind w:left="160"/>
              <w:spacing w:after="0" w:line="217" w:lineRule="exact"/>
              <w:rPr>
                <w:sz w:val="20"/>
                <w:szCs w:val="20"/>
                <w:color w:val="auto"/>
              </w:rPr>
            </w:pPr>
            <w:r>
              <w:rPr>
                <w:rFonts w:ascii="Times New Roman" w:cs="Times New Roman" w:eastAsia="Times New Roman" w:hAnsi="Times New Roman"/>
                <w:sz w:val="19"/>
                <w:szCs w:val="19"/>
                <w:color w:val="auto"/>
              </w:rPr>
              <w:t>Investor Rights Agreement, dated March 27, 2024, between</w:t>
            </w:r>
          </w:p>
        </w:tc>
      </w:tr>
      <w:tr>
        <w:trPr>
          <w:trHeight w:val="217"/>
        </w:trPr>
        <w:tc>
          <w:tcPr>
            <w:tcW w:w="660" w:type="dxa"/>
            <w:vAlign w:val="bottom"/>
          </w:tcPr>
          <w:p>
            <w:pPr>
              <w:spacing w:after="0"/>
              <w:rPr>
                <w:sz w:val="18"/>
                <w:szCs w:val="18"/>
                <w:color w:val="auto"/>
              </w:rPr>
            </w:pPr>
          </w:p>
        </w:tc>
        <w:tc>
          <w:tcPr>
            <w:tcW w:w="4920" w:type="dxa"/>
            <w:vAlign w:val="bottom"/>
          </w:tcPr>
          <w:p>
            <w:pPr>
              <w:ind w:left="160"/>
              <w:spacing w:after="0" w:line="217" w:lineRule="exact"/>
              <w:rPr>
                <w:sz w:val="20"/>
                <w:szCs w:val="20"/>
                <w:color w:val="auto"/>
              </w:rPr>
            </w:pPr>
            <w:r>
              <w:rPr>
                <w:rFonts w:ascii="Times New Roman" w:cs="Times New Roman" w:eastAsia="Times New Roman" w:hAnsi="Times New Roman"/>
                <w:sz w:val="19"/>
                <w:szCs w:val="19"/>
                <w:color w:val="auto"/>
              </w:rPr>
              <w:t>the Registrant and Gilead Sciences, Inc.</w:t>
            </w:r>
          </w:p>
        </w:tc>
      </w:tr>
      <w:tr>
        <w:trPr>
          <w:trHeight w:val="217"/>
        </w:trPr>
        <w:tc>
          <w:tcPr>
            <w:tcW w:w="660" w:type="dxa"/>
            <w:vAlign w:val="bottom"/>
          </w:tcPr>
          <w:p>
            <w:pPr>
              <w:spacing w:after="0" w:line="217" w:lineRule="exact"/>
              <w:rPr>
                <w:sz w:val="20"/>
                <w:szCs w:val="20"/>
                <w:color w:val="auto"/>
              </w:rPr>
            </w:pPr>
            <w:r>
              <w:rPr>
                <w:rFonts w:ascii="Times New Roman" w:cs="Times New Roman" w:eastAsia="Times New Roman" w:hAnsi="Times New Roman"/>
                <w:sz w:val="19"/>
                <w:szCs w:val="19"/>
                <w:color w:val="auto"/>
              </w:rPr>
              <w:t>10.27†</w:t>
            </w:r>
          </w:p>
        </w:tc>
        <w:tc>
          <w:tcPr>
            <w:tcW w:w="4920" w:type="dxa"/>
            <w:vAlign w:val="bottom"/>
          </w:tcPr>
          <w:p>
            <w:pPr>
              <w:ind w:left="160"/>
              <w:spacing w:after="0" w:line="217" w:lineRule="exact"/>
              <w:rPr>
                <w:sz w:val="20"/>
                <w:szCs w:val="20"/>
                <w:color w:val="auto"/>
              </w:rPr>
            </w:pPr>
            <w:r>
              <w:rPr>
                <w:rFonts w:ascii="Times New Roman" w:cs="Times New Roman" w:eastAsia="Times New Roman" w:hAnsi="Times New Roman"/>
                <w:sz w:val="19"/>
                <w:szCs w:val="19"/>
                <w:color w:val="auto"/>
                <w:w w:val="99"/>
              </w:rPr>
              <w:t>Collaboration, License and Option Agreement, dated February</w:t>
            </w:r>
          </w:p>
        </w:tc>
      </w:tr>
      <w:tr>
        <w:trPr>
          <w:trHeight w:val="217"/>
        </w:trPr>
        <w:tc>
          <w:tcPr>
            <w:tcW w:w="660" w:type="dxa"/>
            <w:vAlign w:val="bottom"/>
          </w:tcPr>
          <w:p>
            <w:pPr>
              <w:spacing w:after="0"/>
              <w:rPr>
                <w:sz w:val="18"/>
                <w:szCs w:val="18"/>
                <w:color w:val="auto"/>
              </w:rPr>
            </w:pPr>
          </w:p>
        </w:tc>
        <w:tc>
          <w:tcPr>
            <w:tcW w:w="4920" w:type="dxa"/>
            <w:vAlign w:val="bottom"/>
          </w:tcPr>
          <w:p>
            <w:pPr>
              <w:ind w:left="160"/>
              <w:spacing w:after="0" w:line="217" w:lineRule="exact"/>
              <w:rPr>
                <w:sz w:val="20"/>
                <w:szCs w:val="20"/>
                <w:color w:val="auto"/>
              </w:rPr>
            </w:pPr>
            <w:r>
              <w:rPr>
                <w:rFonts w:ascii="Times New Roman" w:cs="Times New Roman" w:eastAsia="Times New Roman" w:hAnsi="Times New Roman"/>
                <w:sz w:val="19"/>
                <w:szCs w:val="19"/>
                <w:color w:val="auto"/>
                <w:w w:val="98"/>
              </w:rPr>
              <w:t>10, 2025, between Xilio Development, Inc. and AbbVie Group</w:t>
            </w:r>
          </w:p>
        </w:tc>
      </w:tr>
      <w:tr>
        <w:trPr>
          <w:trHeight w:val="217"/>
        </w:trPr>
        <w:tc>
          <w:tcPr>
            <w:tcW w:w="660" w:type="dxa"/>
            <w:vAlign w:val="bottom"/>
          </w:tcPr>
          <w:p>
            <w:pPr>
              <w:spacing w:after="0"/>
              <w:rPr>
                <w:sz w:val="18"/>
                <w:szCs w:val="18"/>
                <w:color w:val="auto"/>
              </w:rPr>
            </w:pPr>
          </w:p>
        </w:tc>
        <w:tc>
          <w:tcPr>
            <w:tcW w:w="4920" w:type="dxa"/>
            <w:vAlign w:val="bottom"/>
          </w:tcPr>
          <w:p>
            <w:pPr>
              <w:ind w:left="160"/>
              <w:spacing w:after="0" w:line="217" w:lineRule="exact"/>
              <w:rPr>
                <w:sz w:val="20"/>
                <w:szCs w:val="20"/>
                <w:color w:val="auto"/>
              </w:rPr>
            </w:pPr>
            <w:r>
              <w:rPr>
                <w:rFonts w:ascii="Times New Roman" w:cs="Times New Roman" w:eastAsia="Times New Roman" w:hAnsi="Times New Roman"/>
                <w:sz w:val="19"/>
                <w:szCs w:val="19"/>
                <w:color w:val="auto"/>
              </w:rPr>
              <w:t>Holdings Limited</w:t>
            </w:r>
          </w:p>
        </w:tc>
      </w:tr>
      <w:tr>
        <w:trPr>
          <w:trHeight w:val="217"/>
        </w:trPr>
        <w:tc>
          <w:tcPr>
            <w:tcW w:w="660" w:type="dxa"/>
            <w:vAlign w:val="bottom"/>
          </w:tcPr>
          <w:p>
            <w:pPr>
              <w:spacing w:after="0" w:line="217" w:lineRule="exact"/>
              <w:rPr>
                <w:sz w:val="20"/>
                <w:szCs w:val="20"/>
                <w:color w:val="auto"/>
              </w:rPr>
            </w:pPr>
            <w:r>
              <w:rPr>
                <w:rFonts w:ascii="Times New Roman" w:cs="Times New Roman" w:eastAsia="Times New Roman" w:hAnsi="Times New Roman"/>
                <w:sz w:val="19"/>
                <w:szCs w:val="19"/>
                <w:color w:val="auto"/>
              </w:rPr>
              <w:t>10.28†</w:t>
            </w:r>
          </w:p>
        </w:tc>
        <w:tc>
          <w:tcPr>
            <w:tcW w:w="4920" w:type="dxa"/>
            <w:vAlign w:val="bottom"/>
          </w:tcPr>
          <w:p>
            <w:pPr>
              <w:ind w:left="160"/>
              <w:spacing w:after="0" w:line="217" w:lineRule="exact"/>
              <w:rPr>
                <w:sz w:val="20"/>
                <w:szCs w:val="20"/>
                <w:color w:val="auto"/>
              </w:rPr>
            </w:pPr>
            <w:r>
              <w:rPr>
                <w:rFonts w:ascii="Times New Roman" w:cs="Times New Roman" w:eastAsia="Times New Roman" w:hAnsi="Times New Roman"/>
                <w:sz w:val="19"/>
                <w:szCs w:val="19"/>
                <w:color w:val="auto"/>
              </w:rPr>
              <w:t>Investor Rights Agreement, dated February 10, 2025, between</w:t>
            </w:r>
          </w:p>
        </w:tc>
      </w:tr>
      <w:tr>
        <w:trPr>
          <w:trHeight w:val="217"/>
        </w:trPr>
        <w:tc>
          <w:tcPr>
            <w:tcW w:w="660" w:type="dxa"/>
            <w:vAlign w:val="bottom"/>
          </w:tcPr>
          <w:p>
            <w:pPr>
              <w:spacing w:after="0"/>
              <w:rPr>
                <w:sz w:val="18"/>
                <w:szCs w:val="18"/>
                <w:color w:val="auto"/>
              </w:rPr>
            </w:pPr>
          </w:p>
        </w:tc>
        <w:tc>
          <w:tcPr>
            <w:tcW w:w="4920" w:type="dxa"/>
            <w:vAlign w:val="bottom"/>
          </w:tcPr>
          <w:p>
            <w:pPr>
              <w:ind w:left="160"/>
              <w:spacing w:after="0" w:line="217" w:lineRule="exact"/>
              <w:rPr>
                <w:sz w:val="20"/>
                <w:szCs w:val="20"/>
                <w:color w:val="auto"/>
              </w:rPr>
            </w:pPr>
            <w:r>
              <w:rPr>
                <w:rFonts w:ascii="Times New Roman" w:cs="Times New Roman" w:eastAsia="Times New Roman" w:hAnsi="Times New Roman"/>
                <w:sz w:val="19"/>
                <w:szCs w:val="19"/>
                <w:color w:val="auto"/>
              </w:rPr>
              <w:t>the Registrant and AbbVie Inc.</w:t>
            </w:r>
          </w:p>
        </w:tc>
      </w:tr>
      <w:tr>
        <w:trPr>
          <w:trHeight w:val="217"/>
        </w:trPr>
        <w:tc>
          <w:tcPr>
            <w:tcW w:w="660" w:type="dxa"/>
            <w:vAlign w:val="bottom"/>
          </w:tcPr>
          <w:p>
            <w:pPr>
              <w:spacing w:after="0" w:line="217" w:lineRule="exact"/>
              <w:rPr>
                <w:sz w:val="20"/>
                <w:szCs w:val="20"/>
                <w:color w:val="auto"/>
              </w:rPr>
            </w:pPr>
            <w:r>
              <w:rPr>
                <w:rFonts w:ascii="Times New Roman" w:cs="Times New Roman" w:eastAsia="Times New Roman" w:hAnsi="Times New Roman"/>
                <w:sz w:val="19"/>
                <w:szCs w:val="19"/>
                <w:color w:val="auto"/>
              </w:rPr>
              <w:t>19</w:t>
            </w:r>
          </w:p>
        </w:tc>
        <w:tc>
          <w:tcPr>
            <w:tcW w:w="4920" w:type="dxa"/>
            <w:vAlign w:val="bottom"/>
          </w:tcPr>
          <w:p>
            <w:pPr>
              <w:ind w:left="160"/>
              <w:spacing w:after="0" w:line="217" w:lineRule="exact"/>
              <w:rPr>
                <w:sz w:val="20"/>
                <w:szCs w:val="20"/>
                <w:color w:val="auto"/>
              </w:rPr>
            </w:pPr>
            <w:r>
              <w:rPr>
                <w:rFonts w:ascii="Times New Roman" w:cs="Times New Roman" w:eastAsia="Times New Roman" w:hAnsi="Times New Roman"/>
                <w:sz w:val="19"/>
                <w:szCs w:val="19"/>
                <w:color w:val="auto"/>
              </w:rPr>
              <w:t>Insider Trading Policy</w:t>
            </w:r>
          </w:p>
        </w:tc>
      </w:tr>
      <w:tr>
        <w:trPr>
          <w:trHeight w:val="217"/>
        </w:trPr>
        <w:tc>
          <w:tcPr>
            <w:tcW w:w="660" w:type="dxa"/>
            <w:vAlign w:val="bottom"/>
          </w:tcPr>
          <w:p>
            <w:pPr>
              <w:spacing w:after="0" w:line="217" w:lineRule="exact"/>
              <w:rPr>
                <w:sz w:val="20"/>
                <w:szCs w:val="20"/>
                <w:color w:val="auto"/>
              </w:rPr>
            </w:pPr>
            <w:r>
              <w:rPr>
                <w:rFonts w:ascii="Times New Roman" w:cs="Times New Roman" w:eastAsia="Times New Roman" w:hAnsi="Times New Roman"/>
                <w:sz w:val="19"/>
                <w:szCs w:val="19"/>
                <w:color w:val="auto"/>
              </w:rPr>
              <w:t>21.1</w:t>
            </w:r>
          </w:p>
        </w:tc>
        <w:tc>
          <w:tcPr>
            <w:tcW w:w="4920" w:type="dxa"/>
            <w:vAlign w:val="bottom"/>
          </w:tcPr>
          <w:p>
            <w:pPr>
              <w:ind w:left="160"/>
              <w:spacing w:after="0" w:line="217" w:lineRule="exact"/>
              <w:rPr>
                <w:sz w:val="20"/>
                <w:szCs w:val="20"/>
                <w:color w:val="auto"/>
              </w:rPr>
            </w:pPr>
            <w:r>
              <w:rPr>
                <w:rFonts w:ascii="Times New Roman" w:cs="Times New Roman" w:eastAsia="Times New Roman" w:hAnsi="Times New Roman"/>
                <w:sz w:val="19"/>
                <w:szCs w:val="19"/>
                <w:color w:val="auto"/>
              </w:rPr>
              <w:t>Subsidiaries of the Registrant</w:t>
            </w:r>
          </w:p>
        </w:tc>
      </w:tr>
      <w:tr>
        <w:trPr>
          <w:trHeight w:val="217"/>
        </w:trPr>
        <w:tc>
          <w:tcPr>
            <w:tcW w:w="660" w:type="dxa"/>
            <w:vAlign w:val="bottom"/>
          </w:tcPr>
          <w:p>
            <w:pPr>
              <w:spacing w:after="0" w:line="217" w:lineRule="exact"/>
              <w:rPr>
                <w:sz w:val="20"/>
                <w:szCs w:val="20"/>
                <w:color w:val="auto"/>
              </w:rPr>
            </w:pPr>
            <w:r>
              <w:rPr>
                <w:rFonts w:ascii="Times New Roman" w:cs="Times New Roman" w:eastAsia="Times New Roman" w:hAnsi="Times New Roman"/>
                <w:sz w:val="19"/>
                <w:szCs w:val="19"/>
                <w:color w:val="auto"/>
              </w:rPr>
              <w:t>23.1</w:t>
            </w:r>
          </w:p>
        </w:tc>
        <w:tc>
          <w:tcPr>
            <w:tcW w:w="4920" w:type="dxa"/>
            <w:vAlign w:val="bottom"/>
          </w:tcPr>
          <w:p>
            <w:pPr>
              <w:ind w:left="160"/>
              <w:spacing w:after="0" w:line="217" w:lineRule="exact"/>
              <w:rPr>
                <w:sz w:val="20"/>
                <w:szCs w:val="20"/>
                <w:color w:val="auto"/>
              </w:rPr>
            </w:pPr>
            <w:r>
              <w:rPr>
                <w:rFonts w:ascii="Times New Roman" w:cs="Times New Roman" w:eastAsia="Times New Roman" w:hAnsi="Times New Roman"/>
                <w:sz w:val="19"/>
                <w:szCs w:val="19"/>
                <w:color w:val="auto"/>
                <w:w w:val="99"/>
              </w:rPr>
              <w:t>Consent of Ernst &amp; Young LLP, independent registered public</w:t>
            </w:r>
          </w:p>
        </w:tc>
      </w:tr>
      <w:tr>
        <w:trPr>
          <w:trHeight w:val="217"/>
        </w:trPr>
        <w:tc>
          <w:tcPr>
            <w:tcW w:w="660" w:type="dxa"/>
            <w:vAlign w:val="bottom"/>
          </w:tcPr>
          <w:p>
            <w:pPr>
              <w:spacing w:after="0"/>
              <w:rPr>
                <w:sz w:val="18"/>
                <w:szCs w:val="18"/>
                <w:color w:val="auto"/>
              </w:rPr>
            </w:pPr>
          </w:p>
        </w:tc>
        <w:tc>
          <w:tcPr>
            <w:tcW w:w="4920" w:type="dxa"/>
            <w:vAlign w:val="bottom"/>
          </w:tcPr>
          <w:p>
            <w:pPr>
              <w:ind w:left="160"/>
              <w:spacing w:after="0" w:line="217" w:lineRule="exact"/>
              <w:rPr>
                <w:sz w:val="20"/>
                <w:szCs w:val="20"/>
                <w:color w:val="auto"/>
              </w:rPr>
            </w:pPr>
            <w:r>
              <w:rPr>
                <w:rFonts w:ascii="Times New Roman" w:cs="Times New Roman" w:eastAsia="Times New Roman" w:hAnsi="Times New Roman"/>
                <w:sz w:val="19"/>
                <w:szCs w:val="19"/>
                <w:color w:val="auto"/>
              </w:rPr>
              <w:t>accounting firm</w:t>
            </w:r>
          </w:p>
        </w:tc>
      </w:tr>
      <w:tr>
        <w:trPr>
          <w:trHeight w:val="217"/>
        </w:trPr>
        <w:tc>
          <w:tcPr>
            <w:tcW w:w="660" w:type="dxa"/>
            <w:vAlign w:val="bottom"/>
          </w:tcPr>
          <w:p>
            <w:pPr>
              <w:spacing w:after="0" w:line="217" w:lineRule="exact"/>
              <w:rPr>
                <w:sz w:val="20"/>
                <w:szCs w:val="20"/>
                <w:color w:val="auto"/>
              </w:rPr>
            </w:pPr>
            <w:r>
              <w:rPr>
                <w:rFonts w:ascii="Times New Roman" w:cs="Times New Roman" w:eastAsia="Times New Roman" w:hAnsi="Times New Roman"/>
                <w:sz w:val="19"/>
                <w:szCs w:val="19"/>
                <w:color w:val="auto"/>
              </w:rPr>
              <w:t>31.1</w:t>
            </w:r>
          </w:p>
        </w:tc>
        <w:tc>
          <w:tcPr>
            <w:tcW w:w="4920" w:type="dxa"/>
            <w:vAlign w:val="bottom"/>
          </w:tcPr>
          <w:p>
            <w:pPr>
              <w:ind w:left="160"/>
              <w:spacing w:after="0" w:line="217" w:lineRule="exact"/>
              <w:rPr>
                <w:sz w:val="20"/>
                <w:szCs w:val="20"/>
                <w:color w:val="auto"/>
              </w:rPr>
            </w:pPr>
            <w:r>
              <w:rPr>
                <w:rFonts w:ascii="Times New Roman" w:cs="Times New Roman" w:eastAsia="Times New Roman" w:hAnsi="Times New Roman"/>
                <w:sz w:val="19"/>
                <w:szCs w:val="19"/>
                <w:color w:val="auto"/>
              </w:rPr>
              <w:t>Certification of Principal Executive Officer Pursuant to Rules</w:t>
            </w:r>
          </w:p>
        </w:tc>
      </w:tr>
      <w:tr>
        <w:trPr>
          <w:trHeight w:val="217"/>
        </w:trPr>
        <w:tc>
          <w:tcPr>
            <w:tcW w:w="660" w:type="dxa"/>
            <w:vAlign w:val="bottom"/>
          </w:tcPr>
          <w:p>
            <w:pPr>
              <w:spacing w:after="0"/>
              <w:rPr>
                <w:sz w:val="18"/>
                <w:szCs w:val="18"/>
                <w:color w:val="auto"/>
              </w:rPr>
            </w:pPr>
          </w:p>
        </w:tc>
        <w:tc>
          <w:tcPr>
            <w:tcW w:w="4920" w:type="dxa"/>
            <w:vAlign w:val="bottom"/>
          </w:tcPr>
          <w:p>
            <w:pPr>
              <w:ind w:left="160"/>
              <w:spacing w:after="0" w:line="217" w:lineRule="exact"/>
              <w:rPr>
                <w:sz w:val="20"/>
                <w:szCs w:val="20"/>
                <w:color w:val="auto"/>
              </w:rPr>
            </w:pPr>
            <w:r>
              <w:rPr>
                <w:rFonts w:ascii="Times New Roman" w:cs="Times New Roman" w:eastAsia="Times New Roman" w:hAnsi="Times New Roman"/>
                <w:sz w:val="19"/>
                <w:szCs w:val="19"/>
                <w:color w:val="auto"/>
              </w:rPr>
              <w:t>13a-14(a) and 15d-14(a) under the Securities Exchange Act of</w:t>
            </w:r>
          </w:p>
        </w:tc>
      </w:tr>
      <w:tr>
        <w:trPr>
          <w:trHeight w:val="217"/>
        </w:trPr>
        <w:tc>
          <w:tcPr>
            <w:tcW w:w="660" w:type="dxa"/>
            <w:vAlign w:val="bottom"/>
          </w:tcPr>
          <w:p>
            <w:pPr>
              <w:spacing w:after="0"/>
              <w:rPr>
                <w:sz w:val="18"/>
                <w:szCs w:val="18"/>
                <w:color w:val="auto"/>
              </w:rPr>
            </w:pPr>
          </w:p>
        </w:tc>
        <w:tc>
          <w:tcPr>
            <w:tcW w:w="4920" w:type="dxa"/>
            <w:vAlign w:val="bottom"/>
          </w:tcPr>
          <w:p>
            <w:pPr>
              <w:ind w:left="160"/>
              <w:spacing w:after="0" w:line="217" w:lineRule="exact"/>
              <w:rPr>
                <w:sz w:val="20"/>
                <w:szCs w:val="20"/>
                <w:color w:val="auto"/>
              </w:rPr>
            </w:pPr>
            <w:r>
              <w:rPr>
                <w:rFonts w:ascii="Times New Roman" w:cs="Times New Roman" w:eastAsia="Times New Roman" w:hAnsi="Times New Roman"/>
                <w:sz w:val="19"/>
                <w:szCs w:val="19"/>
                <w:color w:val="auto"/>
              </w:rPr>
              <w:t>1934, as Adopted Pursuant to Section 302 of the Sarbanes-</w:t>
            </w:r>
          </w:p>
        </w:tc>
      </w:tr>
      <w:tr>
        <w:trPr>
          <w:trHeight w:val="217"/>
        </w:trPr>
        <w:tc>
          <w:tcPr>
            <w:tcW w:w="660" w:type="dxa"/>
            <w:vAlign w:val="bottom"/>
          </w:tcPr>
          <w:p>
            <w:pPr>
              <w:spacing w:after="0"/>
              <w:rPr>
                <w:sz w:val="18"/>
                <w:szCs w:val="18"/>
                <w:color w:val="auto"/>
              </w:rPr>
            </w:pPr>
          </w:p>
        </w:tc>
        <w:tc>
          <w:tcPr>
            <w:tcW w:w="4920" w:type="dxa"/>
            <w:vAlign w:val="bottom"/>
          </w:tcPr>
          <w:p>
            <w:pPr>
              <w:ind w:left="160"/>
              <w:spacing w:after="0" w:line="217" w:lineRule="exact"/>
              <w:rPr>
                <w:sz w:val="20"/>
                <w:szCs w:val="20"/>
                <w:color w:val="auto"/>
              </w:rPr>
            </w:pPr>
            <w:r>
              <w:rPr>
                <w:rFonts w:ascii="Times New Roman" w:cs="Times New Roman" w:eastAsia="Times New Roman" w:hAnsi="Times New Roman"/>
                <w:sz w:val="19"/>
                <w:szCs w:val="19"/>
                <w:color w:val="auto"/>
              </w:rPr>
              <w:t>Oxley Act of 2002</w:t>
            </w:r>
          </w:p>
        </w:tc>
      </w:tr>
      <w:tr>
        <w:trPr>
          <w:trHeight w:val="217"/>
        </w:trPr>
        <w:tc>
          <w:tcPr>
            <w:tcW w:w="660" w:type="dxa"/>
            <w:vAlign w:val="bottom"/>
          </w:tcPr>
          <w:p>
            <w:pPr>
              <w:spacing w:after="0" w:line="217" w:lineRule="exact"/>
              <w:rPr>
                <w:sz w:val="20"/>
                <w:szCs w:val="20"/>
                <w:color w:val="auto"/>
              </w:rPr>
            </w:pPr>
            <w:r>
              <w:rPr>
                <w:rFonts w:ascii="Times New Roman" w:cs="Times New Roman" w:eastAsia="Times New Roman" w:hAnsi="Times New Roman"/>
                <w:sz w:val="19"/>
                <w:szCs w:val="19"/>
                <w:color w:val="auto"/>
              </w:rPr>
              <w:t>31.2</w:t>
            </w:r>
          </w:p>
        </w:tc>
        <w:tc>
          <w:tcPr>
            <w:tcW w:w="4920" w:type="dxa"/>
            <w:vAlign w:val="bottom"/>
          </w:tcPr>
          <w:p>
            <w:pPr>
              <w:ind w:left="160"/>
              <w:spacing w:after="0" w:line="217" w:lineRule="exact"/>
              <w:rPr>
                <w:sz w:val="20"/>
                <w:szCs w:val="20"/>
                <w:color w:val="auto"/>
              </w:rPr>
            </w:pPr>
            <w:r>
              <w:rPr>
                <w:rFonts w:ascii="Times New Roman" w:cs="Times New Roman" w:eastAsia="Times New Roman" w:hAnsi="Times New Roman"/>
                <w:sz w:val="19"/>
                <w:szCs w:val="19"/>
                <w:color w:val="auto"/>
              </w:rPr>
              <w:t>Certification of Principal Financial Officer Pursuant to Rules</w:t>
            </w:r>
          </w:p>
        </w:tc>
      </w:tr>
      <w:tr>
        <w:trPr>
          <w:trHeight w:val="217"/>
        </w:trPr>
        <w:tc>
          <w:tcPr>
            <w:tcW w:w="660" w:type="dxa"/>
            <w:vAlign w:val="bottom"/>
          </w:tcPr>
          <w:p>
            <w:pPr>
              <w:spacing w:after="0"/>
              <w:rPr>
                <w:sz w:val="18"/>
                <w:szCs w:val="18"/>
                <w:color w:val="auto"/>
              </w:rPr>
            </w:pPr>
          </w:p>
        </w:tc>
        <w:tc>
          <w:tcPr>
            <w:tcW w:w="4920" w:type="dxa"/>
            <w:vAlign w:val="bottom"/>
          </w:tcPr>
          <w:p>
            <w:pPr>
              <w:ind w:left="160"/>
              <w:spacing w:after="0" w:line="217" w:lineRule="exact"/>
              <w:rPr>
                <w:sz w:val="20"/>
                <w:szCs w:val="20"/>
                <w:color w:val="auto"/>
              </w:rPr>
            </w:pPr>
            <w:r>
              <w:rPr>
                <w:rFonts w:ascii="Times New Roman" w:cs="Times New Roman" w:eastAsia="Times New Roman" w:hAnsi="Times New Roman"/>
                <w:sz w:val="19"/>
                <w:szCs w:val="19"/>
                <w:color w:val="auto"/>
              </w:rPr>
              <w:t>13a-14(a) and 15d-14(a) under the Securities Exchange Act of</w:t>
            </w:r>
          </w:p>
        </w:tc>
      </w:tr>
      <w:tr>
        <w:trPr>
          <w:trHeight w:val="217"/>
        </w:trPr>
        <w:tc>
          <w:tcPr>
            <w:tcW w:w="660" w:type="dxa"/>
            <w:vAlign w:val="bottom"/>
          </w:tcPr>
          <w:p>
            <w:pPr>
              <w:spacing w:after="0"/>
              <w:rPr>
                <w:sz w:val="18"/>
                <w:szCs w:val="18"/>
                <w:color w:val="auto"/>
              </w:rPr>
            </w:pPr>
          </w:p>
        </w:tc>
        <w:tc>
          <w:tcPr>
            <w:tcW w:w="4920" w:type="dxa"/>
            <w:vAlign w:val="bottom"/>
          </w:tcPr>
          <w:p>
            <w:pPr>
              <w:ind w:left="160"/>
              <w:spacing w:after="0" w:line="217" w:lineRule="exact"/>
              <w:rPr>
                <w:sz w:val="20"/>
                <w:szCs w:val="20"/>
                <w:color w:val="auto"/>
              </w:rPr>
            </w:pPr>
            <w:r>
              <w:rPr>
                <w:rFonts w:ascii="Times New Roman" w:cs="Times New Roman" w:eastAsia="Times New Roman" w:hAnsi="Times New Roman"/>
                <w:sz w:val="19"/>
                <w:szCs w:val="19"/>
                <w:color w:val="auto"/>
              </w:rPr>
              <w:t>1934, as Adopted Pursuant to Section 302 of the Sarbanes-</w:t>
            </w:r>
          </w:p>
        </w:tc>
      </w:tr>
      <w:tr>
        <w:trPr>
          <w:trHeight w:val="217"/>
        </w:trPr>
        <w:tc>
          <w:tcPr>
            <w:tcW w:w="660" w:type="dxa"/>
            <w:vAlign w:val="bottom"/>
          </w:tcPr>
          <w:p>
            <w:pPr>
              <w:spacing w:after="0"/>
              <w:rPr>
                <w:sz w:val="18"/>
                <w:szCs w:val="18"/>
                <w:color w:val="auto"/>
              </w:rPr>
            </w:pPr>
          </w:p>
        </w:tc>
        <w:tc>
          <w:tcPr>
            <w:tcW w:w="4920" w:type="dxa"/>
            <w:vAlign w:val="bottom"/>
          </w:tcPr>
          <w:p>
            <w:pPr>
              <w:ind w:left="160"/>
              <w:spacing w:after="0" w:line="217" w:lineRule="exact"/>
              <w:rPr>
                <w:sz w:val="20"/>
                <w:szCs w:val="20"/>
                <w:color w:val="auto"/>
              </w:rPr>
            </w:pPr>
            <w:r>
              <w:rPr>
                <w:rFonts w:ascii="Times New Roman" w:cs="Times New Roman" w:eastAsia="Times New Roman" w:hAnsi="Times New Roman"/>
                <w:sz w:val="19"/>
                <w:szCs w:val="19"/>
                <w:color w:val="auto"/>
              </w:rPr>
              <w:t>Oxley Act of 2002</w:t>
            </w:r>
          </w:p>
        </w:tc>
      </w:tr>
      <w:tr>
        <w:trPr>
          <w:trHeight w:val="217"/>
        </w:trPr>
        <w:tc>
          <w:tcPr>
            <w:tcW w:w="660" w:type="dxa"/>
            <w:vAlign w:val="bottom"/>
          </w:tcPr>
          <w:p>
            <w:pPr>
              <w:spacing w:after="0" w:line="217" w:lineRule="exact"/>
              <w:rPr>
                <w:sz w:val="20"/>
                <w:szCs w:val="20"/>
                <w:color w:val="auto"/>
              </w:rPr>
            </w:pPr>
            <w:r>
              <w:rPr>
                <w:rFonts w:ascii="Times New Roman" w:cs="Times New Roman" w:eastAsia="Times New Roman" w:hAnsi="Times New Roman"/>
                <w:sz w:val="19"/>
                <w:szCs w:val="19"/>
                <w:color w:val="auto"/>
              </w:rPr>
              <w:t>32.1+</w:t>
            </w:r>
          </w:p>
        </w:tc>
        <w:tc>
          <w:tcPr>
            <w:tcW w:w="4920" w:type="dxa"/>
            <w:vAlign w:val="bottom"/>
          </w:tcPr>
          <w:p>
            <w:pPr>
              <w:ind w:left="160"/>
              <w:spacing w:after="0" w:line="217" w:lineRule="exact"/>
              <w:rPr>
                <w:sz w:val="20"/>
                <w:szCs w:val="20"/>
                <w:color w:val="auto"/>
              </w:rPr>
            </w:pPr>
            <w:r>
              <w:rPr>
                <w:rFonts w:ascii="Times New Roman" w:cs="Times New Roman" w:eastAsia="Times New Roman" w:hAnsi="Times New Roman"/>
                <w:sz w:val="19"/>
                <w:szCs w:val="19"/>
                <w:color w:val="auto"/>
              </w:rPr>
              <w:t>Certification of Principal Executive Officer and Principal</w:t>
            </w:r>
          </w:p>
        </w:tc>
      </w:tr>
      <w:tr>
        <w:trPr>
          <w:trHeight w:val="217"/>
        </w:trPr>
        <w:tc>
          <w:tcPr>
            <w:tcW w:w="660" w:type="dxa"/>
            <w:vAlign w:val="bottom"/>
          </w:tcPr>
          <w:p>
            <w:pPr>
              <w:spacing w:after="0"/>
              <w:rPr>
                <w:sz w:val="18"/>
                <w:szCs w:val="18"/>
                <w:color w:val="auto"/>
              </w:rPr>
            </w:pPr>
          </w:p>
        </w:tc>
        <w:tc>
          <w:tcPr>
            <w:tcW w:w="4920" w:type="dxa"/>
            <w:vAlign w:val="bottom"/>
          </w:tcPr>
          <w:p>
            <w:pPr>
              <w:ind w:left="160"/>
              <w:spacing w:after="0" w:line="217" w:lineRule="exact"/>
              <w:rPr>
                <w:sz w:val="20"/>
                <w:szCs w:val="20"/>
                <w:color w:val="auto"/>
              </w:rPr>
            </w:pPr>
            <w:r>
              <w:rPr>
                <w:rFonts w:ascii="Times New Roman" w:cs="Times New Roman" w:eastAsia="Times New Roman" w:hAnsi="Times New Roman"/>
                <w:sz w:val="19"/>
                <w:szCs w:val="19"/>
                <w:color w:val="auto"/>
              </w:rPr>
              <w:t>Financial Officer Pursuant to 18 U.S.C. Section 1350, as</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w:t>
            </w:r>
          </w:p>
        </w:tc>
      </w:tr>
      <w:tr>
        <w:trPr>
          <w:trHeight w:val="434"/>
        </w:trPr>
        <w:tc>
          <w:tcPr>
            <w:tcW w:w="8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10-K</w:t>
            </w:r>
          </w:p>
        </w:tc>
        <w:tc>
          <w:tcPr>
            <w:tcW w:w="104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001-40925</w:t>
            </w:r>
          </w:p>
        </w:tc>
        <w:tc>
          <w:tcPr>
            <w:tcW w:w="10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10.9</w:t>
            </w:r>
          </w:p>
        </w:tc>
        <w:tc>
          <w:tcPr>
            <w:tcW w:w="150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March 2, 2023</w:t>
            </w:r>
          </w:p>
        </w:tc>
      </w:tr>
      <w:tr>
        <w:trPr>
          <w:trHeight w:val="434"/>
        </w:trPr>
        <w:tc>
          <w:tcPr>
            <w:tcW w:w="8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10-K</w:t>
            </w:r>
          </w:p>
        </w:tc>
        <w:tc>
          <w:tcPr>
            <w:tcW w:w="104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001-40925</w:t>
            </w:r>
          </w:p>
        </w:tc>
        <w:tc>
          <w:tcPr>
            <w:tcW w:w="10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10.10</w:t>
            </w:r>
          </w:p>
        </w:tc>
        <w:tc>
          <w:tcPr>
            <w:tcW w:w="150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March 2, 2023</w:t>
            </w:r>
          </w:p>
        </w:tc>
      </w:tr>
      <w:tr>
        <w:trPr>
          <w:trHeight w:val="434"/>
        </w:trPr>
        <w:tc>
          <w:tcPr>
            <w:tcW w:w="8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DEF 14A</w:t>
            </w:r>
          </w:p>
        </w:tc>
        <w:tc>
          <w:tcPr>
            <w:tcW w:w="104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001-40925</w:t>
            </w:r>
          </w:p>
        </w:tc>
        <w:tc>
          <w:tcPr>
            <w:tcW w:w="108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Appendix A</w:t>
            </w:r>
          </w:p>
        </w:tc>
        <w:tc>
          <w:tcPr>
            <w:tcW w:w="1500" w:type="dxa"/>
            <w:vAlign w:val="bottom"/>
          </w:tcPr>
          <w:p>
            <w:pPr>
              <w:jc w:val="center"/>
              <w:ind w:left="6"/>
              <w:spacing w:after="0"/>
              <w:rPr>
                <w:sz w:val="20"/>
                <w:szCs w:val="20"/>
                <w:color w:val="auto"/>
              </w:rPr>
            </w:pPr>
            <w:r>
              <w:rPr>
                <w:rFonts w:ascii="Times New Roman" w:cs="Times New Roman" w:eastAsia="Times New Roman" w:hAnsi="Times New Roman"/>
                <w:sz w:val="19"/>
                <w:szCs w:val="19"/>
                <w:color w:val="auto"/>
                <w:w w:val="99"/>
              </w:rPr>
              <w:t>October 20, 2025</w:t>
            </w:r>
          </w:p>
        </w:tc>
      </w:tr>
      <w:tr>
        <w:trPr>
          <w:trHeight w:val="217"/>
        </w:trPr>
        <w:tc>
          <w:tcPr>
            <w:tcW w:w="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00" w:type="dxa"/>
            <w:vAlign w:val="bottom"/>
          </w:tcPr>
          <w:p>
            <w:pPr>
              <w:jc w:val="center"/>
              <w:spacing w:after="0" w:line="217" w:lineRule="exact"/>
              <w:rPr>
                <w:sz w:val="20"/>
                <w:szCs w:val="20"/>
                <w:color w:val="auto"/>
              </w:rPr>
            </w:pPr>
            <w:r>
              <w:rPr>
                <w:rFonts w:ascii="Times New Roman" w:cs="Times New Roman" w:eastAsia="Times New Roman" w:hAnsi="Times New Roman"/>
                <w:sz w:val="19"/>
                <w:szCs w:val="19"/>
                <w:color w:val="auto"/>
              </w:rPr>
              <w:t>*</w:t>
            </w:r>
          </w:p>
        </w:tc>
      </w:tr>
      <w:tr>
        <w:trPr>
          <w:trHeight w:val="434"/>
        </w:trPr>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w:t>
            </w:r>
          </w:p>
        </w:tc>
      </w:tr>
      <w:tr>
        <w:trPr>
          <w:trHeight w:val="434"/>
        </w:trPr>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w:t>
            </w:r>
          </w:p>
        </w:tc>
      </w:tr>
      <w:tr>
        <w:trPr>
          <w:trHeight w:val="652"/>
        </w:trPr>
        <w:tc>
          <w:tcPr>
            <w:tcW w:w="8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10-Q</w:t>
            </w:r>
          </w:p>
        </w:tc>
        <w:tc>
          <w:tcPr>
            <w:tcW w:w="104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001-40925</w:t>
            </w:r>
          </w:p>
        </w:tc>
        <w:tc>
          <w:tcPr>
            <w:tcW w:w="10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10.2</w:t>
            </w:r>
          </w:p>
        </w:tc>
        <w:tc>
          <w:tcPr>
            <w:tcW w:w="1500" w:type="dxa"/>
            <w:vAlign w:val="bottom"/>
          </w:tcPr>
          <w:p>
            <w:pPr>
              <w:jc w:val="center"/>
              <w:ind w:left="6"/>
              <w:spacing w:after="0"/>
              <w:rPr>
                <w:sz w:val="20"/>
                <w:szCs w:val="20"/>
                <w:color w:val="auto"/>
              </w:rPr>
            </w:pPr>
            <w:r>
              <w:rPr>
                <w:rFonts w:ascii="Times New Roman" w:cs="Times New Roman" w:eastAsia="Times New Roman" w:hAnsi="Times New Roman"/>
                <w:sz w:val="19"/>
                <w:szCs w:val="19"/>
                <w:color w:val="auto"/>
                <w:w w:val="99"/>
              </w:rPr>
              <w:t>August 8, 2024</w:t>
            </w:r>
          </w:p>
        </w:tc>
      </w:tr>
      <w:tr>
        <w:trPr>
          <w:trHeight w:val="652"/>
        </w:trPr>
        <w:tc>
          <w:tcPr>
            <w:tcW w:w="8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8-K</w:t>
            </w:r>
          </w:p>
        </w:tc>
        <w:tc>
          <w:tcPr>
            <w:tcW w:w="104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001-40925</w:t>
            </w:r>
          </w:p>
        </w:tc>
        <w:tc>
          <w:tcPr>
            <w:tcW w:w="10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10.1</w:t>
            </w:r>
          </w:p>
        </w:tc>
        <w:tc>
          <w:tcPr>
            <w:tcW w:w="150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9"/>
              </w:rPr>
              <w:t>September 5, 2023</w:t>
            </w:r>
          </w:p>
        </w:tc>
      </w:tr>
      <w:tr>
        <w:trPr>
          <w:trHeight w:val="434"/>
        </w:trPr>
        <w:tc>
          <w:tcPr>
            <w:tcW w:w="8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10-K</w:t>
            </w:r>
          </w:p>
        </w:tc>
        <w:tc>
          <w:tcPr>
            <w:tcW w:w="104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001-40925</w:t>
            </w:r>
          </w:p>
        </w:tc>
        <w:tc>
          <w:tcPr>
            <w:tcW w:w="10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10.18</w:t>
            </w:r>
          </w:p>
        </w:tc>
        <w:tc>
          <w:tcPr>
            <w:tcW w:w="15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April 1, 2024</w:t>
            </w:r>
          </w:p>
        </w:tc>
      </w:tr>
      <w:tr>
        <w:trPr>
          <w:trHeight w:val="434"/>
        </w:trPr>
        <w:tc>
          <w:tcPr>
            <w:tcW w:w="8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S-1</w:t>
            </w:r>
          </w:p>
        </w:tc>
        <w:tc>
          <w:tcPr>
            <w:tcW w:w="104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333-259973</w:t>
            </w:r>
          </w:p>
        </w:tc>
        <w:tc>
          <w:tcPr>
            <w:tcW w:w="10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10.20</w:t>
            </w:r>
          </w:p>
        </w:tc>
        <w:tc>
          <w:tcPr>
            <w:tcW w:w="150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9"/>
              </w:rPr>
              <w:t>October 1, 2021</w:t>
            </w:r>
          </w:p>
        </w:tc>
      </w:tr>
      <w:tr>
        <w:trPr>
          <w:trHeight w:val="434"/>
        </w:trPr>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w:t>
            </w:r>
          </w:p>
        </w:tc>
      </w:tr>
      <w:tr>
        <w:trPr>
          <w:trHeight w:val="434"/>
        </w:trPr>
        <w:tc>
          <w:tcPr>
            <w:tcW w:w="8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S-1</w:t>
            </w:r>
          </w:p>
        </w:tc>
        <w:tc>
          <w:tcPr>
            <w:tcW w:w="104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333-259973</w:t>
            </w:r>
          </w:p>
        </w:tc>
        <w:tc>
          <w:tcPr>
            <w:tcW w:w="10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10.12</w:t>
            </w:r>
          </w:p>
        </w:tc>
        <w:tc>
          <w:tcPr>
            <w:tcW w:w="150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9"/>
              </w:rPr>
              <w:t>October 1, 2021</w:t>
            </w:r>
          </w:p>
        </w:tc>
      </w:tr>
      <w:tr>
        <w:trPr>
          <w:trHeight w:val="652"/>
        </w:trPr>
        <w:tc>
          <w:tcPr>
            <w:tcW w:w="8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S-1</w:t>
            </w:r>
          </w:p>
        </w:tc>
        <w:tc>
          <w:tcPr>
            <w:tcW w:w="104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333-259973</w:t>
            </w:r>
          </w:p>
        </w:tc>
        <w:tc>
          <w:tcPr>
            <w:tcW w:w="10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10.13</w:t>
            </w:r>
          </w:p>
        </w:tc>
        <w:tc>
          <w:tcPr>
            <w:tcW w:w="150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9"/>
              </w:rPr>
              <w:t>October 1, 2021</w:t>
            </w:r>
          </w:p>
        </w:tc>
      </w:tr>
      <w:tr>
        <w:trPr>
          <w:trHeight w:val="652"/>
        </w:trPr>
        <w:tc>
          <w:tcPr>
            <w:tcW w:w="8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S-1</w:t>
            </w:r>
          </w:p>
        </w:tc>
        <w:tc>
          <w:tcPr>
            <w:tcW w:w="104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333-259973</w:t>
            </w:r>
          </w:p>
        </w:tc>
        <w:tc>
          <w:tcPr>
            <w:tcW w:w="10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10.14</w:t>
            </w:r>
          </w:p>
        </w:tc>
        <w:tc>
          <w:tcPr>
            <w:tcW w:w="150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9"/>
              </w:rPr>
              <w:t>October 1, 2021</w:t>
            </w:r>
          </w:p>
        </w:tc>
      </w:tr>
      <w:tr>
        <w:trPr>
          <w:trHeight w:val="434"/>
        </w:trPr>
        <w:tc>
          <w:tcPr>
            <w:tcW w:w="8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8-K</w:t>
            </w:r>
          </w:p>
        </w:tc>
        <w:tc>
          <w:tcPr>
            <w:tcW w:w="104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001-40925</w:t>
            </w:r>
          </w:p>
        </w:tc>
        <w:tc>
          <w:tcPr>
            <w:tcW w:w="10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10.2</w:t>
            </w:r>
          </w:p>
        </w:tc>
        <w:tc>
          <w:tcPr>
            <w:tcW w:w="1500" w:type="dxa"/>
            <w:vAlign w:val="bottom"/>
          </w:tcPr>
          <w:p>
            <w:pPr>
              <w:jc w:val="center"/>
              <w:ind w:left="6"/>
              <w:spacing w:after="0"/>
              <w:rPr>
                <w:sz w:val="20"/>
                <w:szCs w:val="20"/>
                <w:color w:val="auto"/>
              </w:rPr>
            </w:pPr>
            <w:r>
              <w:rPr>
                <w:rFonts w:ascii="Times New Roman" w:cs="Times New Roman" w:eastAsia="Times New Roman" w:hAnsi="Times New Roman"/>
                <w:sz w:val="19"/>
                <w:szCs w:val="19"/>
                <w:color w:val="auto"/>
                <w:w w:val="99"/>
              </w:rPr>
              <w:t>March 28, 2024</w:t>
            </w:r>
          </w:p>
        </w:tc>
      </w:tr>
      <w:tr>
        <w:trPr>
          <w:trHeight w:val="434"/>
        </w:trPr>
        <w:tc>
          <w:tcPr>
            <w:tcW w:w="8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10-Q</w:t>
            </w:r>
          </w:p>
        </w:tc>
        <w:tc>
          <w:tcPr>
            <w:tcW w:w="104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001-40925</w:t>
            </w:r>
          </w:p>
        </w:tc>
        <w:tc>
          <w:tcPr>
            <w:tcW w:w="10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10.1</w:t>
            </w:r>
          </w:p>
        </w:tc>
        <w:tc>
          <w:tcPr>
            <w:tcW w:w="150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9"/>
              </w:rPr>
              <w:t>May 14, 2024</w:t>
            </w:r>
          </w:p>
        </w:tc>
      </w:tr>
      <w:tr>
        <w:trPr>
          <w:trHeight w:val="434"/>
        </w:trPr>
        <w:tc>
          <w:tcPr>
            <w:tcW w:w="8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10-Q</w:t>
            </w:r>
          </w:p>
        </w:tc>
        <w:tc>
          <w:tcPr>
            <w:tcW w:w="104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001-40925</w:t>
            </w:r>
          </w:p>
        </w:tc>
        <w:tc>
          <w:tcPr>
            <w:tcW w:w="10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10.3</w:t>
            </w:r>
          </w:p>
        </w:tc>
        <w:tc>
          <w:tcPr>
            <w:tcW w:w="150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9"/>
              </w:rPr>
              <w:t>May 14, 2024</w:t>
            </w:r>
          </w:p>
        </w:tc>
      </w:tr>
      <w:tr>
        <w:trPr>
          <w:trHeight w:val="434"/>
        </w:trPr>
        <w:tc>
          <w:tcPr>
            <w:tcW w:w="8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10-Q</w:t>
            </w:r>
          </w:p>
        </w:tc>
        <w:tc>
          <w:tcPr>
            <w:tcW w:w="104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001-40925</w:t>
            </w:r>
          </w:p>
        </w:tc>
        <w:tc>
          <w:tcPr>
            <w:tcW w:w="10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10.1</w:t>
            </w:r>
          </w:p>
        </w:tc>
        <w:tc>
          <w:tcPr>
            <w:tcW w:w="1500" w:type="dxa"/>
            <w:vAlign w:val="bottom"/>
          </w:tcPr>
          <w:p>
            <w:pPr>
              <w:jc w:val="center"/>
              <w:ind w:left="6"/>
              <w:spacing w:after="0"/>
              <w:rPr>
                <w:sz w:val="20"/>
                <w:szCs w:val="20"/>
                <w:color w:val="auto"/>
              </w:rPr>
            </w:pPr>
            <w:r>
              <w:rPr>
                <w:rFonts w:ascii="Times New Roman" w:cs="Times New Roman" w:eastAsia="Times New Roman" w:hAnsi="Times New Roman"/>
                <w:sz w:val="19"/>
                <w:szCs w:val="19"/>
                <w:color w:val="auto"/>
                <w:w w:val="99"/>
              </w:rPr>
              <w:t>May 8, 2025</w:t>
            </w:r>
          </w:p>
        </w:tc>
      </w:tr>
      <w:tr>
        <w:trPr>
          <w:trHeight w:val="652"/>
        </w:trPr>
        <w:tc>
          <w:tcPr>
            <w:tcW w:w="8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10-Q</w:t>
            </w:r>
          </w:p>
        </w:tc>
        <w:tc>
          <w:tcPr>
            <w:tcW w:w="104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001-40925</w:t>
            </w:r>
          </w:p>
        </w:tc>
        <w:tc>
          <w:tcPr>
            <w:tcW w:w="10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10.3</w:t>
            </w:r>
          </w:p>
        </w:tc>
        <w:tc>
          <w:tcPr>
            <w:tcW w:w="1500" w:type="dxa"/>
            <w:vAlign w:val="bottom"/>
          </w:tcPr>
          <w:p>
            <w:pPr>
              <w:jc w:val="center"/>
              <w:ind w:left="6"/>
              <w:spacing w:after="0"/>
              <w:rPr>
                <w:sz w:val="20"/>
                <w:szCs w:val="20"/>
                <w:color w:val="auto"/>
              </w:rPr>
            </w:pPr>
            <w:r>
              <w:rPr>
                <w:rFonts w:ascii="Times New Roman" w:cs="Times New Roman" w:eastAsia="Times New Roman" w:hAnsi="Times New Roman"/>
                <w:sz w:val="19"/>
                <w:szCs w:val="19"/>
                <w:color w:val="auto"/>
                <w:w w:val="99"/>
              </w:rPr>
              <w:t>May 8, 2025</w:t>
            </w:r>
          </w:p>
        </w:tc>
      </w:tr>
      <w:tr>
        <w:trPr>
          <w:trHeight w:val="434"/>
        </w:trPr>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w:t>
            </w:r>
          </w:p>
        </w:tc>
      </w:tr>
      <w:tr>
        <w:trPr>
          <w:trHeight w:val="217"/>
        </w:trPr>
        <w:tc>
          <w:tcPr>
            <w:tcW w:w="820" w:type="dxa"/>
            <w:vAlign w:val="bottom"/>
          </w:tcPr>
          <w:p>
            <w:pPr>
              <w:jc w:val="center"/>
              <w:spacing w:after="0" w:line="217" w:lineRule="exact"/>
              <w:rPr>
                <w:sz w:val="20"/>
                <w:szCs w:val="20"/>
                <w:color w:val="auto"/>
              </w:rPr>
            </w:pPr>
            <w:r>
              <w:rPr>
                <w:rFonts w:ascii="Times New Roman" w:cs="Times New Roman" w:eastAsia="Times New Roman" w:hAnsi="Times New Roman"/>
                <w:sz w:val="19"/>
                <w:szCs w:val="19"/>
                <w:color w:val="auto"/>
                <w:w w:val="97"/>
              </w:rPr>
              <w:t>10-K</w:t>
            </w:r>
          </w:p>
        </w:tc>
        <w:tc>
          <w:tcPr>
            <w:tcW w:w="1040" w:type="dxa"/>
            <w:vAlign w:val="bottom"/>
          </w:tcPr>
          <w:p>
            <w:pPr>
              <w:jc w:val="center"/>
              <w:spacing w:after="0" w:line="217" w:lineRule="exact"/>
              <w:rPr>
                <w:sz w:val="20"/>
                <w:szCs w:val="20"/>
                <w:color w:val="auto"/>
              </w:rPr>
            </w:pPr>
            <w:r>
              <w:rPr>
                <w:rFonts w:ascii="Times New Roman" w:cs="Times New Roman" w:eastAsia="Times New Roman" w:hAnsi="Times New Roman"/>
                <w:sz w:val="19"/>
                <w:szCs w:val="19"/>
                <w:color w:val="auto"/>
                <w:w w:val="97"/>
              </w:rPr>
              <w:t>001-40925</w:t>
            </w:r>
          </w:p>
        </w:tc>
        <w:tc>
          <w:tcPr>
            <w:tcW w:w="1080" w:type="dxa"/>
            <w:vAlign w:val="bottom"/>
          </w:tcPr>
          <w:p>
            <w:pPr>
              <w:jc w:val="center"/>
              <w:spacing w:after="0" w:line="217" w:lineRule="exact"/>
              <w:rPr>
                <w:sz w:val="20"/>
                <w:szCs w:val="20"/>
                <w:color w:val="auto"/>
              </w:rPr>
            </w:pPr>
            <w:r>
              <w:rPr>
                <w:rFonts w:ascii="Times New Roman" w:cs="Times New Roman" w:eastAsia="Times New Roman" w:hAnsi="Times New Roman"/>
                <w:sz w:val="19"/>
                <w:szCs w:val="19"/>
                <w:color w:val="auto"/>
                <w:w w:val="96"/>
              </w:rPr>
              <w:t>21.1</w:t>
            </w:r>
          </w:p>
        </w:tc>
        <w:tc>
          <w:tcPr>
            <w:tcW w:w="1500" w:type="dxa"/>
            <w:vAlign w:val="bottom"/>
          </w:tcPr>
          <w:p>
            <w:pPr>
              <w:jc w:val="center"/>
              <w:spacing w:after="0" w:line="217" w:lineRule="exact"/>
              <w:rPr>
                <w:sz w:val="20"/>
                <w:szCs w:val="20"/>
                <w:color w:val="auto"/>
              </w:rPr>
            </w:pPr>
            <w:r>
              <w:rPr>
                <w:rFonts w:ascii="Times New Roman" w:cs="Times New Roman" w:eastAsia="Times New Roman" w:hAnsi="Times New Roman"/>
                <w:sz w:val="19"/>
                <w:szCs w:val="19"/>
                <w:color w:val="auto"/>
              </w:rPr>
              <w:t>April 1, 2024</w:t>
            </w:r>
          </w:p>
        </w:tc>
      </w:tr>
    </w:tbl>
    <w:p>
      <w:pPr>
        <w:ind w:left="3680"/>
        <w:spacing w:after="0" w:line="238" w:lineRule="auto"/>
        <w:rPr>
          <w:sz w:val="20"/>
          <w:szCs w:val="20"/>
          <w:color w:val="auto"/>
        </w:rPr>
      </w:pPr>
      <w:r>
        <w:rPr>
          <w:rFonts w:ascii="Times New Roman" w:cs="Times New Roman" w:eastAsia="Times New Roman" w:hAnsi="Times New Roman"/>
          <w:sz w:val="19"/>
          <w:szCs w:val="19"/>
          <w:color w:val="auto"/>
        </w:rPr>
        <w:t>*</w:t>
      </w:r>
    </w:p>
    <w:p>
      <w:pPr>
        <w:spacing w:after="0" w:line="21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9"/>
          <w:szCs w:val="19"/>
          <w:color w:val="auto"/>
        </w:rPr>
        <w:t>*</w:t>
      </w:r>
    </w:p>
    <w:p>
      <w:pPr>
        <w:spacing w:after="0" w:line="417" w:lineRule="exact"/>
        <w:rPr>
          <w:sz w:val="20"/>
          <w:szCs w:val="20"/>
          <w:color w:val="auto"/>
        </w:rPr>
      </w:pPr>
    </w:p>
    <w:p>
      <w:pPr>
        <w:sectPr>
          <w:pgSz w:w="12240" w:h="15840" w:orient="portrait"/>
          <w:cols w:equalWidth="0" w:num="2">
            <w:col w:w="5580" w:space="160"/>
            <w:col w:w="4440"/>
          </w:cols>
          <w:pgMar w:left="1020" w:top="1335" w:right="1040" w:bottom="556"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ectPr>
          <w:pgSz w:w="12240" w:h="15840" w:orient="portrait"/>
          <w:cols w:equalWidth="0" w:num="1">
            <w:col w:w="10180"/>
          </w:cols>
          <w:pgMar w:left="1020" w:top="1335" w:right="1040" w:bottom="556" w:gutter="0" w:footer="0" w:header="0"/>
          <w:type w:val="continuous"/>
        </w:sectPr>
      </w:pPr>
    </w:p>
    <w:bookmarkStart w:id="121" w:name="page122"/>
    <w:bookmarkEnd w:id="121"/>
    <w:tbl>
      <w:tblPr>
        <w:tblLayout w:type="fixed"/>
        <w:tblInd w:w="0" w:type="dxa"/>
        <w:tblCellMar>
          <w:top w:w="0" w:type="dxa"/>
          <w:left w:w="0" w:type="dxa"/>
          <w:bottom w:w="0" w:type="dxa"/>
          <w:right w:w="0" w:type="dxa"/>
        </w:tblCellMar>
      </w:tblPr>
      <w:tr>
        <w:trPr>
          <w:trHeight w:val="218"/>
        </w:trPr>
        <w:tc>
          <w:tcPr>
            <w:tcW w:w="760" w:type="dxa"/>
            <w:vAlign w:val="bottom"/>
          </w:tcPr>
          <w:p>
            <w:pPr>
              <w:spacing w:after="0"/>
              <w:rPr>
                <w:sz w:val="18"/>
                <w:szCs w:val="18"/>
                <w:color w:val="auto"/>
              </w:rPr>
            </w:pPr>
          </w:p>
        </w:tc>
        <w:tc>
          <w:tcPr>
            <w:tcW w:w="49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Adopted Pursuant to Section 906 of the Sarbanes-Oxley Act of</w:t>
            </w:r>
          </w:p>
        </w:tc>
        <w:tc>
          <w:tcPr>
            <w:tcW w:w="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7"/>
        </w:trPr>
        <w:tc>
          <w:tcPr>
            <w:tcW w:w="760" w:type="dxa"/>
            <w:vAlign w:val="bottom"/>
          </w:tcPr>
          <w:p>
            <w:pPr>
              <w:spacing w:after="0"/>
              <w:rPr>
                <w:sz w:val="18"/>
                <w:szCs w:val="18"/>
                <w:color w:val="auto"/>
              </w:rPr>
            </w:pPr>
          </w:p>
        </w:tc>
        <w:tc>
          <w:tcPr>
            <w:tcW w:w="4980" w:type="dxa"/>
            <w:vAlign w:val="bottom"/>
          </w:tcPr>
          <w:p>
            <w:pPr>
              <w:ind w:left="60"/>
              <w:spacing w:after="0" w:line="217" w:lineRule="exact"/>
              <w:rPr>
                <w:sz w:val="20"/>
                <w:szCs w:val="20"/>
                <w:color w:val="auto"/>
              </w:rPr>
            </w:pPr>
            <w:r>
              <w:rPr>
                <w:rFonts w:ascii="Times New Roman" w:cs="Times New Roman" w:eastAsia="Times New Roman" w:hAnsi="Times New Roman"/>
                <w:sz w:val="19"/>
                <w:szCs w:val="19"/>
                <w:color w:val="auto"/>
              </w:rPr>
              <w:t>2002</w:t>
            </w:r>
          </w:p>
        </w:tc>
        <w:tc>
          <w:tcPr>
            <w:tcW w:w="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7"/>
        </w:trPr>
        <w:tc>
          <w:tcPr>
            <w:tcW w:w="760" w:type="dxa"/>
            <w:vAlign w:val="bottom"/>
          </w:tcPr>
          <w:p>
            <w:pPr>
              <w:spacing w:after="0" w:line="217" w:lineRule="exact"/>
              <w:rPr>
                <w:sz w:val="20"/>
                <w:szCs w:val="20"/>
                <w:color w:val="auto"/>
              </w:rPr>
            </w:pPr>
            <w:r>
              <w:rPr>
                <w:rFonts w:ascii="Times New Roman" w:cs="Times New Roman" w:eastAsia="Times New Roman" w:hAnsi="Times New Roman"/>
                <w:sz w:val="19"/>
                <w:szCs w:val="19"/>
                <w:color w:val="auto"/>
              </w:rPr>
              <w:t>97#</w:t>
            </w:r>
          </w:p>
        </w:tc>
        <w:tc>
          <w:tcPr>
            <w:tcW w:w="4980" w:type="dxa"/>
            <w:vAlign w:val="bottom"/>
          </w:tcPr>
          <w:p>
            <w:pPr>
              <w:ind w:left="60"/>
              <w:spacing w:after="0" w:line="217" w:lineRule="exact"/>
              <w:rPr>
                <w:sz w:val="20"/>
                <w:szCs w:val="20"/>
                <w:color w:val="auto"/>
              </w:rPr>
            </w:pPr>
            <w:r>
              <w:rPr>
                <w:rFonts w:ascii="Times New Roman" w:cs="Times New Roman" w:eastAsia="Times New Roman" w:hAnsi="Times New Roman"/>
                <w:sz w:val="19"/>
                <w:szCs w:val="19"/>
                <w:color w:val="auto"/>
              </w:rPr>
              <w:t>Executive Compensation Clawback Policy</w:t>
            </w:r>
          </w:p>
        </w:tc>
        <w:tc>
          <w:tcPr>
            <w:tcW w:w="740" w:type="dxa"/>
            <w:vAlign w:val="bottom"/>
          </w:tcPr>
          <w:p>
            <w:pPr>
              <w:ind w:left="180"/>
              <w:spacing w:after="0" w:line="217" w:lineRule="exact"/>
              <w:rPr>
                <w:sz w:val="20"/>
                <w:szCs w:val="20"/>
                <w:color w:val="auto"/>
              </w:rPr>
            </w:pPr>
            <w:r>
              <w:rPr>
                <w:rFonts w:ascii="Times New Roman" w:cs="Times New Roman" w:eastAsia="Times New Roman" w:hAnsi="Times New Roman"/>
                <w:sz w:val="19"/>
                <w:szCs w:val="19"/>
                <w:color w:val="auto"/>
              </w:rPr>
              <w:t>10-K</w:t>
            </w:r>
          </w:p>
        </w:tc>
        <w:tc>
          <w:tcPr>
            <w:tcW w:w="1280" w:type="dxa"/>
            <w:vAlign w:val="bottom"/>
          </w:tcPr>
          <w:p>
            <w:pPr>
              <w:jc w:val="right"/>
              <w:ind w:right="186"/>
              <w:spacing w:after="0" w:line="217" w:lineRule="exact"/>
              <w:rPr>
                <w:sz w:val="20"/>
                <w:szCs w:val="20"/>
                <w:color w:val="auto"/>
              </w:rPr>
            </w:pPr>
            <w:r>
              <w:rPr>
                <w:rFonts w:ascii="Times New Roman" w:cs="Times New Roman" w:eastAsia="Times New Roman" w:hAnsi="Times New Roman"/>
                <w:sz w:val="19"/>
                <w:szCs w:val="19"/>
                <w:color w:val="auto"/>
              </w:rPr>
              <w:t>001-40925</w:t>
            </w:r>
          </w:p>
        </w:tc>
        <w:tc>
          <w:tcPr>
            <w:tcW w:w="840" w:type="dxa"/>
            <w:vAlign w:val="bottom"/>
          </w:tcPr>
          <w:p>
            <w:pPr>
              <w:jc w:val="right"/>
              <w:ind w:right="266"/>
              <w:spacing w:after="0" w:line="217" w:lineRule="exact"/>
              <w:rPr>
                <w:sz w:val="20"/>
                <w:szCs w:val="20"/>
                <w:color w:val="auto"/>
              </w:rPr>
            </w:pPr>
            <w:r>
              <w:rPr>
                <w:rFonts w:ascii="Times New Roman" w:cs="Times New Roman" w:eastAsia="Times New Roman" w:hAnsi="Times New Roman"/>
                <w:sz w:val="19"/>
                <w:szCs w:val="19"/>
                <w:color w:val="auto"/>
              </w:rPr>
              <w:t>97</w:t>
            </w:r>
          </w:p>
        </w:tc>
        <w:tc>
          <w:tcPr>
            <w:tcW w:w="1380" w:type="dxa"/>
            <w:vAlign w:val="bottom"/>
          </w:tcPr>
          <w:p>
            <w:pPr>
              <w:jc w:val="center"/>
              <w:ind w:left="266"/>
              <w:spacing w:after="0" w:line="217" w:lineRule="exact"/>
              <w:rPr>
                <w:sz w:val="20"/>
                <w:szCs w:val="20"/>
                <w:color w:val="auto"/>
              </w:rPr>
            </w:pPr>
            <w:r>
              <w:rPr>
                <w:rFonts w:ascii="Times New Roman" w:cs="Times New Roman" w:eastAsia="Times New Roman" w:hAnsi="Times New Roman"/>
                <w:sz w:val="19"/>
                <w:szCs w:val="19"/>
                <w:color w:val="auto"/>
              </w:rPr>
              <w:t>April 1, 2024</w:t>
            </w:r>
          </w:p>
        </w:tc>
      </w:tr>
      <w:tr>
        <w:trPr>
          <w:trHeight w:val="217"/>
        </w:trPr>
        <w:tc>
          <w:tcPr>
            <w:tcW w:w="760" w:type="dxa"/>
            <w:vAlign w:val="bottom"/>
          </w:tcPr>
          <w:p>
            <w:pPr>
              <w:spacing w:after="0" w:line="217" w:lineRule="exact"/>
              <w:rPr>
                <w:sz w:val="20"/>
                <w:szCs w:val="20"/>
                <w:color w:val="auto"/>
              </w:rPr>
            </w:pPr>
            <w:r>
              <w:rPr>
                <w:rFonts w:ascii="Times New Roman" w:cs="Times New Roman" w:eastAsia="Times New Roman" w:hAnsi="Times New Roman"/>
                <w:sz w:val="19"/>
                <w:szCs w:val="19"/>
                <w:color w:val="auto"/>
              </w:rPr>
              <w:t>101.INS</w:t>
            </w:r>
          </w:p>
        </w:tc>
        <w:tc>
          <w:tcPr>
            <w:tcW w:w="4980" w:type="dxa"/>
            <w:vAlign w:val="bottom"/>
          </w:tcPr>
          <w:p>
            <w:pPr>
              <w:ind w:left="60"/>
              <w:spacing w:after="0" w:line="217" w:lineRule="exact"/>
              <w:rPr>
                <w:sz w:val="20"/>
                <w:szCs w:val="20"/>
                <w:color w:val="auto"/>
              </w:rPr>
            </w:pPr>
            <w:r>
              <w:rPr>
                <w:rFonts w:ascii="Times New Roman" w:cs="Times New Roman" w:eastAsia="Times New Roman" w:hAnsi="Times New Roman"/>
                <w:sz w:val="19"/>
                <w:szCs w:val="19"/>
                <w:color w:val="auto"/>
              </w:rPr>
              <w:t>XBRL Instance Document – the instance document does not</w:t>
            </w:r>
          </w:p>
        </w:tc>
        <w:tc>
          <w:tcPr>
            <w:tcW w:w="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80" w:type="dxa"/>
            <w:vAlign w:val="bottom"/>
          </w:tcPr>
          <w:p>
            <w:pPr>
              <w:jc w:val="center"/>
              <w:ind w:left="266"/>
              <w:spacing w:after="0" w:line="217" w:lineRule="exact"/>
              <w:rPr>
                <w:sz w:val="20"/>
                <w:szCs w:val="20"/>
                <w:color w:val="auto"/>
              </w:rPr>
            </w:pPr>
            <w:r>
              <w:rPr>
                <w:rFonts w:ascii="Times New Roman" w:cs="Times New Roman" w:eastAsia="Times New Roman" w:hAnsi="Times New Roman"/>
                <w:sz w:val="19"/>
                <w:szCs w:val="19"/>
                <w:color w:val="auto"/>
              </w:rPr>
              <w:t>*</w:t>
            </w:r>
          </w:p>
        </w:tc>
      </w:tr>
      <w:tr>
        <w:trPr>
          <w:trHeight w:val="217"/>
        </w:trPr>
        <w:tc>
          <w:tcPr>
            <w:tcW w:w="760" w:type="dxa"/>
            <w:vAlign w:val="bottom"/>
          </w:tcPr>
          <w:p>
            <w:pPr>
              <w:spacing w:after="0"/>
              <w:rPr>
                <w:sz w:val="18"/>
                <w:szCs w:val="18"/>
                <w:color w:val="auto"/>
              </w:rPr>
            </w:pPr>
          </w:p>
        </w:tc>
        <w:tc>
          <w:tcPr>
            <w:tcW w:w="4980" w:type="dxa"/>
            <w:vAlign w:val="bottom"/>
          </w:tcPr>
          <w:p>
            <w:pPr>
              <w:ind w:left="60"/>
              <w:spacing w:after="0" w:line="217" w:lineRule="exact"/>
              <w:rPr>
                <w:sz w:val="20"/>
                <w:szCs w:val="20"/>
                <w:color w:val="auto"/>
              </w:rPr>
            </w:pPr>
            <w:r>
              <w:rPr>
                <w:rFonts w:ascii="Times New Roman" w:cs="Times New Roman" w:eastAsia="Times New Roman" w:hAnsi="Times New Roman"/>
                <w:sz w:val="19"/>
                <w:szCs w:val="19"/>
                <w:color w:val="auto"/>
              </w:rPr>
              <w:t>appear in the Interactive Data File because its XBRL tags are</w:t>
            </w:r>
          </w:p>
        </w:tc>
        <w:tc>
          <w:tcPr>
            <w:tcW w:w="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7"/>
        </w:trPr>
        <w:tc>
          <w:tcPr>
            <w:tcW w:w="760" w:type="dxa"/>
            <w:vAlign w:val="bottom"/>
          </w:tcPr>
          <w:p>
            <w:pPr>
              <w:spacing w:after="0"/>
              <w:rPr>
                <w:sz w:val="18"/>
                <w:szCs w:val="18"/>
                <w:color w:val="auto"/>
              </w:rPr>
            </w:pPr>
          </w:p>
        </w:tc>
        <w:tc>
          <w:tcPr>
            <w:tcW w:w="4980" w:type="dxa"/>
            <w:vAlign w:val="bottom"/>
          </w:tcPr>
          <w:p>
            <w:pPr>
              <w:ind w:left="60"/>
              <w:spacing w:after="0" w:line="217" w:lineRule="exact"/>
              <w:rPr>
                <w:sz w:val="20"/>
                <w:szCs w:val="20"/>
                <w:color w:val="auto"/>
              </w:rPr>
            </w:pPr>
            <w:r>
              <w:rPr>
                <w:rFonts w:ascii="Times New Roman" w:cs="Times New Roman" w:eastAsia="Times New Roman" w:hAnsi="Times New Roman"/>
                <w:sz w:val="19"/>
                <w:szCs w:val="19"/>
                <w:color w:val="auto"/>
              </w:rPr>
              <w:t>embedded within the Inline XBRL document</w:t>
            </w:r>
          </w:p>
        </w:tc>
        <w:tc>
          <w:tcPr>
            <w:tcW w:w="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7"/>
        </w:trPr>
        <w:tc>
          <w:tcPr>
            <w:tcW w:w="760" w:type="dxa"/>
            <w:vAlign w:val="bottom"/>
          </w:tcPr>
          <w:p>
            <w:pPr>
              <w:spacing w:after="0" w:line="217" w:lineRule="exact"/>
              <w:rPr>
                <w:sz w:val="20"/>
                <w:szCs w:val="20"/>
                <w:color w:val="auto"/>
              </w:rPr>
            </w:pPr>
            <w:r>
              <w:rPr>
                <w:rFonts w:ascii="Times New Roman" w:cs="Times New Roman" w:eastAsia="Times New Roman" w:hAnsi="Times New Roman"/>
                <w:sz w:val="19"/>
                <w:szCs w:val="19"/>
                <w:color w:val="auto"/>
              </w:rPr>
              <w:t>101.SCH</w:t>
            </w:r>
          </w:p>
        </w:tc>
        <w:tc>
          <w:tcPr>
            <w:tcW w:w="4980" w:type="dxa"/>
            <w:vAlign w:val="bottom"/>
          </w:tcPr>
          <w:p>
            <w:pPr>
              <w:ind w:left="60"/>
              <w:spacing w:after="0" w:line="217" w:lineRule="exact"/>
              <w:rPr>
                <w:sz w:val="20"/>
                <w:szCs w:val="20"/>
                <w:color w:val="auto"/>
              </w:rPr>
            </w:pPr>
            <w:r>
              <w:rPr>
                <w:rFonts w:ascii="Times New Roman" w:cs="Times New Roman" w:eastAsia="Times New Roman" w:hAnsi="Times New Roman"/>
                <w:sz w:val="19"/>
                <w:szCs w:val="19"/>
                <w:color w:val="auto"/>
              </w:rPr>
              <w:t>Inline XBRL Taxonomy Extension Calculation Linkbase</w:t>
            </w:r>
          </w:p>
        </w:tc>
        <w:tc>
          <w:tcPr>
            <w:tcW w:w="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80" w:type="dxa"/>
            <w:vAlign w:val="bottom"/>
          </w:tcPr>
          <w:p>
            <w:pPr>
              <w:jc w:val="center"/>
              <w:ind w:left="266"/>
              <w:spacing w:after="0" w:line="217" w:lineRule="exact"/>
              <w:rPr>
                <w:sz w:val="20"/>
                <w:szCs w:val="20"/>
                <w:color w:val="auto"/>
              </w:rPr>
            </w:pPr>
            <w:r>
              <w:rPr>
                <w:rFonts w:ascii="Times New Roman" w:cs="Times New Roman" w:eastAsia="Times New Roman" w:hAnsi="Times New Roman"/>
                <w:sz w:val="19"/>
                <w:szCs w:val="19"/>
                <w:color w:val="auto"/>
              </w:rPr>
              <w:t>*</w:t>
            </w:r>
          </w:p>
        </w:tc>
      </w:tr>
      <w:tr>
        <w:trPr>
          <w:trHeight w:val="217"/>
        </w:trPr>
        <w:tc>
          <w:tcPr>
            <w:tcW w:w="760" w:type="dxa"/>
            <w:vAlign w:val="bottom"/>
          </w:tcPr>
          <w:p>
            <w:pPr>
              <w:spacing w:after="0"/>
              <w:rPr>
                <w:sz w:val="18"/>
                <w:szCs w:val="18"/>
                <w:color w:val="auto"/>
              </w:rPr>
            </w:pPr>
          </w:p>
        </w:tc>
        <w:tc>
          <w:tcPr>
            <w:tcW w:w="4980" w:type="dxa"/>
            <w:vAlign w:val="bottom"/>
          </w:tcPr>
          <w:p>
            <w:pPr>
              <w:ind w:left="60"/>
              <w:spacing w:after="0" w:line="217" w:lineRule="exact"/>
              <w:rPr>
                <w:sz w:val="20"/>
                <w:szCs w:val="20"/>
                <w:color w:val="auto"/>
              </w:rPr>
            </w:pPr>
            <w:r>
              <w:rPr>
                <w:rFonts w:ascii="Times New Roman" w:cs="Times New Roman" w:eastAsia="Times New Roman" w:hAnsi="Times New Roman"/>
                <w:sz w:val="19"/>
                <w:szCs w:val="19"/>
                <w:color w:val="auto"/>
              </w:rPr>
              <w:t>Document</w:t>
            </w:r>
          </w:p>
        </w:tc>
        <w:tc>
          <w:tcPr>
            <w:tcW w:w="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7"/>
        </w:trPr>
        <w:tc>
          <w:tcPr>
            <w:tcW w:w="760" w:type="dxa"/>
            <w:vAlign w:val="bottom"/>
          </w:tcPr>
          <w:p>
            <w:pPr>
              <w:spacing w:after="0" w:line="217" w:lineRule="exact"/>
              <w:rPr>
                <w:sz w:val="20"/>
                <w:szCs w:val="20"/>
                <w:color w:val="auto"/>
              </w:rPr>
            </w:pPr>
            <w:r>
              <w:rPr>
                <w:rFonts w:ascii="Times New Roman" w:cs="Times New Roman" w:eastAsia="Times New Roman" w:hAnsi="Times New Roman"/>
                <w:sz w:val="19"/>
                <w:szCs w:val="19"/>
                <w:color w:val="auto"/>
              </w:rPr>
              <w:t>101.CAL</w:t>
            </w:r>
          </w:p>
        </w:tc>
        <w:tc>
          <w:tcPr>
            <w:tcW w:w="4980" w:type="dxa"/>
            <w:vAlign w:val="bottom"/>
          </w:tcPr>
          <w:p>
            <w:pPr>
              <w:ind w:left="60"/>
              <w:spacing w:after="0" w:line="217" w:lineRule="exact"/>
              <w:rPr>
                <w:sz w:val="20"/>
                <w:szCs w:val="20"/>
                <w:color w:val="auto"/>
              </w:rPr>
            </w:pPr>
            <w:r>
              <w:rPr>
                <w:rFonts w:ascii="Times New Roman" w:cs="Times New Roman" w:eastAsia="Times New Roman" w:hAnsi="Times New Roman"/>
                <w:sz w:val="19"/>
                <w:szCs w:val="19"/>
                <w:color w:val="auto"/>
              </w:rPr>
              <w:t>Inline XBRL Taxonomy Extension Definition Linkbase</w:t>
            </w:r>
          </w:p>
        </w:tc>
        <w:tc>
          <w:tcPr>
            <w:tcW w:w="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80" w:type="dxa"/>
            <w:vAlign w:val="bottom"/>
          </w:tcPr>
          <w:p>
            <w:pPr>
              <w:jc w:val="center"/>
              <w:ind w:left="266"/>
              <w:spacing w:after="0" w:line="217" w:lineRule="exact"/>
              <w:rPr>
                <w:sz w:val="20"/>
                <w:szCs w:val="20"/>
                <w:color w:val="auto"/>
              </w:rPr>
            </w:pPr>
            <w:r>
              <w:rPr>
                <w:rFonts w:ascii="Times New Roman" w:cs="Times New Roman" w:eastAsia="Times New Roman" w:hAnsi="Times New Roman"/>
                <w:sz w:val="19"/>
                <w:szCs w:val="19"/>
                <w:color w:val="auto"/>
              </w:rPr>
              <w:t>*</w:t>
            </w:r>
          </w:p>
        </w:tc>
      </w:tr>
      <w:tr>
        <w:trPr>
          <w:trHeight w:val="217"/>
        </w:trPr>
        <w:tc>
          <w:tcPr>
            <w:tcW w:w="760" w:type="dxa"/>
            <w:vAlign w:val="bottom"/>
          </w:tcPr>
          <w:p>
            <w:pPr>
              <w:spacing w:after="0"/>
              <w:rPr>
                <w:sz w:val="18"/>
                <w:szCs w:val="18"/>
                <w:color w:val="auto"/>
              </w:rPr>
            </w:pPr>
          </w:p>
        </w:tc>
        <w:tc>
          <w:tcPr>
            <w:tcW w:w="4980" w:type="dxa"/>
            <w:vAlign w:val="bottom"/>
          </w:tcPr>
          <w:p>
            <w:pPr>
              <w:ind w:left="60"/>
              <w:spacing w:after="0" w:line="217" w:lineRule="exact"/>
              <w:rPr>
                <w:sz w:val="20"/>
                <w:szCs w:val="20"/>
                <w:color w:val="auto"/>
              </w:rPr>
            </w:pPr>
            <w:r>
              <w:rPr>
                <w:rFonts w:ascii="Times New Roman" w:cs="Times New Roman" w:eastAsia="Times New Roman" w:hAnsi="Times New Roman"/>
                <w:sz w:val="19"/>
                <w:szCs w:val="19"/>
                <w:color w:val="auto"/>
              </w:rPr>
              <w:t>Document</w:t>
            </w:r>
          </w:p>
        </w:tc>
        <w:tc>
          <w:tcPr>
            <w:tcW w:w="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7"/>
        </w:trPr>
        <w:tc>
          <w:tcPr>
            <w:tcW w:w="760" w:type="dxa"/>
            <w:vAlign w:val="bottom"/>
          </w:tcPr>
          <w:p>
            <w:pPr>
              <w:spacing w:after="0" w:line="217" w:lineRule="exact"/>
              <w:rPr>
                <w:sz w:val="20"/>
                <w:szCs w:val="20"/>
                <w:color w:val="auto"/>
              </w:rPr>
            </w:pPr>
            <w:r>
              <w:rPr>
                <w:rFonts w:ascii="Times New Roman" w:cs="Times New Roman" w:eastAsia="Times New Roman" w:hAnsi="Times New Roman"/>
                <w:sz w:val="19"/>
                <w:szCs w:val="19"/>
                <w:color w:val="auto"/>
              </w:rPr>
              <w:t>101.DEF</w:t>
            </w:r>
          </w:p>
        </w:tc>
        <w:tc>
          <w:tcPr>
            <w:tcW w:w="4980" w:type="dxa"/>
            <w:vAlign w:val="bottom"/>
          </w:tcPr>
          <w:p>
            <w:pPr>
              <w:ind w:left="60"/>
              <w:spacing w:after="0" w:line="217" w:lineRule="exact"/>
              <w:rPr>
                <w:sz w:val="20"/>
                <w:szCs w:val="20"/>
                <w:color w:val="auto"/>
              </w:rPr>
            </w:pPr>
            <w:r>
              <w:rPr>
                <w:rFonts w:ascii="Times New Roman" w:cs="Times New Roman" w:eastAsia="Times New Roman" w:hAnsi="Times New Roman"/>
                <w:sz w:val="19"/>
                <w:szCs w:val="19"/>
                <w:color w:val="auto"/>
              </w:rPr>
              <w:t>Inline XBRL Taxonomy Extension Label Linkbase Document</w:t>
            </w:r>
          </w:p>
        </w:tc>
        <w:tc>
          <w:tcPr>
            <w:tcW w:w="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80" w:type="dxa"/>
            <w:vAlign w:val="bottom"/>
          </w:tcPr>
          <w:p>
            <w:pPr>
              <w:jc w:val="center"/>
              <w:ind w:left="266"/>
              <w:spacing w:after="0" w:line="217" w:lineRule="exact"/>
              <w:rPr>
                <w:sz w:val="20"/>
                <w:szCs w:val="20"/>
                <w:color w:val="auto"/>
              </w:rPr>
            </w:pPr>
            <w:r>
              <w:rPr>
                <w:rFonts w:ascii="Times New Roman" w:cs="Times New Roman" w:eastAsia="Times New Roman" w:hAnsi="Times New Roman"/>
                <w:sz w:val="19"/>
                <w:szCs w:val="19"/>
                <w:color w:val="auto"/>
              </w:rPr>
              <w:t>*</w:t>
            </w:r>
          </w:p>
        </w:tc>
      </w:tr>
      <w:tr>
        <w:trPr>
          <w:trHeight w:val="217"/>
        </w:trPr>
        <w:tc>
          <w:tcPr>
            <w:tcW w:w="760" w:type="dxa"/>
            <w:vAlign w:val="bottom"/>
          </w:tcPr>
          <w:p>
            <w:pPr>
              <w:spacing w:after="0" w:line="217" w:lineRule="exact"/>
              <w:rPr>
                <w:sz w:val="20"/>
                <w:szCs w:val="20"/>
                <w:color w:val="auto"/>
              </w:rPr>
            </w:pPr>
            <w:r>
              <w:rPr>
                <w:rFonts w:ascii="Times New Roman" w:cs="Times New Roman" w:eastAsia="Times New Roman" w:hAnsi="Times New Roman"/>
                <w:sz w:val="19"/>
                <w:szCs w:val="19"/>
                <w:color w:val="auto"/>
              </w:rPr>
              <w:t>101.LAB</w:t>
            </w:r>
          </w:p>
        </w:tc>
        <w:tc>
          <w:tcPr>
            <w:tcW w:w="4980" w:type="dxa"/>
            <w:vAlign w:val="bottom"/>
          </w:tcPr>
          <w:p>
            <w:pPr>
              <w:ind w:left="60"/>
              <w:spacing w:after="0" w:line="217" w:lineRule="exact"/>
              <w:rPr>
                <w:sz w:val="20"/>
                <w:szCs w:val="20"/>
                <w:color w:val="auto"/>
              </w:rPr>
            </w:pPr>
            <w:r>
              <w:rPr>
                <w:rFonts w:ascii="Times New Roman" w:cs="Times New Roman" w:eastAsia="Times New Roman" w:hAnsi="Times New Roman"/>
                <w:sz w:val="19"/>
                <w:szCs w:val="19"/>
                <w:color w:val="auto"/>
              </w:rPr>
              <w:t>Inline XBRL Taxonomy Extension Presentation Linkbase</w:t>
            </w:r>
          </w:p>
        </w:tc>
        <w:tc>
          <w:tcPr>
            <w:tcW w:w="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80" w:type="dxa"/>
            <w:vAlign w:val="bottom"/>
          </w:tcPr>
          <w:p>
            <w:pPr>
              <w:jc w:val="center"/>
              <w:ind w:left="266"/>
              <w:spacing w:after="0" w:line="217" w:lineRule="exact"/>
              <w:rPr>
                <w:sz w:val="20"/>
                <w:szCs w:val="20"/>
                <w:color w:val="auto"/>
              </w:rPr>
            </w:pPr>
            <w:r>
              <w:rPr>
                <w:rFonts w:ascii="Times New Roman" w:cs="Times New Roman" w:eastAsia="Times New Roman" w:hAnsi="Times New Roman"/>
                <w:sz w:val="19"/>
                <w:szCs w:val="19"/>
                <w:color w:val="auto"/>
              </w:rPr>
              <w:t>*</w:t>
            </w:r>
          </w:p>
        </w:tc>
      </w:tr>
      <w:tr>
        <w:trPr>
          <w:trHeight w:val="217"/>
        </w:trPr>
        <w:tc>
          <w:tcPr>
            <w:tcW w:w="760" w:type="dxa"/>
            <w:vAlign w:val="bottom"/>
          </w:tcPr>
          <w:p>
            <w:pPr>
              <w:spacing w:after="0"/>
              <w:rPr>
                <w:sz w:val="18"/>
                <w:szCs w:val="18"/>
                <w:color w:val="auto"/>
              </w:rPr>
            </w:pPr>
          </w:p>
        </w:tc>
        <w:tc>
          <w:tcPr>
            <w:tcW w:w="4980" w:type="dxa"/>
            <w:vAlign w:val="bottom"/>
          </w:tcPr>
          <w:p>
            <w:pPr>
              <w:ind w:left="60"/>
              <w:spacing w:after="0" w:line="217" w:lineRule="exact"/>
              <w:rPr>
                <w:sz w:val="20"/>
                <w:szCs w:val="20"/>
                <w:color w:val="auto"/>
              </w:rPr>
            </w:pPr>
            <w:r>
              <w:rPr>
                <w:rFonts w:ascii="Times New Roman" w:cs="Times New Roman" w:eastAsia="Times New Roman" w:hAnsi="Times New Roman"/>
                <w:sz w:val="19"/>
                <w:szCs w:val="19"/>
                <w:color w:val="auto"/>
              </w:rPr>
              <w:t>Document</w:t>
            </w:r>
          </w:p>
        </w:tc>
        <w:tc>
          <w:tcPr>
            <w:tcW w:w="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80" w:type="dxa"/>
            <w:vAlign w:val="bottom"/>
          </w:tcPr>
          <w:p>
            <w:pPr>
              <w:spacing w:after="0"/>
              <w:rPr>
                <w:sz w:val="18"/>
                <w:szCs w:val="18"/>
                <w:color w:val="auto"/>
              </w:rPr>
            </w:pPr>
          </w:p>
        </w:tc>
      </w:tr>
    </w:tbl>
    <w:p>
      <w:pPr>
        <w:spacing w:after="0" w:line="11" w:lineRule="exact"/>
        <w:rPr>
          <w:sz w:val="20"/>
          <w:szCs w:val="20"/>
          <w:color w:val="auto"/>
        </w:rPr>
      </w:pPr>
    </w:p>
    <w:p>
      <w:pPr>
        <w:ind w:left="820" w:right="4740" w:hanging="820"/>
        <w:spacing w:after="0" w:line="234" w:lineRule="auto"/>
        <w:tabs>
          <w:tab w:leader="none" w:pos="820"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Cover Page Interactive Data File (formatted as Inline XBRL with applicable taxonomy extension information contained in Exhibits 101)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155575</wp:posOffset>
                </wp:positionV>
                <wp:extent cx="1295400"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95400" cy="4763"/>
                        </a:xfrm>
                        <a:prstGeom prst="line">
                          <a:avLst/>
                        </a:prstGeom>
                        <a:solidFill>
                          <a:srgbClr val="FFFFFF"/>
                        </a:solidFill>
                        <a:ln w="8991">
                          <a:solidFill>
                            <a:srgbClr val="000000"/>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25pt" to="102pt,12.25pt" o:allowincell="f" strokecolor="#000000" strokeweight="0.708pt"/>
            </w:pict>
          </mc:Fallback>
        </mc:AlternateContent>
      </w:r>
    </w:p>
    <w:p>
      <w:pPr>
        <w:spacing w:after="0" w:line="269"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9"/>
          <w:szCs w:val="19"/>
          <w:color w:val="auto"/>
        </w:rPr>
        <w:t>*</w:t>
        <w:tab/>
        <w:t>Filed herewith.</w:t>
      </w:r>
    </w:p>
    <w:p>
      <w:pPr>
        <w:spacing w:after="0" w:line="238" w:lineRule="auto"/>
        <w:tabs>
          <w:tab w:leader="none" w:pos="260" w:val="left"/>
        </w:tabs>
        <w:rPr>
          <w:sz w:val="20"/>
          <w:szCs w:val="20"/>
          <w:color w:val="auto"/>
        </w:rPr>
      </w:pPr>
      <w:r>
        <w:rPr>
          <w:rFonts w:ascii="Times New Roman" w:cs="Times New Roman" w:eastAsia="Times New Roman" w:hAnsi="Times New Roman"/>
          <w:sz w:val="19"/>
          <w:szCs w:val="19"/>
          <w:color w:val="auto"/>
        </w:rPr>
        <w:t>#</w:t>
        <w:tab/>
        <w:t>Indicates management contract or compensatory plan or arrangement.</w:t>
      </w:r>
    </w:p>
    <w:p>
      <w:pPr>
        <w:spacing w:after="0" w:line="11" w:lineRule="exact"/>
        <w:rPr>
          <w:sz w:val="20"/>
          <w:szCs w:val="20"/>
          <w:color w:val="auto"/>
        </w:rPr>
      </w:pPr>
    </w:p>
    <w:p>
      <w:pPr>
        <w:ind w:left="280" w:hanging="280"/>
        <w:spacing w:after="0" w:line="232" w:lineRule="auto"/>
        <w:tabs>
          <w:tab w:leader="none" w:pos="290"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Portions of this exhibit have been omitted pursuant to Item 601 of Regulation S-K promulgated under the Securities Act because the information is not material and is a type of information that the registrant treats as private or confidential.</w:t>
      </w:r>
    </w:p>
    <w:p>
      <w:pPr>
        <w:spacing w:after="0" w:line="12" w:lineRule="exact"/>
        <w:rPr>
          <w:sz w:val="20"/>
          <w:szCs w:val="20"/>
          <w:color w:val="auto"/>
        </w:rPr>
      </w:pPr>
    </w:p>
    <w:p>
      <w:pPr>
        <w:jc w:val="both"/>
        <w:ind w:left="280" w:hanging="280"/>
        <w:spacing w:after="0" w:line="235" w:lineRule="auto"/>
        <w:tabs>
          <w:tab w:leader="none" w:pos="284"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certifications attached as Exhibit 32.1 are being furnished solely to accompany this Annual Report on Form 10-K and will not be deemed to be “filed” for purposes of Section 18 of the Exchange Act or otherwise subject to the liability of that section. Such certifications will not be deemed to be incorporated by reference into any filing under the Securities Act or the Exchange Act, except to the extent that the Registrant specifically incorporates it by reference into such filing.</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16. Form 10</w:t>
      </w:r>
      <w:r>
        <w:rPr>
          <w:rFonts w:ascii="Arial" w:cs="Arial" w:eastAsia="Arial" w:hAnsi="Arial"/>
          <w:sz w:val="19"/>
          <w:szCs w:val="19"/>
          <w:color w:val="auto"/>
        </w:rPr>
        <w:t>̻</w:t>
      </w:r>
      <w:r>
        <w:rPr>
          <w:rFonts w:ascii="Times New Roman" w:cs="Times New Roman" w:eastAsia="Times New Roman" w:hAnsi="Times New Roman"/>
          <w:sz w:val="19"/>
          <w:szCs w:val="19"/>
          <w:b w:val="1"/>
          <w:bCs w:val="1"/>
          <w:color w:val="auto"/>
        </w:rPr>
        <w:t>K Summary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897890</wp:posOffset>
                </wp:positionH>
                <wp:positionV relativeFrom="paragraph">
                  <wp:posOffset>-73025</wp:posOffset>
                </wp:positionV>
                <wp:extent cx="34290"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290" cy="4763"/>
                        </a:xfrm>
                        <a:prstGeom prst="line">
                          <a:avLst/>
                        </a:prstGeom>
                        <a:solidFill>
                          <a:srgbClr val="FFFFFF"/>
                        </a:solidFill>
                        <a:ln w="3594">
                          <a:solidFill>
                            <a:srgbClr val="000000"/>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0.7pt,-5.7499pt" to="73.4pt,-5.7499pt" o:allowincell="f" strokecolor="#000000" strokeweight="0.283pt"/>
            </w:pict>
          </mc:Fallback>
        </mc:AlternateContent>
        <mc:AlternateContent>
          <mc:Choice Requires="wps">
            <w:drawing>
              <wp:anchor simplePos="0" relativeHeight="251657728" behindDoc="1" locked="0" layoutInCell="0" allowOverlap="1">
                <wp:simplePos x="0" y="0"/>
                <wp:positionH relativeFrom="column">
                  <wp:posOffset>897890</wp:posOffset>
                </wp:positionH>
                <wp:positionV relativeFrom="paragraph">
                  <wp:posOffset>-64135</wp:posOffset>
                </wp:positionV>
                <wp:extent cx="34290"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290" cy="4763"/>
                        </a:xfrm>
                        <a:prstGeom prst="line">
                          <a:avLst/>
                        </a:prstGeom>
                        <a:solidFill>
                          <a:srgbClr val="FFFFFF"/>
                        </a:solidFill>
                        <a:ln w="3594">
                          <a:solidFill>
                            <a:srgbClr val="00000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0.7pt,-5.0499pt" to="73.4pt,-5.0499pt" o:allowincell="f" strokecolor="#000000" strokeweight="0.283pt"/>
            </w:pict>
          </mc:Fallback>
        </mc:AlternateContent>
        <mc:AlternateContent>
          <mc:Choice Requires="wps">
            <w:drawing>
              <wp:anchor simplePos="0" relativeHeight="251657728" behindDoc="1" locked="0" layoutInCell="0" allowOverlap="1">
                <wp:simplePos x="0" y="0"/>
                <wp:positionH relativeFrom="column">
                  <wp:posOffset>899795</wp:posOffset>
                </wp:positionH>
                <wp:positionV relativeFrom="paragraph">
                  <wp:posOffset>-74930</wp:posOffset>
                </wp:positionV>
                <wp:extent cx="0" cy="1270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700"/>
                        </a:xfrm>
                        <a:prstGeom prst="line">
                          <a:avLst/>
                        </a:prstGeom>
                        <a:solidFill>
                          <a:srgbClr val="FFFFFF"/>
                        </a:solidFill>
                        <a:ln w="3594">
                          <a:solidFill>
                            <a:srgbClr val="000000"/>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0.85pt,-5.8999pt" to="70.85pt,-4.8999pt" o:allowincell="f" strokecolor="#000000" strokeweight="0.283pt"/>
            </w:pict>
          </mc:Fallback>
        </mc:AlternateContent>
        <mc:AlternateContent>
          <mc:Choice Requires="wps">
            <w:drawing>
              <wp:anchor simplePos="0" relativeHeight="251657728" behindDoc="1" locked="0" layoutInCell="0" allowOverlap="1">
                <wp:simplePos x="0" y="0"/>
                <wp:positionH relativeFrom="column">
                  <wp:posOffset>930275</wp:posOffset>
                </wp:positionH>
                <wp:positionV relativeFrom="paragraph">
                  <wp:posOffset>-74930</wp:posOffset>
                </wp:positionV>
                <wp:extent cx="0" cy="1270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700"/>
                        </a:xfrm>
                        <a:prstGeom prst="line">
                          <a:avLst/>
                        </a:prstGeom>
                        <a:solidFill>
                          <a:srgbClr val="FFFFFF"/>
                        </a:solidFill>
                        <a:ln w="3594">
                          <a:solidFill>
                            <a:srgbClr val="000000"/>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3.25pt,-5.8999pt" to="73.25pt,-4.8999pt" o:allowincell="f" strokecolor="#000000" strokeweight="0.283pt"/>
            </w:pict>
          </mc:Fallback>
        </mc:AlternateContent>
      </w:r>
    </w:p>
    <w:p>
      <w:pPr>
        <w:spacing w:after="0" w:line="2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None.</w:t>
      </w:r>
    </w:p>
    <w:p>
      <w:pPr>
        <w:sectPr>
          <w:pgSz w:w="12240" w:h="15840" w:orient="portrait"/>
          <w:cols w:equalWidth="0" w:num="1">
            <w:col w:w="10200"/>
          </w:cols>
          <w:pgMar w:left="1020" w:top="1335" w:right="1020" w:bottom="5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ectPr>
          <w:pgSz w:w="12240" w:h="15840" w:orient="portrait"/>
          <w:cols w:equalWidth="0" w:num="1">
            <w:col w:w="10200"/>
          </w:cols>
          <w:pgMar w:left="1020" w:top="1335" w:right="1020" w:bottom="556" w:gutter="0" w:footer="0" w:header="0"/>
          <w:type w:val="continuous"/>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9"/>
          <w:szCs w:val="19"/>
          <w:b w:val="1"/>
          <w:bCs w:val="1"/>
          <w:color w:val="auto"/>
        </w:rPr>
        <w:t>SIGNATURES</w:t>
      </w:r>
    </w:p>
    <w:p>
      <w:pPr>
        <w:spacing w:after="0" w:line="238" w:lineRule="exact"/>
        <w:rPr>
          <w:sz w:val="20"/>
          <w:szCs w:val="20"/>
          <w:color w:val="auto"/>
        </w:rPr>
      </w:pPr>
    </w:p>
    <w:p>
      <w:pPr>
        <w:ind w:firstLine="680"/>
        <w:spacing w:after="0" w:line="232" w:lineRule="auto"/>
        <w:rPr>
          <w:sz w:val="20"/>
          <w:szCs w:val="20"/>
          <w:color w:val="auto"/>
        </w:rPr>
      </w:pPr>
      <w:r>
        <w:rPr>
          <w:rFonts w:ascii="Times New Roman" w:cs="Times New Roman" w:eastAsia="Times New Roman" w:hAnsi="Times New Roman"/>
          <w:sz w:val="19"/>
          <w:szCs w:val="19"/>
          <w:color w:val="auto"/>
        </w:rPr>
        <w:t>Pursuant to the requirements of Section 13 or 15(d) of the Securities Exchange Act of 1934, the registrant has duly caused this report to be signed on its behalf by the undersigned, thereunto duly authorized.</w:t>
      </w:r>
    </w:p>
    <w:p>
      <w:pPr>
        <w:spacing w:after="0" w:line="38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9"/>
          <w:szCs w:val="19"/>
          <w:b w:val="1"/>
          <w:bCs w:val="1"/>
          <w:color w:val="auto"/>
        </w:rPr>
        <w:t>XILIO THERAPEUTICS, INC.</w:t>
      </w:r>
    </w:p>
    <w:p>
      <w:pPr>
        <w:spacing w:after="0" w:line="242" w:lineRule="exact"/>
        <w:rPr>
          <w:sz w:val="20"/>
          <w:szCs w:val="20"/>
          <w:color w:val="auto"/>
        </w:rPr>
      </w:pPr>
    </w:p>
    <w:p>
      <w:pPr>
        <w:spacing w:after="0"/>
        <w:tabs>
          <w:tab w:leader="none" w:pos="6820" w:val="left"/>
        </w:tabs>
        <w:rPr>
          <w:sz w:val="20"/>
          <w:szCs w:val="20"/>
          <w:color w:val="auto"/>
        </w:rPr>
      </w:pPr>
      <w:r>
        <w:rPr>
          <w:rFonts w:ascii="Times New Roman" w:cs="Times New Roman" w:eastAsia="Times New Roman" w:hAnsi="Times New Roman"/>
          <w:sz w:val="19"/>
          <w:szCs w:val="19"/>
          <w:color w:val="auto"/>
        </w:rPr>
        <w:t>Date: March 23, 2026</w:t>
      </w:r>
      <w:r>
        <w:rPr>
          <w:sz w:val="20"/>
          <w:szCs w:val="20"/>
          <w:color w:val="auto"/>
        </w:rPr>
        <w:tab/>
      </w:r>
      <w:r>
        <w:rPr>
          <w:rFonts w:ascii="Times New Roman" w:cs="Times New Roman" w:eastAsia="Times New Roman" w:hAnsi="Times New Roman"/>
          <w:sz w:val="18"/>
          <w:szCs w:val="18"/>
          <w:color w:val="auto"/>
        </w:rPr>
        <w:t>By: /s/ René Russo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4533900</wp:posOffset>
                </wp:positionH>
                <wp:positionV relativeFrom="paragraph">
                  <wp:posOffset>3175</wp:posOffset>
                </wp:positionV>
                <wp:extent cx="1943100"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763"/>
                        </a:xfrm>
                        <a:prstGeom prst="line">
                          <a:avLst/>
                        </a:prstGeom>
                        <a:solidFill>
                          <a:srgbClr val="FFFFFF"/>
                        </a:solidFill>
                        <a:ln w="5994">
                          <a:solidFill>
                            <a:srgbClr val="000000"/>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7pt,0.25pt" to="510pt,0.25pt" o:allowincell="f" strokecolor="#000000" strokeweight="0.472pt"/>
            </w:pict>
          </mc:Fallback>
        </mc:AlternateContent>
      </w:r>
    </w:p>
    <w:p>
      <w:pPr>
        <w:spacing w:after="0" w:line="1"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9"/>
          <w:szCs w:val="19"/>
          <w:color w:val="auto"/>
        </w:rPr>
        <w:t>René Russo</w:t>
      </w:r>
    </w:p>
    <w:p>
      <w:pPr>
        <w:ind w:left="7140"/>
        <w:spacing w:after="0"/>
        <w:rPr>
          <w:sz w:val="20"/>
          <w:szCs w:val="20"/>
          <w:color w:val="auto"/>
        </w:rPr>
      </w:pPr>
      <w:r>
        <w:rPr>
          <w:rFonts w:ascii="Times New Roman" w:cs="Times New Roman" w:eastAsia="Times New Roman" w:hAnsi="Times New Roman"/>
          <w:sz w:val="19"/>
          <w:szCs w:val="19"/>
          <w:i w:val="1"/>
          <w:iCs w:val="1"/>
          <w:color w:val="auto"/>
        </w:rPr>
        <w:t>President and Chief Executive Officer</w:t>
      </w:r>
    </w:p>
    <w:p>
      <w:pPr>
        <w:spacing w:after="0" w:line="249" w:lineRule="exact"/>
        <w:rPr>
          <w:sz w:val="20"/>
          <w:szCs w:val="20"/>
          <w:color w:val="auto"/>
        </w:rPr>
      </w:pPr>
    </w:p>
    <w:p>
      <w:pPr>
        <w:ind w:firstLine="680"/>
        <w:spacing w:after="0" w:line="232" w:lineRule="auto"/>
        <w:rPr>
          <w:sz w:val="20"/>
          <w:szCs w:val="20"/>
          <w:color w:val="auto"/>
        </w:rPr>
      </w:pPr>
      <w:r>
        <w:rPr>
          <w:rFonts w:ascii="Times New Roman" w:cs="Times New Roman" w:eastAsia="Times New Roman" w:hAnsi="Times New Roman"/>
          <w:sz w:val="19"/>
          <w:szCs w:val="19"/>
          <w:color w:val="auto"/>
        </w:rPr>
        <w:t>Pursuant to the requirements of the Securities Exchange Act of 1934, this report has been signed below by the following persons on behalf of the registrant and in the capacities and on the dates indicated.</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60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17"/>
                <w:szCs w:val="17"/>
                <w:b w:val="1"/>
                <w:bCs w:val="1"/>
                <w:color w:val="auto"/>
              </w:rPr>
              <w:t>Signature</w:t>
            </w:r>
          </w:p>
        </w:tc>
        <w:tc>
          <w:tcPr>
            <w:tcW w:w="280" w:type="dxa"/>
            <w:vAlign w:val="bottom"/>
          </w:tcPr>
          <w:p>
            <w:pPr>
              <w:spacing w:after="0"/>
              <w:rPr>
                <w:sz w:val="17"/>
                <w:szCs w:val="17"/>
                <w:color w:val="auto"/>
              </w:rPr>
            </w:pPr>
          </w:p>
        </w:tc>
        <w:tc>
          <w:tcPr>
            <w:tcW w:w="4140" w:type="dxa"/>
            <w:vAlign w:val="bottom"/>
            <w:tcBorders>
              <w:bottom w:val="single" w:sz="8" w:color="auto"/>
            </w:tcBorders>
          </w:tcPr>
          <w:p>
            <w:pPr>
              <w:ind w:left="1900"/>
              <w:spacing w:after="0"/>
              <w:rPr>
                <w:sz w:val="20"/>
                <w:szCs w:val="20"/>
                <w:color w:val="auto"/>
              </w:rPr>
            </w:pPr>
            <w:r>
              <w:rPr>
                <w:rFonts w:ascii="Times New Roman" w:cs="Times New Roman" w:eastAsia="Times New Roman" w:hAnsi="Times New Roman"/>
                <w:sz w:val="17"/>
                <w:szCs w:val="17"/>
                <w:b w:val="1"/>
                <w:bCs w:val="1"/>
                <w:color w:val="auto"/>
              </w:rPr>
              <w:t>Title</w:t>
            </w:r>
          </w:p>
        </w:tc>
        <w:tc>
          <w:tcPr>
            <w:tcW w:w="340" w:type="dxa"/>
            <w:vAlign w:val="bottom"/>
          </w:tcPr>
          <w:p>
            <w:pPr>
              <w:spacing w:after="0"/>
              <w:rPr>
                <w:sz w:val="17"/>
                <w:szCs w:val="17"/>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Date</w:t>
            </w:r>
          </w:p>
        </w:tc>
      </w:tr>
      <w:tr>
        <w:trPr>
          <w:trHeight w:val="315"/>
        </w:trPr>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René Russo</w:t>
            </w:r>
          </w:p>
        </w:tc>
        <w:tc>
          <w:tcPr>
            <w:tcW w:w="280" w:type="dxa"/>
            <w:vAlign w:val="bottom"/>
          </w:tcPr>
          <w:p>
            <w:pPr>
              <w:spacing w:after="0"/>
              <w:rPr>
                <w:sz w:val="24"/>
                <w:szCs w:val="24"/>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7"/>
                <w:szCs w:val="17"/>
                <w:color w:val="auto"/>
              </w:rPr>
              <w:t>President, Chief Executive Officer and Director</w:t>
            </w:r>
          </w:p>
        </w:tc>
        <w:tc>
          <w:tcPr>
            <w:tcW w:w="34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9"/>
              </w:rPr>
              <w:t>March 23, 2026</w:t>
            </w:r>
          </w:p>
        </w:tc>
      </w:tr>
      <w:tr>
        <w:trPr>
          <w:trHeight w:val="303"/>
        </w:trPr>
        <w:tc>
          <w:tcPr>
            <w:tcW w:w="3600" w:type="dxa"/>
            <w:vAlign w:val="bottom"/>
          </w:tcPr>
          <w:p>
            <w:pPr>
              <w:spacing w:after="0" w:line="186" w:lineRule="exact"/>
              <w:rPr>
                <w:sz w:val="20"/>
                <w:szCs w:val="20"/>
                <w:color w:val="auto"/>
              </w:rPr>
            </w:pPr>
            <w:r>
              <w:rPr>
                <w:rFonts w:ascii="Times New Roman" w:cs="Times New Roman" w:eastAsia="Times New Roman" w:hAnsi="Times New Roman"/>
                <w:sz w:val="17"/>
                <w:szCs w:val="17"/>
                <w:color w:val="auto"/>
              </w:rPr>
              <w:t>René Russo</w:t>
            </w:r>
          </w:p>
        </w:tc>
        <w:tc>
          <w:tcPr>
            <w:tcW w:w="280" w:type="dxa"/>
            <w:vAlign w:val="bottom"/>
          </w:tcPr>
          <w:p>
            <w:pPr>
              <w:spacing w:after="0"/>
              <w:rPr>
                <w:sz w:val="24"/>
                <w:szCs w:val="24"/>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tc>
        <w:tc>
          <w:tcPr>
            <w:tcW w:w="3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08"/>
        </w:trPr>
        <w:tc>
          <w:tcPr>
            <w:tcW w:w="3600" w:type="dxa"/>
            <w:vAlign w:val="bottom"/>
            <w:tcBorders>
              <w:bottom w:val="single" w:sz="8" w:color="auto"/>
            </w:tcBorders>
          </w:tcPr>
          <w:p>
            <w:pPr>
              <w:spacing w:after="0" w:line="186" w:lineRule="exact"/>
              <w:rPr>
                <w:sz w:val="20"/>
                <w:szCs w:val="20"/>
                <w:color w:val="auto"/>
              </w:rPr>
            </w:pPr>
            <w:r>
              <w:rPr>
                <w:rFonts w:ascii="Times New Roman" w:cs="Times New Roman" w:eastAsia="Times New Roman" w:hAnsi="Times New Roman"/>
                <w:sz w:val="17"/>
                <w:szCs w:val="17"/>
                <w:color w:val="auto"/>
              </w:rPr>
              <w:t>/s/ Christopher Frankenfield</w:t>
            </w:r>
          </w:p>
        </w:tc>
        <w:tc>
          <w:tcPr>
            <w:tcW w:w="280" w:type="dxa"/>
            <w:vAlign w:val="bottom"/>
          </w:tcPr>
          <w:p>
            <w:pPr>
              <w:spacing w:after="0"/>
              <w:rPr>
                <w:sz w:val="18"/>
                <w:szCs w:val="18"/>
                <w:color w:val="auto"/>
              </w:rPr>
            </w:pPr>
          </w:p>
        </w:tc>
        <w:tc>
          <w:tcPr>
            <w:tcW w:w="4140" w:type="dxa"/>
            <w:vAlign w:val="bottom"/>
          </w:tcPr>
          <w:p>
            <w:pPr>
              <w:spacing w:after="0" w:line="186" w:lineRule="exact"/>
              <w:rPr>
                <w:sz w:val="20"/>
                <w:szCs w:val="20"/>
                <w:color w:val="auto"/>
              </w:rPr>
            </w:pPr>
            <w:r>
              <w:rPr>
                <w:rFonts w:ascii="Times New Roman" w:cs="Times New Roman" w:eastAsia="Times New Roman" w:hAnsi="Times New Roman"/>
                <w:sz w:val="17"/>
                <w:szCs w:val="17"/>
                <w:color w:val="auto"/>
              </w:rPr>
              <w:t>Chief Financial Officer and Chief Operating Officer</w:t>
            </w:r>
          </w:p>
        </w:tc>
        <w:tc>
          <w:tcPr>
            <w:tcW w:w="340" w:type="dxa"/>
            <w:vAlign w:val="bottom"/>
          </w:tcPr>
          <w:p>
            <w:pPr>
              <w:spacing w:after="0"/>
              <w:rPr>
                <w:sz w:val="18"/>
                <w:szCs w:val="18"/>
                <w:color w:val="auto"/>
              </w:rPr>
            </w:pPr>
          </w:p>
        </w:tc>
        <w:tc>
          <w:tcPr>
            <w:tcW w:w="1840" w:type="dxa"/>
            <w:vAlign w:val="bottom"/>
          </w:tcPr>
          <w:p>
            <w:pPr>
              <w:jc w:val="center"/>
              <w:spacing w:after="0" w:line="208" w:lineRule="exact"/>
              <w:rPr>
                <w:sz w:val="20"/>
                <w:szCs w:val="20"/>
                <w:color w:val="auto"/>
              </w:rPr>
            </w:pPr>
            <w:r>
              <w:rPr>
                <w:rFonts w:ascii="Times New Roman" w:cs="Times New Roman" w:eastAsia="Times New Roman" w:hAnsi="Times New Roman"/>
                <w:sz w:val="19"/>
                <w:szCs w:val="19"/>
                <w:color w:val="auto"/>
                <w:w w:val="99"/>
              </w:rPr>
              <w:t>March 23, 2026</w:t>
            </w:r>
          </w:p>
        </w:tc>
      </w:tr>
      <w:tr>
        <w:trPr>
          <w:trHeight w:val="303"/>
        </w:trPr>
        <w:tc>
          <w:tcPr>
            <w:tcW w:w="3600" w:type="dxa"/>
            <w:vAlign w:val="bottom"/>
          </w:tcPr>
          <w:p>
            <w:pPr>
              <w:spacing w:after="0" w:line="186" w:lineRule="exact"/>
              <w:rPr>
                <w:sz w:val="20"/>
                <w:szCs w:val="20"/>
                <w:color w:val="auto"/>
              </w:rPr>
            </w:pPr>
            <w:r>
              <w:rPr>
                <w:rFonts w:ascii="Times New Roman" w:cs="Times New Roman" w:eastAsia="Times New Roman" w:hAnsi="Times New Roman"/>
                <w:sz w:val="17"/>
                <w:szCs w:val="17"/>
                <w:color w:val="auto"/>
              </w:rPr>
              <w:t>Christopher Frankenfield</w:t>
            </w:r>
          </w:p>
        </w:tc>
        <w:tc>
          <w:tcPr>
            <w:tcW w:w="280" w:type="dxa"/>
            <w:vAlign w:val="bottom"/>
          </w:tcPr>
          <w:p>
            <w:pPr>
              <w:spacing w:after="0"/>
              <w:rPr>
                <w:sz w:val="24"/>
                <w:szCs w:val="24"/>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(Principal Financial Officer)</w:t>
            </w:r>
          </w:p>
        </w:tc>
        <w:tc>
          <w:tcPr>
            <w:tcW w:w="3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08"/>
        </w:trPr>
        <w:tc>
          <w:tcPr>
            <w:tcW w:w="3600" w:type="dxa"/>
            <w:vAlign w:val="bottom"/>
            <w:tcBorders>
              <w:bottom w:val="single" w:sz="8" w:color="auto"/>
            </w:tcBorders>
          </w:tcPr>
          <w:p>
            <w:pPr>
              <w:spacing w:after="0" w:line="186" w:lineRule="exact"/>
              <w:rPr>
                <w:sz w:val="20"/>
                <w:szCs w:val="20"/>
                <w:color w:val="auto"/>
              </w:rPr>
            </w:pPr>
            <w:r>
              <w:rPr>
                <w:rFonts w:ascii="Times New Roman" w:cs="Times New Roman" w:eastAsia="Times New Roman" w:hAnsi="Times New Roman"/>
                <w:sz w:val="17"/>
                <w:szCs w:val="17"/>
                <w:color w:val="auto"/>
              </w:rPr>
              <w:t>/s/ Kevin Brennan</w:t>
            </w:r>
          </w:p>
        </w:tc>
        <w:tc>
          <w:tcPr>
            <w:tcW w:w="280" w:type="dxa"/>
            <w:vAlign w:val="bottom"/>
          </w:tcPr>
          <w:p>
            <w:pPr>
              <w:spacing w:after="0"/>
              <w:rPr>
                <w:sz w:val="18"/>
                <w:szCs w:val="18"/>
                <w:color w:val="auto"/>
              </w:rPr>
            </w:pPr>
          </w:p>
        </w:tc>
        <w:tc>
          <w:tcPr>
            <w:tcW w:w="4140" w:type="dxa"/>
            <w:vAlign w:val="bottom"/>
          </w:tcPr>
          <w:p>
            <w:pPr>
              <w:spacing w:after="0" w:line="186" w:lineRule="exact"/>
              <w:rPr>
                <w:sz w:val="20"/>
                <w:szCs w:val="20"/>
                <w:color w:val="auto"/>
              </w:rPr>
            </w:pPr>
            <w:r>
              <w:rPr>
                <w:rFonts w:ascii="Times New Roman" w:cs="Times New Roman" w:eastAsia="Times New Roman" w:hAnsi="Times New Roman"/>
                <w:sz w:val="17"/>
                <w:szCs w:val="17"/>
                <w:color w:val="auto"/>
              </w:rPr>
              <w:t>Senior Vice President, Finance and Accounting</w:t>
            </w:r>
          </w:p>
        </w:tc>
        <w:tc>
          <w:tcPr>
            <w:tcW w:w="340" w:type="dxa"/>
            <w:vAlign w:val="bottom"/>
          </w:tcPr>
          <w:p>
            <w:pPr>
              <w:spacing w:after="0"/>
              <w:rPr>
                <w:sz w:val="18"/>
                <w:szCs w:val="18"/>
                <w:color w:val="auto"/>
              </w:rPr>
            </w:pPr>
          </w:p>
        </w:tc>
        <w:tc>
          <w:tcPr>
            <w:tcW w:w="1840" w:type="dxa"/>
            <w:vAlign w:val="bottom"/>
          </w:tcPr>
          <w:p>
            <w:pPr>
              <w:jc w:val="center"/>
              <w:spacing w:after="0" w:line="208" w:lineRule="exact"/>
              <w:rPr>
                <w:sz w:val="20"/>
                <w:szCs w:val="20"/>
                <w:color w:val="auto"/>
              </w:rPr>
            </w:pPr>
            <w:r>
              <w:rPr>
                <w:rFonts w:ascii="Times New Roman" w:cs="Times New Roman" w:eastAsia="Times New Roman" w:hAnsi="Times New Roman"/>
                <w:sz w:val="19"/>
                <w:szCs w:val="19"/>
                <w:color w:val="auto"/>
                <w:w w:val="99"/>
              </w:rPr>
              <w:t>March 23, 2026</w:t>
            </w:r>
          </w:p>
        </w:tc>
      </w:tr>
      <w:tr>
        <w:trPr>
          <w:trHeight w:val="303"/>
        </w:trPr>
        <w:tc>
          <w:tcPr>
            <w:tcW w:w="3600" w:type="dxa"/>
            <w:vAlign w:val="bottom"/>
          </w:tcPr>
          <w:p>
            <w:pPr>
              <w:spacing w:after="0" w:line="186" w:lineRule="exact"/>
              <w:rPr>
                <w:sz w:val="20"/>
                <w:szCs w:val="20"/>
                <w:color w:val="auto"/>
              </w:rPr>
            </w:pPr>
            <w:r>
              <w:rPr>
                <w:rFonts w:ascii="Times New Roman" w:cs="Times New Roman" w:eastAsia="Times New Roman" w:hAnsi="Times New Roman"/>
                <w:sz w:val="17"/>
                <w:szCs w:val="17"/>
                <w:color w:val="auto"/>
              </w:rPr>
              <w:t>Kevin Brennan</w:t>
            </w:r>
          </w:p>
        </w:tc>
        <w:tc>
          <w:tcPr>
            <w:tcW w:w="280" w:type="dxa"/>
            <w:vAlign w:val="bottom"/>
          </w:tcPr>
          <w:p>
            <w:pPr>
              <w:spacing w:after="0"/>
              <w:rPr>
                <w:sz w:val="24"/>
                <w:szCs w:val="24"/>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(Principal Accounting Officer)</w:t>
            </w:r>
          </w:p>
        </w:tc>
        <w:tc>
          <w:tcPr>
            <w:tcW w:w="3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08"/>
        </w:trPr>
        <w:tc>
          <w:tcPr>
            <w:tcW w:w="3600" w:type="dxa"/>
            <w:vAlign w:val="bottom"/>
            <w:tcBorders>
              <w:bottom w:val="single" w:sz="8" w:color="auto"/>
            </w:tcBorders>
          </w:tcPr>
          <w:p>
            <w:pPr>
              <w:spacing w:after="0" w:line="186" w:lineRule="exact"/>
              <w:rPr>
                <w:sz w:val="20"/>
                <w:szCs w:val="20"/>
                <w:color w:val="auto"/>
              </w:rPr>
            </w:pPr>
            <w:r>
              <w:rPr>
                <w:rFonts w:ascii="Times New Roman" w:cs="Times New Roman" w:eastAsia="Times New Roman" w:hAnsi="Times New Roman"/>
                <w:sz w:val="17"/>
                <w:szCs w:val="17"/>
                <w:color w:val="auto"/>
              </w:rPr>
              <w:t>/s/ Sara M. Bonstein</w:t>
            </w:r>
          </w:p>
        </w:tc>
        <w:tc>
          <w:tcPr>
            <w:tcW w:w="280" w:type="dxa"/>
            <w:vAlign w:val="bottom"/>
          </w:tcPr>
          <w:p>
            <w:pPr>
              <w:spacing w:after="0"/>
              <w:rPr>
                <w:sz w:val="18"/>
                <w:szCs w:val="18"/>
                <w:color w:val="auto"/>
              </w:rPr>
            </w:pPr>
          </w:p>
        </w:tc>
        <w:tc>
          <w:tcPr>
            <w:tcW w:w="4140" w:type="dxa"/>
            <w:vAlign w:val="bottom"/>
          </w:tcPr>
          <w:p>
            <w:pPr>
              <w:spacing w:after="0" w:line="186" w:lineRule="exact"/>
              <w:rPr>
                <w:sz w:val="20"/>
                <w:szCs w:val="20"/>
                <w:color w:val="auto"/>
              </w:rPr>
            </w:pPr>
            <w:r>
              <w:rPr>
                <w:rFonts w:ascii="Times New Roman" w:cs="Times New Roman" w:eastAsia="Times New Roman" w:hAnsi="Times New Roman"/>
                <w:sz w:val="17"/>
                <w:szCs w:val="17"/>
                <w:color w:val="auto"/>
              </w:rPr>
              <w:t>Chair of the Board</w:t>
            </w:r>
          </w:p>
        </w:tc>
        <w:tc>
          <w:tcPr>
            <w:tcW w:w="340" w:type="dxa"/>
            <w:vAlign w:val="bottom"/>
          </w:tcPr>
          <w:p>
            <w:pPr>
              <w:spacing w:after="0"/>
              <w:rPr>
                <w:sz w:val="18"/>
                <w:szCs w:val="18"/>
                <w:color w:val="auto"/>
              </w:rPr>
            </w:pPr>
          </w:p>
        </w:tc>
        <w:tc>
          <w:tcPr>
            <w:tcW w:w="1840" w:type="dxa"/>
            <w:vAlign w:val="bottom"/>
          </w:tcPr>
          <w:p>
            <w:pPr>
              <w:jc w:val="center"/>
              <w:spacing w:after="0" w:line="208" w:lineRule="exact"/>
              <w:rPr>
                <w:sz w:val="20"/>
                <w:szCs w:val="20"/>
                <w:color w:val="auto"/>
              </w:rPr>
            </w:pPr>
            <w:r>
              <w:rPr>
                <w:rFonts w:ascii="Times New Roman" w:cs="Times New Roman" w:eastAsia="Times New Roman" w:hAnsi="Times New Roman"/>
                <w:sz w:val="19"/>
                <w:szCs w:val="19"/>
                <w:color w:val="auto"/>
                <w:w w:val="99"/>
              </w:rPr>
              <w:t>March 23, 2026</w:t>
            </w:r>
          </w:p>
        </w:tc>
      </w:tr>
      <w:tr>
        <w:trPr>
          <w:trHeight w:val="185"/>
        </w:trPr>
        <w:tc>
          <w:tcPr>
            <w:tcW w:w="360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Sara M. Bonstein</w:t>
            </w:r>
          </w:p>
        </w:tc>
        <w:tc>
          <w:tcPr>
            <w:tcW w:w="28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326"/>
        </w:trPr>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Akintunde Bello</w:t>
            </w:r>
          </w:p>
        </w:tc>
        <w:tc>
          <w:tcPr>
            <w:tcW w:w="280" w:type="dxa"/>
            <w:vAlign w:val="bottom"/>
          </w:tcPr>
          <w:p>
            <w:pPr>
              <w:spacing w:after="0"/>
              <w:rPr>
                <w:sz w:val="24"/>
                <w:szCs w:val="24"/>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7"/>
                <w:szCs w:val="17"/>
                <w:color w:val="auto"/>
              </w:rPr>
              <w:t>Director</w:t>
            </w:r>
          </w:p>
        </w:tc>
        <w:tc>
          <w:tcPr>
            <w:tcW w:w="34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9"/>
              </w:rPr>
              <w:t>March 23, 2026</w:t>
            </w:r>
          </w:p>
        </w:tc>
      </w:tr>
      <w:tr>
        <w:trPr>
          <w:trHeight w:val="185"/>
        </w:trPr>
        <w:tc>
          <w:tcPr>
            <w:tcW w:w="360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Akintunde Bello</w:t>
            </w:r>
          </w:p>
        </w:tc>
        <w:tc>
          <w:tcPr>
            <w:tcW w:w="28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326"/>
        </w:trPr>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Aoife Brennan</w:t>
            </w:r>
          </w:p>
        </w:tc>
        <w:tc>
          <w:tcPr>
            <w:tcW w:w="280" w:type="dxa"/>
            <w:vAlign w:val="bottom"/>
          </w:tcPr>
          <w:p>
            <w:pPr>
              <w:spacing w:after="0"/>
              <w:rPr>
                <w:sz w:val="24"/>
                <w:szCs w:val="24"/>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7"/>
                <w:szCs w:val="17"/>
                <w:color w:val="auto"/>
              </w:rPr>
              <w:t>Director</w:t>
            </w:r>
          </w:p>
        </w:tc>
        <w:tc>
          <w:tcPr>
            <w:tcW w:w="34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9"/>
              </w:rPr>
              <w:t>March 23, 2026</w:t>
            </w:r>
          </w:p>
        </w:tc>
      </w:tr>
      <w:tr>
        <w:trPr>
          <w:trHeight w:val="185"/>
        </w:trPr>
        <w:tc>
          <w:tcPr>
            <w:tcW w:w="360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Aoife Brennan</w:t>
            </w:r>
          </w:p>
        </w:tc>
        <w:tc>
          <w:tcPr>
            <w:tcW w:w="28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326"/>
        </w:trPr>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Daniel Curran</w:t>
            </w:r>
          </w:p>
        </w:tc>
        <w:tc>
          <w:tcPr>
            <w:tcW w:w="280" w:type="dxa"/>
            <w:vAlign w:val="bottom"/>
          </w:tcPr>
          <w:p>
            <w:pPr>
              <w:spacing w:after="0"/>
              <w:rPr>
                <w:sz w:val="24"/>
                <w:szCs w:val="24"/>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7"/>
                <w:szCs w:val="17"/>
                <w:color w:val="auto"/>
              </w:rPr>
              <w:t>Director</w:t>
            </w:r>
          </w:p>
        </w:tc>
        <w:tc>
          <w:tcPr>
            <w:tcW w:w="34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9"/>
              </w:rPr>
              <w:t>March 23, 2026</w:t>
            </w:r>
          </w:p>
        </w:tc>
      </w:tr>
      <w:tr>
        <w:trPr>
          <w:trHeight w:val="185"/>
        </w:trPr>
        <w:tc>
          <w:tcPr>
            <w:tcW w:w="360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Daniel Curran</w:t>
            </w:r>
          </w:p>
        </w:tc>
        <w:tc>
          <w:tcPr>
            <w:tcW w:w="28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326"/>
        </w:trPr>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Robert Ross</w:t>
            </w:r>
          </w:p>
        </w:tc>
        <w:tc>
          <w:tcPr>
            <w:tcW w:w="280" w:type="dxa"/>
            <w:vAlign w:val="bottom"/>
          </w:tcPr>
          <w:p>
            <w:pPr>
              <w:spacing w:after="0"/>
              <w:rPr>
                <w:sz w:val="24"/>
                <w:szCs w:val="24"/>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7"/>
                <w:szCs w:val="17"/>
                <w:color w:val="auto"/>
              </w:rPr>
              <w:t>Director</w:t>
            </w:r>
          </w:p>
        </w:tc>
        <w:tc>
          <w:tcPr>
            <w:tcW w:w="34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9"/>
              </w:rPr>
              <w:t>March 23, 2026</w:t>
            </w:r>
          </w:p>
        </w:tc>
      </w:tr>
      <w:tr>
        <w:trPr>
          <w:trHeight w:val="185"/>
        </w:trPr>
        <w:tc>
          <w:tcPr>
            <w:tcW w:w="360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Robert Ross</w:t>
            </w:r>
          </w:p>
        </w:tc>
        <w:tc>
          <w:tcPr>
            <w:tcW w:w="28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326"/>
        </w:trPr>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Christina Rossi</w:t>
            </w:r>
          </w:p>
        </w:tc>
        <w:tc>
          <w:tcPr>
            <w:tcW w:w="280" w:type="dxa"/>
            <w:vAlign w:val="bottom"/>
          </w:tcPr>
          <w:p>
            <w:pPr>
              <w:spacing w:after="0"/>
              <w:rPr>
                <w:sz w:val="24"/>
                <w:szCs w:val="24"/>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7"/>
                <w:szCs w:val="17"/>
                <w:color w:val="auto"/>
              </w:rPr>
              <w:t>Director</w:t>
            </w:r>
          </w:p>
        </w:tc>
        <w:tc>
          <w:tcPr>
            <w:tcW w:w="34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9"/>
              </w:rPr>
              <w:t>March 23, 2026</w:t>
            </w:r>
          </w:p>
        </w:tc>
      </w:tr>
      <w:tr>
        <w:trPr>
          <w:trHeight w:val="185"/>
        </w:trPr>
        <w:tc>
          <w:tcPr>
            <w:tcW w:w="360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Christina Rossi</w:t>
            </w:r>
          </w:p>
        </w:tc>
        <w:tc>
          <w:tcPr>
            <w:tcW w:w="28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333"/>
        </w:trPr>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James Shannon</w:t>
            </w:r>
          </w:p>
        </w:tc>
        <w:tc>
          <w:tcPr>
            <w:tcW w:w="280" w:type="dxa"/>
            <w:vAlign w:val="bottom"/>
          </w:tcPr>
          <w:p>
            <w:pPr>
              <w:spacing w:after="0"/>
              <w:rPr>
                <w:sz w:val="24"/>
                <w:szCs w:val="24"/>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7"/>
                <w:szCs w:val="17"/>
                <w:color w:val="auto"/>
              </w:rPr>
              <w:t>Director</w:t>
            </w:r>
          </w:p>
        </w:tc>
        <w:tc>
          <w:tcPr>
            <w:tcW w:w="34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9"/>
              </w:rPr>
              <w:t>March 23, 2026</w:t>
            </w:r>
          </w:p>
        </w:tc>
      </w:tr>
      <w:tr>
        <w:trPr>
          <w:trHeight w:val="192"/>
        </w:trPr>
        <w:tc>
          <w:tcPr>
            <w:tcW w:w="3600" w:type="dxa"/>
            <w:vAlign w:val="bottom"/>
          </w:tcPr>
          <w:p>
            <w:pPr>
              <w:spacing w:after="0" w:line="192" w:lineRule="exact"/>
              <w:rPr>
                <w:sz w:val="20"/>
                <w:szCs w:val="20"/>
                <w:color w:val="auto"/>
              </w:rPr>
            </w:pPr>
            <w:r>
              <w:rPr>
                <w:rFonts w:ascii="Times New Roman" w:cs="Times New Roman" w:eastAsia="Times New Roman" w:hAnsi="Times New Roman"/>
                <w:sz w:val="17"/>
                <w:szCs w:val="17"/>
                <w:color w:val="auto"/>
              </w:rPr>
              <w:t>James Shannon</w:t>
            </w:r>
          </w:p>
        </w:tc>
        <w:tc>
          <w:tcPr>
            <w:tcW w:w="28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326"/>
        </w:trPr>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Yuan Xu</w:t>
            </w:r>
          </w:p>
        </w:tc>
        <w:tc>
          <w:tcPr>
            <w:tcW w:w="280" w:type="dxa"/>
            <w:vAlign w:val="bottom"/>
          </w:tcPr>
          <w:p>
            <w:pPr>
              <w:spacing w:after="0"/>
              <w:rPr>
                <w:sz w:val="24"/>
                <w:szCs w:val="24"/>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7"/>
                <w:szCs w:val="17"/>
                <w:color w:val="auto"/>
              </w:rPr>
              <w:t>Director</w:t>
            </w:r>
          </w:p>
        </w:tc>
        <w:tc>
          <w:tcPr>
            <w:tcW w:w="34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9"/>
              </w:rPr>
              <w:t>March 23, 2026</w:t>
            </w:r>
          </w:p>
        </w:tc>
      </w:tr>
      <w:tr>
        <w:trPr>
          <w:trHeight w:val="185"/>
        </w:trPr>
        <w:tc>
          <w:tcPr>
            <w:tcW w:w="360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Yuan Xu</w:t>
            </w:r>
          </w:p>
        </w:tc>
        <w:tc>
          <w:tcPr>
            <w:tcW w:w="28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40" w:type="dxa"/>
            <w:vAlign w:val="bottom"/>
          </w:tcPr>
          <w:p>
            <w:pPr>
              <w:spacing w:after="0"/>
              <w:rPr>
                <w:sz w:val="16"/>
                <w:szCs w:val="16"/>
                <w:color w:val="auto"/>
              </w:rPr>
            </w:pPr>
          </w:p>
        </w:tc>
      </w:tr>
    </w:tbl>
    <w:p>
      <w:pPr>
        <w:spacing w:after="0" w:line="200" w:lineRule="exact"/>
        <w:rPr>
          <w:sz w:val="20"/>
          <w:szCs w:val="20"/>
          <w:color w:val="auto"/>
        </w:rPr>
      </w:pPr>
    </w:p>
    <w:p>
      <w:pPr>
        <w:sectPr>
          <w:pgSz w:w="12240" w:h="15840" w:orient="portrait"/>
          <w:cols w:equalWidth="0" w:num="1">
            <w:col w:w="10200"/>
          </w:cols>
          <w:pgMar w:left="1020" w:top="1335" w:right="1020" w:bottom="5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ectPr>
          <w:pgSz w:w="12240" w:h="15840" w:orient="portrait"/>
          <w:cols w:equalWidth="0" w:num="1">
            <w:col w:w="10200"/>
          </w:cols>
          <w:pgMar w:left="1020" w:top="1335" w:right="1020" w:bottom="556" w:gutter="0" w:footer="0" w:header="0"/>
          <w:type w:val="continuous"/>
        </w:sectPr>
      </w:pPr>
    </w:p>
    <w:bookmarkStart w:id="123" w:name="page124"/>
    <w:bookmarkEnd w:id="123"/>
    <w:tbl>
      <w:tblPr>
        <w:tblLayout w:type="fixed"/>
        <w:tblInd w:w="0" w:type="dxa"/>
        <w:tblCellMar>
          <w:top w:w="0" w:type="dxa"/>
          <w:left w:w="0" w:type="dxa"/>
          <w:bottom w:w="0" w:type="dxa"/>
          <w:right w:w="0" w:type="dxa"/>
        </w:tblCellMar>
      </w:tblPr>
      <w:tr>
        <w:trPr>
          <w:trHeight w:val="218"/>
        </w:trPr>
        <w:tc>
          <w:tcPr>
            <w:tcW w:w="8400" w:type="dxa"/>
            <w:vAlign w:val="bottom"/>
          </w:tcPr>
          <w:p>
            <w:pPr>
              <w:ind w:left="4160"/>
              <w:spacing w:after="0"/>
              <w:rPr>
                <w:sz w:val="20"/>
                <w:szCs w:val="20"/>
                <w:color w:val="auto"/>
              </w:rPr>
            </w:pPr>
            <w:r>
              <w:rPr>
                <w:rFonts w:ascii="Times New Roman" w:cs="Times New Roman" w:eastAsia="Times New Roman" w:hAnsi="Times New Roman"/>
                <w:sz w:val="19"/>
                <w:szCs w:val="19"/>
                <w:b w:val="1"/>
                <w:bCs w:val="1"/>
                <w:color w:val="auto"/>
              </w:rPr>
              <w:t>Xilio Therapeutics, Inc.</w:t>
            </w:r>
          </w:p>
        </w:tc>
        <w:tc>
          <w:tcPr>
            <w:tcW w:w="1800" w:type="dxa"/>
            <w:vAlign w:val="bottom"/>
          </w:tcPr>
          <w:p>
            <w:pPr>
              <w:spacing w:after="0"/>
              <w:rPr>
                <w:sz w:val="18"/>
                <w:szCs w:val="18"/>
                <w:color w:val="auto"/>
              </w:rPr>
            </w:pPr>
          </w:p>
        </w:tc>
      </w:tr>
      <w:tr>
        <w:trPr>
          <w:trHeight w:val="444"/>
        </w:trPr>
        <w:tc>
          <w:tcPr>
            <w:tcW w:w="8400" w:type="dxa"/>
            <w:vAlign w:val="bottom"/>
          </w:tcPr>
          <w:p>
            <w:pPr>
              <w:ind w:left="3340"/>
              <w:spacing w:after="0"/>
              <w:rPr>
                <w:sz w:val="20"/>
                <w:szCs w:val="20"/>
                <w:color w:val="auto"/>
              </w:rPr>
            </w:pPr>
            <w:r>
              <w:rPr>
                <w:rFonts w:ascii="Times New Roman" w:cs="Times New Roman" w:eastAsia="Times New Roman" w:hAnsi="Times New Roman"/>
                <w:sz w:val="19"/>
                <w:szCs w:val="19"/>
                <w:b w:val="1"/>
                <w:bCs w:val="1"/>
                <w:color w:val="auto"/>
              </w:rPr>
              <w:t>Index to Consolidated Financial Statements</w:t>
            </w:r>
          </w:p>
        </w:tc>
        <w:tc>
          <w:tcPr>
            <w:tcW w:w="1800" w:type="dxa"/>
            <w:vAlign w:val="bottom"/>
          </w:tcPr>
          <w:p>
            <w:pPr>
              <w:spacing w:after="0"/>
              <w:rPr>
                <w:sz w:val="24"/>
                <w:szCs w:val="24"/>
                <w:color w:val="auto"/>
              </w:rPr>
            </w:pPr>
          </w:p>
        </w:tc>
      </w:tr>
      <w:tr>
        <w:trPr>
          <w:trHeight w:val="434"/>
        </w:trPr>
        <w:tc>
          <w:tcPr>
            <w:tcW w:w="8400" w:type="dxa"/>
            <w:vAlign w:val="bottom"/>
          </w:tcPr>
          <w:p>
            <w:pPr>
              <w:spacing w:after="0"/>
              <w:rPr>
                <w:sz w:val="20"/>
                <w:szCs w:val="20"/>
                <w:color w:val="auto"/>
              </w:rPr>
            </w:pPr>
            <w:r>
              <w:rPr>
                <w:rFonts w:ascii="Times New Roman" w:cs="Times New Roman" w:eastAsia="Times New Roman" w:hAnsi="Times New Roman"/>
                <w:sz w:val="19"/>
                <w:szCs w:val="19"/>
                <w:color w:val="auto"/>
              </w:rPr>
              <w:t>Report of Independent Registered Public Accounting Firm (PCAOB ID 42)</w:t>
            </w:r>
          </w:p>
        </w:tc>
        <w:tc>
          <w:tcPr>
            <w:tcW w:w="1800" w:type="dxa"/>
            <w:vAlign w:val="bottom"/>
          </w:tcPr>
          <w:p>
            <w:pPr>
              <w:ind w:left="1540"/>
              <w:spacing w:after="0"/>
              <w:rPr>
                <w:sz w:val="20"/>
                <w:szCs w:val="20"/>
                <w:color w:val="auto"/>
              </w:rPr>
            </w:pPr>
            <w:r>
              <w:rPr>
                <w:rFonts w:ascii="Times New Roman" w:cs="Times New Roman" w:eastAsia="Times New Roman" w:hAnsi="Times New Roman"/>
                <w:sz w:val="19"/>
                <w:szCs w:val="19"/>
                <w:color w:val="auto"/>
                <w:w w:val="90"/>
              </w:rPr>
              <w:t>F-2</w:t>
            </w:r>
          </w:p>
        </w:tc>
      </w:tr>
      <w:tr>
        <w:trPr>
          <w:trHeight w:val="274"/>
        </w:trPr>
        <w:tc>
          <w:tcPr>
            <w:tcW w:w="8400" w:type="dxa"/>
            <w:vAlign w:val="bottom"/>
          </w:tcPr>
          <w:p>
            <w:pPr>
              <w:spacing w:after="0"/>
              <w:rPr>
                <w:sz w:val="20"/>
                <w:szCs w:val="20"/>
                <w:color w:val="auto"/>
              </w:rPr>
            </w:pPr>
            <w:r>
              <w:rPr>
                <w:rFonts w:ascii="Times New Roman" w:cs="Times New Roman" w:eastAsia="Times New Roman" w:hAnsi="Times New Roman"/>
                <w:sz w:val="19"/>
                <w:szCs w:val="19"/>
                <w:color w:val="auto"/>
              </w:rPr>
              <w:t>Consolidated Balance Sheets</w:t>
            </w:r>
          </w:p>
        </w:tc>
        <w:tc>
          <w:tcPr>
            <w:tcW w:w="1800" w:type="dxa"/>
            <w:vAlign w:val="bottom"/>
          </w:tcPr>
          <w:p>
            <w:pPr>
              <w:ind w:left="1540"/>
              <w:spacing w:after="0"/>
              <w:rPr>
                <w:sz w:val="20"/>
                <w:szCs w:val="20"/>
                <w:color w:val="auto"/>
              </w:rPr>
            </w:pPr>
            <w:r>
              <w:rPr>
                <w:rFonts w:ascii="Times New Roman" w:cs="Times New Roman" w:eastAsia="Times New Roman" w:hAnsi="Times New Roman"/>
                <w:sz w:val="19"/>
                <w:szCs w:val="19"/>
                <w:color w:val="auto"/>
                <w:w w:val="90"/>
              </w:rPr>
              <w:t>F-3</w:t>
            </w:r>
          </w:p>
        </w:tc>
      </w:tr>
      <w:tr>
        <w:trPr>
          <w:trHeight w:val="274"/>
        </w:trPr>
        <w:tc>
          <w:tcPr>
            <w:tcW w:w="8400" w:type="dxa"/>
            <w:vAlign w:val="bottom"/>
          </w:tcPr>
          <w:p>
            <w:pPr>
              <w:spacing w:after="0"/>
              <w:rPr>
                <w:sz w:val="20"/>
                <w:szCs w:val="20"/>
                <w:color w:val="auto"/>
              </w:rPr>
            </w:pPr>
            <w:r>
              <w:rPr>
                <w:rFonts w:ascii="Times New Roman" w:cs="Times New Roman" w:eastAsia="Times New Roman" w:hAnsi="Times New Roman"/>
                <w:sz w:val="19"/>
                <w:szCs w:val="19"/>
                <w:color w:val="auto"/>
              </w:rPr>
              <w:t>Consolidated Statements of Operations and Comprehensive Loss</w:t>
            </w:r>
          </w:p>
        </w:tc>
        <w:tc>
          <w:tcPr>
            <w:tcW w:w="1800" w:type="dxa"/>
            <w:vAlign w:val="bottom"/>
          </w:tcPr>
          <w:p>
            <w:pPr>
              <w:ind w:left="1540"/>
              <w:spacing w:after="0"/>
              <w:rPr>
                <w:sz w:val="20"/>
                <w:szCs w:val="20"/>
                <w:color w:val="auto"/>
              </w:rPr>
            </w:pPr>
            <w:r>
              <w:rPr>
                <w:rFonts w:ascii="Times New Roman" w:cs="Times New Roman" w:eastAsia="Times New Roman" w:hAnsi="Times New Roman"/>
                <w:sz w:val="19"/>
                <w:szCs w:val="19"/>
                <w:color w:val="auto"/>
                <w:w w:val="90"/>
              </w:rPr>
              <w:t>F-4</w:t>
            </w:r>
          </w:p>
        </w:tc>
      </w:tr>
      <w:tr>
        <w:trPr>
          <w:trHeight w:val="274"/>
        </w:trPr>
        <w:tc>
          <w:tcPr>
            <w:tcW w:w="8400" w:type="dxa"/>
            <w:vAlign w:val="bottom"/>
          </w:tcPr>
          <w:p>
            <w:pPr>
              <w:spacing w:after="0"/>
              <w:rPr>
                <w:sz w:val="20"/>
                <w:szCs w:val="20"/>
                <w:color w:val="auto"/>
              </w:rPr>
            </w:pPr>
            <w:r>
              <w:rPr>
                <w:rFonts w:ascii="Times New Roman" w:cs="Times New Roman" w:eastAsia="Times New Roman" w:hAnsi="Times New Roman"/>
                <w:sz w:val="19"/>
                <w:szCs w:val="19"/>
                <w:color w:val="auto"/>
              </w:rPr>
              <w:t>Consolidated Statements of Stockholders’ Equity</w:t>
            </w:r>
          </w:p>
        </w:tc>
        <w:tc>
          <w:tcPr>
            <w:tcW w:w="1800" w:type="dxa"/>
            <w:vAlign w:val="bottom"/>
          </w:tcPr>
          <w:p>
            <w:pPr>
              <w:ind w:left="1540"/>
              <w:spacing w:after="0"/>
              <w:rPr>
                <w:sz w:val="20"/>
                <w:szCs w:val="20"/>
                <w:color w:val="auto"/>
              </w:rPr>
            </w:pPr>
            <w:r>
              <w:rPr>
                <w:rFonts w:ascii="Times New Roman" w:cs="Times New Roman" w:eastAsia="Times New Roman" w:hAnsi="Times New Roman"/>
                <w:sz w:val="19"/>
                <w:szCs w:val="19"/>
                <w:color w:val="auto"/>
                <w:w w:val="90"/>
              </w:rPr>
              <w:t>F-5</w:t>
            </w:r>
          </w:p>
        </w:tc>
      </w:tr>
      <w:tr>
        <w:trPr>
          <w:trHeight w:val="306"/>
        </w:trPr>
        <w:tc>
          <w:tcPr>
            <w:tcW w:w="8400" w:type="dxa"/>
            <w:vAlign w:val="bottom"/>
          </w:tcPr>
          <w:p>
            <w:pPr>
              <w:spacing w:after="0"/>
              <w:rPr>
                <w:sz w:val="20"/>
                <w:szCs w:val="20"/>
                <w:color w:val="auto"/>
              </w:rPr>
            </w:pPr>
            <w:r>
              <w:rPr>
                <w:rFonts w:ascii="Times New Roman" w:cs="Times New Roman" w:eastAsia="Times New Roman" w:hAnsi="Times New Roman"/>
                <w:sz w:val="19"/>
                <w:szCs w:val="19"/>
                <w:color w:val="auto"/>
              </w:rPr>
              <w:t>Consolidated Statements of Cash Flows</w:t>
            </w:r>
          </w:p>
        </w:tc>
        <w:tc>
          <w:tcPr>
            <w:tcW w:w="1800" w:type="dxa"/>
            <w:vAlign w:val="bottom"/>
          </w:tcPr>
          <w:p>
            <w:pPr>
              <w:ind w:left="1540"/>
              <w:spacing w:after="0"/>
              <w:rPr>
                <w:sz w:val="20"/>
                <w:szCs w:val="20"/>
                <w:color w:val="auto"/>
              </w:rPr>
            </w:pPr>
            <w:r>
              <w:rPr>
                <w:rFonts w:ascii="Times New Roman" w:cs="Times New Roman" w:eastAsia="Times New Roman" w:hAnsi="Times New Roman"/>
                <w:sz w:val="19"/>
                <w:szCs w:val="19"/>
                <w:color w:val="auto"/>
                <w:w w:val="90"/>
              </w:rPr>
              <w:t>F-6</w:t>
            </w:r>
          </w:p>
        </w:tc>
      </w:tr>
      <w:tr>
        <w:trPr>
          <w:trHeight w:val="274"/>
        </w:trPr>
        <w:tc>
          <w:tcPr>
            <w:tcW w:w="8400" w:type="dxa"/>
            <w:vAlign w:val="bottom"/>
          </w:tcPr>
          <w:p>
            <w:pPr>
              <w:spacing w:after="0"/>
              <w:rPr>
                <w:sz w:val="20"/>
                <w:szCs w:val="20"/>
                <w:color w:val="auto"/>
              </w:rPr>
            </w:pPr>
            <w:r>
              <w:rPr>
                <w:rFonts w:ascii="Times New Roman" w:cs="Times New Roman" w:eastAsia="Times New Roman" w:hAnsi="Times New Roman"/>
                <w:sz w:val="19"/>
                <w:szCs w:val="19"/>
                <w:color w:val="auto"/>
              </w:rPr>
              <w:t>Notes to Consolidated Financial Statements</w:t>
            </w:r>
          </w:p>
        </w:tc>
        <w:tc>
          <w:tcPr>
            <w:tcW w:w="1800" w:type="dxa"/>
            <w:vAlign w:val="bottom"/>
          </w:tcPr>
          <w:p>
            <w:pPr>
              <w:ind w:left="1540"/>
              <w:spacing w:after="0"/>
              <w:rPr>
                <w:sz w:val="20"/>
                <w:szCs w:val="20"/>
                <w:color w:val="auto"/>
              </w:rPr>
            </w:pPr>
            <w:r>
              <w:rPr>
                <w:rFonts w:ascii="Times New Roman" w:cs="Times New Roman" w:eastAsia="Times New Roman" w:hAnsi="Times New Roman"/>
                <w:sz w:val="19"/>
                <w:szCs w:val="19"/>
                <w:color w:val="auto"/>
                <w:w w:val="90"/>
              </w:rPr>
              <w:t>F-7</w:t>
            </w:r>
          </w:p>
        </w:tc>
      </w:tr>
    </w:tbl>
    <w:p>
      <w:pPr>
        <w:spacing w:after="0" w:line="200" w:lineRule="exact"/>
        <w:rPr>
          <w:sz w:val="20"/>
          <w:szCs w:val="20"/>
          <w:color w:val="auto"/>
        </w:rPr>
      </w:pPr>
    </w:p>
    <w:p>
      <w:pPr>
        <w:sectPr>
          <w:pgSz w:w="12240" w:h="15840" w:orient="portrait"/>
          <w:cols w:equalWidth="0" w:num="1">
            <w:col w:w="10200"/>
          </w:cols>
          <w:pgMar w:left="1020" w:top="1335" w:right="1020" w:bottom="5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w:t>
      </w:r>
    </w:p>
    <w:p>
      <w:pPr>
        <w:sectPr>
          <w:pgSz w:w="12240" w:h="15840" w:orient="portrait"/>
          <w:cols w:equalWidth="0" w:num="1">
            <w:col w:w="10200"/>
          </w:cols>
          <w:pgMar w:left="1020" w:top="1335" w:right="1020" w:bottom="556" w:gutter="0" w:footer="0" w:header="0"/>
          <w:type w:val="continuous"/>
        </w:sectPr>
      </w:pPr>
    </w:p>
    <w:bookmarkStart w:id="124" w:name="page125"/>
    <w:bookmarkEnd w:id="124"/>
    <w:p>
      <w:pPr>
        <w:ind w:left="1860"/>
        <w:spacing w:after="0"/>
        <w:rPr>
          <w:sz w:val="20"/>
          <w:szCs w:val="20"/>
          <w:color w:val="auto"/>
        </w:rPr>
      </w:pPr>
      <w:r>
        <w:rPr>
          <w:rFonts w:ascii="Times New Roman" w:cs="Times New Roman" w:eastAsia="Times New Roman" w:hAnsi="Times New Roman"/>
          <w:sz w:val="19"/>
          <w:szCs w:val="19"/>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To the Stockholders and the Board of Directors of Xilio Therapeutics,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Opinion on the Financial Statements</w:t>
      </w:r>
    </w:p>
    <w:p>
      <w:pPr>
        <w:spacing w:after="0" w:line="124" w:lineRule="exact"/>
        <w:rPr>
          <w:sz w:val="20"/>
          <w:szCs w:val="20"/>
          <w:color w:val="auto"/>
        </w:rPr>
      </w:pPr>
    </w:p>
    <w:p>
      <w:pPr>
        <w:ind w:right="160"/>
        <w:spacing w:after="0" w:line="236" w:lineRule="auto"/>
        <w:rPr>
          <w:sz w:val="20"/>
          <w:szCs w:val="20"/>
          <w:color w:val="auto"/>
        </w:rPr>
      </w:pPr>
      <w:r>
        <w:rPr>
          <w:rFonts w:ascii="Times New Roman" w:cs="Times New Roman" w:eastAsia="Times New Roman" w:hAnsi="Times New Roman"/>
          <w:sz w:val="19"/>
          <w:szCs w:val="19"/>
          <w:color w:val="auto"/>
        </w:rPr>
        <w:t>We have audited the accompanying consolidated balance sheets of Xilio Therapeutics, Inc. (the Company) as of December 31, 2025 and 2024, the related consolidated statements of operations and comprehensive loss, stockholders’ equity and cash flows for each of the two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two years in the period ended December 31, 2025, in conformity with U.S. generally accepted accounting principles.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Basis for Opinion</w:t>
      </w:r>
    </w:p>
    <w:p>
      <w:pPr>
        <w:spacing w:after="0" w:line="124"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6"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9"/>
          <w:szCs w:val="19"/>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8" w:lineRule="exact"/>
        <w:rPr>
          <w:sz w:val="20"/>
          <w:szCs w:val="20"/>
          <w:color w:val="auto"/>
        </w:rPr>
      </w:pPr>
    </w:p>
    <w:p>
      <w:pPr>
        <w:ind w:right="140"/>
        <w:spacing w:after="0" w:line="236" w:lineRule="auto"/>
        <w:rPr>
          <w:sz w:val="20"/>
          <w:szCs w:val="20"/>
          <w:color w:val="auto"/>
        </w:rPr>
      </w:pPr>
      <w:r>
        <w:rPr>
          <w:rFonts w:ascii="Times New Roman" w:cs="Times New Roman" w:eastAsia="Times New Roman" w:hAnsi="Times New Roman"/>
          <w:sz w:val="19"/>
          <w:szCs w:val="19"/>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 have served as the Company’s auditor since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Boston, Massachusetts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March 23, 2026</w:t>
      </w:r>
    </w:p>
    <w:p>
      <w:pPr>
        <w:sectPr>
          <w:pgSz w:w="12240" w:h="15840" w:orient="portrait"/>
          <w:cols w:equalWidth="0" w:num="1">
            <w:col w:w="10180"/>
          </w:cols>
          <w:pgMar w:left="1020" w:top="1335" w:right="1040" w:bottom="5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F-2</w:t>
      </w:r>
    </w:p>
    <w:p>
      <w:pPr>
        <w:sectPr>
          <w:pgSz w:w="12240" w:h="15840" w:orient="portrait"/>
          <w:cols w:equalWidth="0" w:num="1">
            <w:col w:w="10180"/>
          </w:cols>
          <w:pgMar w:left="1020" w:top="1335" w:right="1040" w:bottom="556" w:gutter="0" w:footer="0" w:header="0"/>
          <w:type w:val="continuous"/>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9"/>
          <w:szCs w:val="19"/>
          <w:b w:val="1"/>
          <w:bCs w:val="1"/>
          <w:color w:val="auto"/>
        </w:rPr>
        <w:t>XILIO THERAPEUTICS, INC.</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CONSOLIDATED BALANCE SHEETS</w:t>
      </w:r>
    </w:p>
    <w:p>
      <w:pPr>
        <w:jc w:val="center"/>
        <w:spacing w:after="0" w:line="238" w:lineRule="auto"/>
        <w:rPr>
          <w:sz w:val="20"/>
          <w:szCs w:val="20"/>
          <w:color w:val="auto"/>
        </w:rPr>
      </w:pPr>
      <w:r>
        <w:rPr>
          <w:rFonts w:ascii="Times New Roman" w:cs="Times New Roman" w:eastAsia="Times New Roman" w:hAnsi="Times New Roman"/>
          <w:sz w:val="19"/>
          <w:szCs w:val="19"/>
          <w:b w:val="1"/>
          <w:bCs w:val="1"/>
          <w:color w:val="auto"/>
        </w:rPr>
        <w:t>(In thousands, except share and per share data)</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ind w:right="167"/>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ind w:right="147"/>
              <w:spacing w:after="0"/>
              <w:rPr>
                <w:sz w:val="20"/>
                <w:szCs w:val="20"/>
                <w:color w:val="auto"/>
              </w:rPr>
            </w:pPr>
            <w:r>
              <w:rPr>
                <w:rFonts w:ascii="Times New Roman" w:cs="Times New Roman" w:eastAsia="Times New Roman" w:hAnsi="Times New Roman"/>
                <w:sz w:val="15"/>
                <w:szCs w:val="15"/>
                <w:b w:val="1"/>
                <w:bCs w:val="1"/>
                <w:color w:val="auto"/>
              </w:rPr>
              <w:t>December 31,</w:t>
            </w:r>
          </w:p>
        </w:tc>
      </w:tr>
      <w:tr>
        <w:trPr>
          <w:trHeight w:val="187"/>
        </w:trPr>
        <w:tc>
          <w:tcPr>
            <w:tcW w:w="7460" w:type="dxa"/>
            <w:vAlign w:val="bottom"/>
            <w:tcBorders>
              <w:bottom w:val="single" w:sz="8" w:color="D5EEEE"/>
            </w:tcBorders>
          </w:tcPr>
          <w:p>
            <w:pPr>
              <w:spacing w:after="0"/>
              <w:rPr>
                <w:sz w:val="16"/>
                <w:szCs w:val="16"/>
                <w:color w:val="auto"/>
              </w:rPr>
            </w:pPr>
          </w:p>
        </w:tc>
        <w:tc>
          <w:tcPr>
            <w:tcW w:w="20" w:type="dxa"/>
            <w:vAlign w:val="bottom"/>
            <w:tcBorders>
              <w:bottom w:val="single" w:sz="8" w:color="D5EEEE"/>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67"/>
              <w:spacing w:after="0"/>
              <w:rPr>
                <w:sz w:val="20"/>
                <w:szCs w:val="20"/>
                <w:color w:val="auto"/>
              </w:rPr>
            </w:pPr>
            <w:r>
              <w:rPr>
                <w:rFonts w:ascii="Times New Roman" w:cs="Times New Roman" w:eastAsia="Times New Roman" w:hAnsi="Times New Roman"/>
                <w:sz w:val="15"/>
                <w:szCs w:val="15"/>
                <w:b w:val="1"/>
                <w:bCs w:val="1"/>
                <w:color w:val="auto"/>
              </w:rPr>
              <w:t>2025</w:t>
            </w:r>
          </w:p>
        </w:tc>
        <w:tc>
          <w:tcPr>
            <w:tcW w:w="160" w:type="dxa"/>
            <w:vAlign w:val="bottom"/>
            <w:tcBorders>
              <w:bottom w:val="single" w:sz="8" w:color="D5EEEE"/>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47"/>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225"/>
        </w:trPr>
        <w:tc>
          <w:tcPr>
            <w:tcW w:w="7460" w:type="dxa"/>
            <w:vAlign w:val="bottom"/>
            <w:shd w:val="clear" w:color="auto" w:fill="D5EEEE"/>
          </w:tcPr>
          <w:p>
            <w:pPr>
              <w:spacing w:after="0"/>
              <w:rPr>
                <w:sz w:val="20"/>
                <w:szCs w:val="20"/>
                <w:color w:val="auto"/>
              </w:rPr>
            </w:pPr>
            <w:r>
              <w:rPr>
                <w:rFonts w:ascii="Times New Roman" w:cs="Times New Roman" w:eastAsia="Times New Roman" w:hAnsi="Times New Roman"/>
                <w:sz w:val="19"/>
                <w:szCs w:val="19"/>
                <w:b w:val="1"/>
                <w:bCs w:val="1"/>
                <w:color w:val="auto"/>
              </w:rPr>
              <w:t>ASSETS</w:t>
            </w:r>
          </w:p>
        </w:tc>
        <w:tc>
          <w:tcPr>
            <w:tcW w:w="20" w:type="dxa"/>
            <w:vAlign w:val="bottom"/>
            <w:shd w:val="clear" w:color="auto" w:fill="D5EEEE"/>
          </w:tcPr>
          <w:p>
            <w:pPr>
              <w:spacing w:after="0"/>
              <w:rPr>
                <w:sz w:val="19"/>
                <w:szCs w:val="19"/>
                <w:color w:val="auto"/>
              </w:rPr>
            </w:pPr>
          </w:p>
        </w:tc>
        <w:tc>
          <w:tcPr>
            <w:tcW w:w="120" w:type="dxa"/>
            <w:vAlign w:val="bottom"/>
            <w:shd w:val="clear" w:color="auto" w:fill="D5EEEE"/>
          </w:tcPr>
          <w:p>
            <w:pPr>
              <w:spacing w:after="0"/>
              <w:rPr>
                <w:sz w:val="19"/>
                <w:szCs w:val="19"/>
                <w:color w:val="auto"/>
              </w:rPr>
            </w:pPr>
          </w:p>
        </w:tc>
        <w:tc>
          <w:tcPr>
            <w:tcW w:w="1160" w:type="dxa"/>
            <w:vAlign w:val="bottom"/>
            <w:shd w:val="clear" w:color="auto" w:fill="D5EEEE"/>
          </w:tcPr>
          <w:p>
            <w:pPr>
              <w:spacing w:after="0"/>
              <w:rPr>
                <w:sz w:val="19"/>
                <w:szCs w:val="19"/>
                <w:color w:val="auto"/>
              </w:rPr>
            </w:pPr>
          </w:p>
        </w:tc>
        <w:tc>
          <w:tcPr>
            <w:tcW w:w="160" w:type="dxa"/>
            <w:vAlign w:val="bottom"/>
            <w:shd w:val="clear" w:color="auto" w:fill="D5EEEE"/>
          </w:tcPr>
          <w:p>
            <w:pPr>
              <w:spacing w:after="0"/>
              <w:rPr>
                <w:sz w:val="19"/>
                <w:szCs w:val="19"/>
                <w:color w:val="auto"/>
              </w:rPr>
            </w:pPr>
          </w:p>
        </w:tc>
        <w:tc>
          <w:tcPr>
            <w:tcW w:w="120" w:type="dxa"/>
            <w:vAlign w:val="bottom"/>
            <w:shd w:val="clear" w:color="auto" w:fill="D5EEEE"/>
          </w:tcPr>
          <w:p>
            <w:pPr>
              <w:spacing w:after="0"/>
              <w:rPr>
                <w:sz w:val="19"/>
                <w:szCs w:val="19"/>
                <w:color w:val="auto"/>
              </w:rPr>
            </w:pPr>
          </w:p>
        </w:tc>
        <w:tc>
          <w:tcPr>
            <w:tcW w:w="1160" w:type="dxa"/>
            <w:vAlign w:val="bottom"/>
            <w:shd w:val="clear" w:color="auto" w:fill="D5EEEE"/>
          </w:tcPr>
          <w:p>
            <w:pPr>
              <w:spacing w:after="0"/>
              <w:rPr>
                <w:sz w:val="19"/>
                <w:szCs w:val="19"/>
                <w:color w:val="auto"/>
              </w:rPr>
            </w:pPr>
          </w:p>
        </w:tc>
      </w:tr>
      <w:tr>
        <w:trPr>
          <w:trHeight w:val="230"/>
        </w:trPr>
        <w:tc>
          <w:tcPr>
            <w:tcW w:w="7460" w:type="dxa"/>
            <w:vAlign w:val="bottom"/>
          </w:tcPr>
          <w:p>
            <w:pPr>
              <w:spacing w:after="0"/>
              <w:rPr>
                <w:sz w:val="20"/>
                <w:szCs w:val="20"/>
                <w:color w:val="auto"/>
              </w:rPr>
            </w:pPr>
            <w:r>
              <w:rPr>
                <w:rFonts w:ascii="Times New Roman" w:cs="Times New Roman" w:eastAsia="Times New Roman" w:hAnsi="Times New Roman"/>
                <w:sz w:val="19"/>
                <w:szCs w:val="19"/>
                <w:color w:val="auto"/>
              </w:rPr>
              <w:t>Current assets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31"/>
        </w:trPr>
        <w:tc>
          <w:tcPr>
            <w:tcW w:w="7460" w:type="dxa"/>
            <w:vAlign w:val="bottom"/>
            <w:shd w:val="clear" w:color="auto" w:fill="D5EEEE"/>
          </w:tcPr>
          <w:p>
            <w:pPr>
              <w:ind w:left="100"/>
              <w:spacing w:after="0"/>
              <w:rPr>
                <w:sz w:val="20"/>
                <w:szCs w:val="20"/>
                <w:color w:val="auto"/>
              </w:rPr>
            </w:pPr>
            <w:r>
              <w:rPr>
                <w:rFonts w:ascii="Times New Roman" w:cs="Times New Roman" w:eastAsia="Times New Roman" w:hAnsi="Times New Roman"/>
                <w:sz w:val="19"/>
                <w:szCs w:val="19"/>
                <w:color w:val="auto"/>
              </w:rPr>
              <w:t>Cash and cash equivalents</w:t>
            </w:r>
          </w:p>
        </w:tc>
        <w:tc>
          <w:tcPr>
            <w:tcW w:w="14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160" w:type="dxa"/>
            <w:vAlign w:val="bottom"/>
            <w:shd w:val="clear" w:color="auto" w:fill="D5EEEE"/>
          </w:tcPr>
          <w:p>
            <w:pPr>
              <w:jc w:val="right"/>
              <w:ind w:right="27"/>
              <w:spacing w:after="0"/>
              <w:rPr>
                <w:sz w:val="20"/>
                <w:szCs w:val="20"/>
                <w:color w:val="auto"/>
              </w:rPr>
            </w:pPr>
            <w:r>
              <w:rPr>
                <w:rFonts w:ascii="Times New Roman" w:cs="Times New Roman" w:eastAsia="Times New Roman" w:hAnsi="Times New Roman"/>
                <w:sz w:val="19"/>
                <w:szCs w:val="19"/>
                <w:color w:val="auto"/>
              </w:rPr>
              <w:t>137,531</w:t>
            </w:r>
          </w:p>
        </w:tc>
        <w:tc>
          <w:tcPr>
            <w:tcW w:w="28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60" w:type="dxa"/>
            <w:vAlign w:val="bottom"/>
            <w:shd w:val="clear" w:color="auto" w:fill="D5EEEE"/>
          </w:tcPr>
          <w:p>
            <w:pPr>
              <w:jc w:val="right"/>
              <w:ind w:right="7"/>
              <w:spacing w:after="0"/>
              <w:rPr>
                <w:sz w:val="20"/>
                <w:szCs w:val="20"/>
                <w:color w:val="auto"/>
              </w:rPr>
            </w:pPr>
            <w:r>
              <w:rPr>
                <w:rFonts w:ascii="Times New Roman" w:cs="Times New Roman" w:eastAsia="Times New Roman" w:hAnsi="Times New Roman"/>
                <w:sz w:val="19"/>
                <w:szCs w:val="19"/>
                <w:color w:val="auto"/>
              </w:rPr>
              <w:t>55,291</w:t>
            </w:r>
          </w:p>
        </w:tc>
      </w:tr>
      <w:tr>
        <w:trPr>
          <w:trHeight w:val="230"/>
        </w:trPr>
        <w:tc>
          <w:tcPr>
            <w:tcW w:w="746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Collaboration and license agreement receivable</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27"/>
              <w:spacing w:after="0"/>
              <w:rPr>
                <w:sz w:val="20"/>
                <w:szCs w:val="20"/>
                <w:color w:val="auto"/>
              </w:rPr>
            </w:pPr>
            <w:r>
              <w:rPr>
                <w:rFonts w:ascii="Times New Roman" w:cs="Times New Roman" w:eastAsia="Times New Roman" w:hAnsi="Times New Roman"/>
                <w:sz w:val="19"/>
                <w:szCs w:val="19"/>
                <w:color w:val="auto"/>
              </w:rPr>
              <w:t>5,000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7"/>
              <w:spacing w:after="0"/>
              <w:rPr>
                <w:sz w:val="20"/>
                <w:szCs w:val="20"/>
                <w:color w:val="auto"/>
              </w:rPr>
            </w:pPr>
            <w:r>
              <w:rPr>
                <w:rFonts w:ascii="Times New Roman" w:cs="Times New Roman" w:eastAsia="Times New Roman" w:hAnsi="Times New Roman"/>
                <w:sz w:val="19"/>
                <w:szCs w:val="19"/>
                <w:color w:val="auto"/>
              </w:rPr>
              <w:t>—</w:t>
            </w:r>
          </w:p>
        </w:tc>
      </w:tr>
      <w:tr>
        <w:trPr>
          <w:trHeight w:val="230"/>
        </w:trPr>
        <w:tc>
          <w:tcPr>
            <w:tcW w:w="7460" w:type="dxa"/>
            <w:vAlign w:val="bottom"/>
            <w:shd w:val="clear" w:color="auto" w:fill="D5EEEE"/>
          </w:tcPr>
          <w:p>
            <w:pPr>
              <w:ind w:left="100"/>
              <w:spacing w:after="0"/>
              <w:rPr>
                <w:sz w:val="20"/>
                <w:szCs w:val="20"/>
                <w:color w:val="auto"/>
              </w:rPr>
            </w:pPr>
            <w:r>
              <w:rPr>
                <w:rFonts w:ascii="Times New Roman" w:cs="Times New Roman" w:eastAsia="Times New Roman" w:hAnsi="Times New Roman"/>
                <w:sz w:val="19"/>
                <w:szCs w:val="19"/>
                <w:color w:val="auto"/>
              </w:rPr>
              <w:t>Prepaid expenses and other current assets</w:t>
            </w:r>
          </w:p>
        </w:tc>
        <w:tc>
          <w:tcPr>
            <w:tcW w:w="20" w:type="dxa"/>
            <w:vAlign w:val="bottom"/>
            <w:shd w:val="clear" w:color="auto" w:fill="D5EEEE"/>
          </w:tcPr>
          <w:p>
            <w:pPr>
              <w:spacing w:after="0"/>
              <w:rPr>
                <w:sz w:val="20"/>
                <w:szCs w:val="20"/>
                <w:color w:val="auto"/>
              </w:rPr>
            </w:pPr>
          </w:p>
        </w:tc>
        <w:tc>
          <w:tcPr>
            <w:tcW w:w="120" w:type="dxa"/>
            <w:vAlign w:val="bottom"/>
            <w:tcBorders>
              <w:bottom w:val="single" w:sz="8" w:color="auto"/>
            </w:tcBorders>
            <w:shd w:val="clear" w:color="auto" w:fill="D5EEEE"/>
          </w:tcPr>
          <w:p>
            <w:pPr>
              <w:spacing w:after="0"/>
              <w:rPr>
                <w:sz w:val="20"/>
                <w:szCs w:val="20"/>
                <w:color w:val="auto"/>
              </w:rPr>
            </w:pPr>
          </w:p>
        </w:tc>
        <w:tc>
          <w:tcPr>
            <w:tcW w:w="1160" w:type="dxa"/>
            <w:vAlign w:val="bottom"/>
            <w:tcBorders>
              <w:bottom w:val="single" w:sz="8" w:color="auto"/>
            </w:tcBorders>
            <w:shd w:val="clear" w:color="auto" w:fill="D5EEEE"/>
          </w:tcPr>
          <w:p>
            <w:pPr>
              <w:jc w:val="right"/>
              <w:ind w:right="27"/>
              <w:spacing w:after="0"/>
              <w:rPr>
                <w:sz w:val="20"/>
                <w:szCs w:val="20"/>
                <w:color w:val="auto"/>
              </w:rPr>
            </w:pPr>
            <w:r>
              <w:rPr>
                <w:rFonts w:ascii="Times New Roman" w:cs="Times New Roman" w:eastAsia="Times New Roman" w:hAnsi="Times New Roman"/>
                <w:sz w:val="19"/>
                <w:szCs w:val="19"/>
                <w:color w:val="auto"/>
              </w:rPr>
              <w:t>2,496</w:t>
            </w:r>
          </w:p>
        </w:tc>
        <w:tc>
          <w:tcPr>
            <w:tcW w:w="160" w:type="dxa"/>
            <w:vAlign w:val="bottom"/>
            <w:shd w:val="clear" w:color="auto" w:fill="D5EEEE"/>
          </w:tcPr>
          <w:p>
            <w:pPr>
              <w:spacing w:after="0"/>
              <w:rPr>
                <w:sz w:val="20"/>
                <w:szCs w:val="20"/>
                <w:color w:val="auto"/>
              </w:rPr>
            </w:pPr>
          </w:p>
        </w:tc>
        <w:tc>
          <w:tcPr>
            <w:tcW w:w="120" w:type="dxa"/>
            <w:vAlign w:val="bottom"/>
            <w:tcBorders>
              <w:bottom w:val="single" w:sz="8" w:color="auto"/>
            </w:tcBorders>
            <w:shd w:val="clear" w:color="auto" w:fill="D5EEEE"/>
          </w:tcPr>
          <w:p>
            <w:pPr>
              <w:spacing w:after="0"/>
              <w:rPr>
                <w:sz w:val="20"/>
                <w:szCs w:val="20"/>
                <w:color w:val="auto"/>
              </w:rPr>
            </w:pPr>
          </w:p>
        </w:tc>
        <w:tc>
          <w:tcPr>
            <w:tcW w:w="1160" w:type="dxa"/>
            <w:vAlign w:val="bottom"/>
            <w:tcBorders>
              <w:bottom w:val="single" w:sz="8" w:color="auto"/>
            </w:tcBorders>
            <w:shd w:val="clear" w:color="auto" w:fill="D5EEEE"/>
          </w:tcPr>
          <w:p>
            <w:pPr>
              <w:jc w:val="right"/>
              <w:ind w:right="7"/>
              <w:spacing w:after="0"/>
              <w:rPr>
                <w:sz w:val="20"/>
                <w:szCs w:val="20"/>
                <w:color w:val="auto"/>
              </w:rPr>
            </w:pPr>
            <w:r>
              <w:rPr>
                <w:rFonts w:ascii="Times New Roman" w:cs="Times New Roman" w:eastAsia="Times New Roman" w:hAnsi="Times New Roman"/>
                <w:sz w:val="19"/>
                <w:szCs w:val="19"/>
                <w:color w:val="auto"/>
              </w:rPr>
              <w:t>4,943</w:t>
            </w:r>
          </w:p>
        </w:tc>
      </w:tr>
      <w:tr>
        <w:trPr>
          <w:trHeight w:val="225"/>
        </w:trPr>
        <w:tc>
          <w:tcPr>
            <w:tcW w:w="746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Total current assets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27"/>
              <w:spacing w:after="0"/>
              <w:rPr>
                <w:sz w:val="20"/>
                <w:szCs w:val="20"/>
                <w:color w:val="auto"/>
              </w:rPr>
            </w:pPr>
            <w:r>
              <w:rPr>
                <w:rFonts w:ascii="Times New Roman" w:cs="Times New Roman" w:eastAsia="Times New Roman" w:hAnsi="Times New Roman"/>
                <w:sz w:val="19"/>
                <w:szCs w:val="19"/>
                <w:color w:val="auto"/>
              </w:rPr>
              <w:t>145,027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7"/>
              <w:spacing w:after="0"/>
              <w:rPr>
                <w:sz w:val="20"/>
                <w:szCs w:val="20"/>
                <w:color w:val="auto"/>
              </w:rPr>
            </w:pPr>
            <w:r>
              <w:rPr>
                <w:rFonts w:ascii="Times New Roman" w:cs="Times New Roman" w:eastAsia="Times New Roman" w:hAnsi="Times New Roman"/>
                <w:sz w:val="19"/>
                <w:szCs w:val="19"/>
                <w:color w:val="auto"/>
              </w:rPr>
              <w:t>60,234</w:t>
            </w:r>
          </w:p>
        </w:tc>
      </w:tr>
      <w:tr>
        <w:trPr>
          <w:trHeight w:val="231"/>
        </w:trPr>
        <w:tc>
          <w:tcPr>
            <w:tcW w:w="7460" w:type="dxa"/>
            <w:vAlign w:val="bottom"/>
            <w:shd w:val="clear" w:color="auto" w:fill="D5EEEE"/>
          </w:tcPr>
          <w:p>
            <w:pPr>
              <w:spacing w:after="0"/>
              <w:rPr>
                <w:sz w:val="20"/>
                <w:szCs w:val="20"/>
                <w:color w:val="auto"/>
              </w:rPr>
            </w:pPr>
            <w:r>
              <w:rPr>
                <w:rFonts w:ascii="Times New Roman" w:cs="Times New Roman" w:eastAsia="Times New Roman" w:hAnsi="Times New Roman"/>
                <w:sz w:val="19"/>
                <w:szCs w:val="19"/>
                <w:color w:val="auto"/>
              </w:rPr>
              <w:t>Restricted cash</w:t>
            </w:r>
          </w:p>
        </w:tc>
        <w:tc>
          <w:tcPr>
            <w:tcW w:w="20" w:type="dxa"/>
            <w:vAlign w:val="bottom"/>
            <w:shd w:val="clear" w:color="auto" w:fill="D5EEEE"/>
          </w:tcPr>
          <w:p>
            <w:pPr>
              <w:spacing w:after="0"/>
              <w:rPr>
                <w:sz w:val="20"/>
                <w:szCs w:val="20"/>
                <w:color w:val="auto"/>
              </w:rPr>
            </w:pPr>
          </w:p>
        </w:tc>
        <w:tc>
          <w:tcPr>
            <w:tcW w:w="120" w:type="dxa"/>
            <w:vAlign w:val="bottom"/>
            <w:shd w:val="clear" w:color="auto" w:fill="D5EEEE"/>
          </w:tcPr>
          <w:p>
            <w:pPr>
              <w:spacing w:after="0"/>
              <w:rPr>
                <w:sz w:val="20"/>
                <w:szCs w:val="20"/>
                <w:color w:val="auto"/>
              </w:rPr>
            </w:pPr>
          </w:p>
        </w:tc>
        <w:tc>
          <w:tcPr>
            <w:tcW w:w="1160" w:type="dxa"/>
            <w:vAlign w:val="bottom"/>
            <w:shd w:val="clear" w:color="auto" w:fill="D5EEEE"/>
          </w:tcPr>
          <w:p>
            <w:pPr>
              <w:jc w:val="right"/>
              <w:ind w:right="27"/>
              <w:spacing w:after="0"/>
              <w:rPr>
                <w:sz w:val="20"/>
                <w:szCs w:val="20"/>
                <w:color w:val="auto"/>
              </w:rPr>
            </w:pPr>
            <w:r>
              <w:rPr>
                <w:rFonts w:ascii="Times New Roman" w:cs="Times New Roman" w:eastAsia="Times New Roman" w:hAnsi="Times New Roman"/>
                <w:sz w:val="19"/>
                <w:szCs w:val="19"/>
                <w:color w:val="auto"/>
              </w:rPr>
              <w:t>1,807</w:t>
            </w:r>
          </w:p>
        </w:tc>
        <w:tc>
          <w:tcPr>
            <w:tcW w:w="160" w:type="dxa"/>
            <w:vAlign w:val="bottom"/>
            <w:shd w:val="clear" w:color="auto" w:fill="D5EEEE"/>
          </w:tcPr>
          <w:p>
            <w:pPr>
              <w:spacing w:after="0"/>
              <w:rPr>
                <w:sz w:val="20"/>
                <w:szCs w:val="20"/>
                <w:color w:val="auto"/>
              </w:rPr>
            </w:pPr>
          </w:p>
        </w:tc>
        <w:tc>
          <w:tcPr>
            <w:tcW w:w="120" w:type="dxa"/>
            <w:vAlign w:val="bottom"/>
            <w:shd w:val="clear" w:color="auto" w:fill="D5EEEE"/>
          </w:tcPr>
          <w:p>
            <w:pPr>
              <w:spacing w:after="0"/>
              <w:rPr>
                <w:sz w:val="20"/>
                <w:szCs w:val="20"/>
                <w:color w:val="auto"/>
              </w:rPr>
            </w:pPr>
          </w:p>
        </w:tc>
        <w:tc>
          <w:tcPr>
            <w:tcW w:w="1160" w:type="dxa"/>
            <w:vAlign w:val="bottom"/>
            <w:shd w:val="clear" w:color="auto" w:fill="D5EEEE"/>
          </w:tcPr>
          <w:p>
            <w:pPr>
              <w:jc w:val="right"/>
              <w:ind w:right="7"/>
              <w:spacing w:after="0"/>
              <w:rPr>
                <w:sz w:val="20"/>
                <w:szCs w:val="20"/>
                <w:color w:val="auto"/>
              </w:rPr>
            </w:pPr>
            <w:r>
              <w:rPr>
                <w:rFonts w:ascii="Times New Roman" w:cs="Times New Roman" w:eastAsia="Times New Roman" w:hAnsi="Times New Roman"/>
                <w:sz w:val="19"/>
                <w:szCs w:val="19"/>
                <w:color w:val="auto"/>
              </w:rPr>
              <w:t>1,782</w:t>
            </w:r>
          </w:p>
        </w:tc>
      </w:tr>
      <w:tr>
        <w:trPr>
          <w:trHeight w:val="230"/>
        </w:trPr>
        <w:tc>
          <w:tcPr>
            <w:tcW w:w="7460" w:type="dxa"/>
            <w:vAlign w:val="bottom"/>
          </w:tcPr>
          <w:p>
            <w:pPr>
              <w:spacing w:after="0"/>
              <w:rPr>
                <w:sz w:val="20"/>
                <w:szCs w:val="20"/>
                <w:color w:val="auto"/>
              </w:rPr>
            </w:pPr>
            <w:r>
              <w:rPr>
                <w:rFonts w:ascii="Times New Roman" w:cs="Times New Roman" w:eastAsia="Times New Roman" w:hAnsi="Times New Roman"/>
                <w:sz w:val="19"/>
                <w:szCs w:val="19"/>
                <w:color w:val="auto"/>
              </w:rPr>
              <w:t>Property and equipment, net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27"/>
              <w:spacing w:after="0"/>
              <w:rPr>
                <w:sz w:val="20"/>
                <w:szCs w:val="20"/>
                <w:color w:val="auto"/>
              </w:rPr>
            </w:pPr>
            <w:r>
              <w:rPr>
                <w:rFonts w:ascii="Times New Roman" w:cs="Times New Roman" w:eastAsia="Times New Roman" w:hAnsi="Times New Roman"/>
                <w:sz w:val="19"/>
                <w:szCs w:val="19"/>
                <w:color w:val="auto"/>
              </w:rPr>
              <w:t>3,892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7"/>
              <w:spacing w:after="0"/>
              <w:rPr>
                <w:sz w:val="20"/>
                <w:szCs w:val="20"/>
                <w:color w:val="auto"/>
              </w:rPr>
            </w:pPr>
            <w:r>
              <w:rPr>
                <w:rFonts w:ascii="Times New Roman" w:cs="Times New Roman" w:eastAsia="Times New Roman" w:hAnsi="Times New Roman"/>
                <w:sz w:val="19"/>
                <w:szCs w:val="19"/>
                <w:color w:val="auto"/>
              </w:rPr>
              <w:t>4,472</w:t>
            </w:r>
          </w:p>
        </w:tc>
      </w:tr>
      <w:tr>
        <w:trPr>
          <w:trHeight w:val="230"/>
        </w:trPr>
        <w:tc>
          <w:tcPr>
            <w:tcW w:w="7460" w:type="dxa"/>
            <w:vAlign w:val="bottom"/>
            <w:tcBorders>
              <w:bottom w:val="single" w:sz="8" w:color="D5EEEE"/>
            </w:tcBorders>
            <w:shd w:val="clear" w:color="auto" w:fill="D5EEEE"/>
          </w:tcPr>
          <w:p>
            <w:pPr>
              <w:spacing w:after="0"/>
              <w:rPr>
                <w:sz w:val="20"/>
                <w:szCs w:val="20"/>
                <w:color w:val="auto"/>
              </w:rPr>
            </w:pPr>
            <w:r>
              <w:rPr>
                <w:rFonts w:ascii="Times New Roman" w:cs="Times New Roman" w:eastAsia="Times New Roman" w:hAnsi="Times New Roman"/>
                <w:sz w:val="19"/>
                <w:szCs w:val="19"/>
                <w:color w:val="auto"/>
              </w:rPr>
              <w:t>Operating lease right-of-use asset</w:t>
            </w:r>
          </w:p>
        </w:tc>
        <w:tc>
          <w:tcPr>
            <w:tcW w:w="20" w:type="dxa"/>
            <w:vAlign w:val="bottom"/>
            <w:tcBorders>
              <w:bottom w:val="single" w:sz="8" w:color="D5EEEE"/>
            </w:tcBorders>
            <w:shd w:val="clear" w:color="auto" w:fill="D5EEEE"/>
          </w:tcPr>
          <w:p>
            <w:pPr>
              <w:spacing w:after="0"/>
              <w:rPr>
                <w:sz w:val="20"/>
                <w:szCs w:val="20"/>
                <w:color w:val="auto"/>
              </w:rPr>
            </w:pPr>
          </w:p>
        </w:tc>
        <w:tc>
          <w:tcPr>
            <w:tcW w:w="120" w:type="dxa"/>
            <w:vAlign w:val="bottom"/>
            <w:tcBorders>
              <w:bottom w:val="single" w:sz="8" w:color="auto"/>
            </w:tcBorders>
            <w:shd w:val="clear" w:color="auto" w:fill="D5EEEE"/>
          </w:tcPr>
          <w:p>
            <w:pPr>
              <w:spacing w:after="0"/>
              <w:rPr>
                <w:sz w:val="20"/>
                <w:szCs w:val="20"/>
                <w:color w:val="auto"/>
              </w:rPr>
            </w:pPr>
          </w:p>
        </w:tc>
        <w:tc>
          <w:tcPr>
            <w:tcW w:w="1160" w:type="dxa"/>
            <w:vAlign w:val="bottom"/>
            <w:tcBorders>
              <w:bottom w:val="single" w:sz="8" w:color="auto"/>
            </w:tcBorders>
            <w:shd w:val="clear" w:color="auto" w:fill="D5EEEE"/>
          </w:tcPr>
          <w:p>
            <w:pPr>
              <w:jc w:val="right"/>
              <w:ind w:right="27"/>
              <w:spacing w:after="0"/>
              <w:rPr>
                <w:sz w:val="20"/>
                <w:szCs w:val="20"/>
                <w:color w:val="auto"/>
              </w:rPr>
            </w:pPr>
            <w:r>
              <w:rPr>
                <w:rFonts w:ascii="Times New Roman" w:cs="Times New Roman" w:eastAsia="Times New Roman" w:hAnsi="Times New Roman"/>
                <w:sz w:val="19"/>
                <w:szCs w:val="19"/>
                <w:color w:val="auto"/>
              </w:rPr>
              <w:t>3,959</w:t>
            </w:r>
          </w:p>
        </w:tc>
        <w:tc>
          <w:tcPr>
            <w:tcW w:w="160" w:type="dxa"/>
            <w:vAlign w:val="bottom"/>
            <w:tcBorders>
              <w:bottom w:val="single" w:sz="8" w:color="D5EEEE"/>
            </w:tcBorders>
            <w:shd w:val="clear" w:color="auto" w:fill="D5EEEE"/>
          </w:tcPr>
          <w:p>
            <w:pPr>
              <w:spacing w:after="0"/>
              <w:rPr>
                <w:sz w:val="20"/>
                <w:szCs w:val="20"/>
                <w:color w:val="auto"/>
              </w:rPr>
            </w:pPr>
          </w:p>
        </w:tc>
        <w:tc>
          <w:tcPr>
            <w:tcW w:w="120" w:type="dxa"/>
            <w:vAlign w:val="bottom"/>
            <w:tcBorders>
              <w:bottom w:val="single" w:sz="8" w:color="auto"/>
            </w:tcBorders>
            <w:shd w:val="clear" w:color="auto" w:fill="D5EEEE"/>
          </w:tcPr>
          <w:p>
            <w:pPr>
              <w:spacing w:after="0"/>
              <w:rPr>
                <w:sz w:val="20"/>
                <w:szCs w:val="20"/>
                <w:color w:val="auto"/>
              </w:rPr>
            </w:pPr>
          </w:p>
        </w:tc>
        <w:tc>
          <w:tcPr>
            <w:tcW w:w="1160" w:type="dxa"/>
            <w:vAlign w:val="bottom"/>
            <w:tcBorders>
              <w:bottom w:val="single" w:sz="8" w:color="auto"/>
            </w:tcBorders>
            <w:shd w:val="clear" w:color="auto" w:fill="D5EEEE"/>
          </w:tcPr>
          <w:p>
            <w:pPr>
              <w:jc w:val="right"/>
              <w:ind w:right="7"/>
              <w:spacing w:after="0"/>
              <w:rPr>
                <w:sz w:val="20"/>
                <w:szCs w:val="20"/>
                <w:color w:val="auto"/>
              </w:rPr>
            </w:pPr>
            <w:r>
              <w:rPr>
                <w:rFonts w:ascii="Times New Roman" w:cs="Times New Roman" w:eastAsia="Times New Roman" w:hAnsi="Times New Roman"/>
                <w:sz w:val="19"/>
                <w:szCs w:val="19"/>
                <w:color w:val="auto"/>
              </w:rPr>
              <w:t>4,587</w:t>
            </w:r>
          </w:p>
        </w:tc>
      </w:tr>
      <w:tr>
        <w:trPr>
          <w:trHeight w:val="265"/>
        </w:trPr>
        <w:tc>
          <w:tcPr>
            <w:tcW w:w="7460" w:type="dxa"/>
            <w:vAlign w:val="bottom"/>
            <w:tcBorders>
              <w:bottom w:val="single" w:sz="8" w:color="D5EEEE"/>
            </w:tcBorders>
          </w:tcPr>
          <w:p>
            <w:pPr>
              <w:ind w:left="180"/>
              <w:spacing w:after="0"/>
              <w:rPr>
                <w:sz w:val="20"/>
                <w:szCs w:val="20"/>
                <w:color w:val="auto"/>
              </w:rPr>
            </w:pPr>
            <w:r>
              <w:rPr>
                <w:rFonts w:ascii="Times New Roman" w:cs="Times New Roman" w:eastAsia="Times New Roman" w:hAnsi="Times New Roman"/>
                <w:sz w:val="19"/>
                <w:szCs w:val="19"/>
                <w:color w:val="auto"/>
              </w:rPr>
              <w:t>Total assets</w:t>
            </w:r>
          </w:p>
        </w:tc>
        <w:tc>
          <w:tcPr>
            <w:tcW w:w="20" w:type="dxa"/>
            <w:vAlign w:val="bottom"/>
            <w:tcBorders>
              <w:bottom w:val="single" w:sz="8" w:color="D5EEEE"/>
            </w:tcBorders>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9"/>
                <w:szCs w:val="19"/>
                <w:color w:val="auto"/>
              </w:rPr>
              <w:t>154,685</w:t>
            </w:r>
          </w:p>
        </w:tc>
        <w:tc>
          <w:tcPr>
            <w:tcW w:w="160" w:type="dxa"/>
            <w:vAlign w:val="bottom"/>
            <w:tcBorders>
              <w:bottom w:val="single" w:sz="8" w:color="D5EEEE"/>
            </w:tcBorders>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16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9"/>
                <w:szCs w:val="19"/>
                <w:color w:val="auto"/>
              </w:rPr>
              <w:t>71,075</w:t>
            </w:r>
          </w:p>
        </w:tc>
      </w:tr>
      <w:tr>
        <w:trPr>
          <w:trHeight w:val="213"/>
        </w:trPr>
        <w:tc>
          <w:tcPr>
            <w:tcW w:w="7460" w:type="dxa"/>
            <w:vAlign w:val="bottom"/>
            <w:shd w:val="clear" w:color="auto" w:fill="D5EEEE"/>
          </w:tcPr>
          <w:p>
            <w:pPr>
              <w:spacing w:after="0" w:line="213" w:lineRule="exact"/>
              <w:rPr>
                <w:sz w:val="20"/>
                <w:szCs w:val="20"/>
                <w:color w:val="auto"/>
              </w:rPr>
            </w:pPr>
            <w:r>
              <w:rPr>
                <w:rFonts w:ascii="Times New Roman" w:cs="Times New Roman" w:eastAsia="Times New Roman" w:hAnsi="Times New Roman"/>
                <w:sz w:val="19"/>
                <w:szCs w:val="19"/>
                <w:b w:val="1"/>
                <w:bCs w:val="1"/>
                <w:color w:val="auto"/>
              </w:rPr>
              <w:t>LIABILITIES AND STOCKHOLDERS’ EQUITY</w:t>
            </w:r>
          </w:p>
        </w:tc>
        <w:tc>
          <w:tcPr>
            <w:tcW w:w="20" w:type="dxa"/>
            <w:vAlign w:val="bottom"/>
            <w:shd w:val="clear" w:color="auto" w:fill="D5EEEE"/>
          </w:tcPr>
          <w:p>
            <w:pPr>
              <w:spacing w:after="0"/>
              <w:rPr>
                <w:sz w:val="18"/>
                <w:szCs w:val="18"/>
                <w:color w:val="auto"/>
              </w:rPr>
            </w:pPr>
          </w:p>
        </w:tc>
        <w:tc>
          <w:tcPr>
            <w:tcW w:w="120" w:type="dxa"/>
            <w:vAlign w:val="bottom"/>
            <w:shd w:val="clear" w:color="auto" w:fill="D5EEEE"/>
          </w:tcPr>
          <w:p>
            <w:pPr>
              <w:spacing w:after="0"/>
              <w:rPr>
                <w:sz w:val="18"/>
                <w:szCs w:val="18"/>
                <w:color w:val="auto"/>
              </w:rPr>
            </w:pPr>
          </w:p>
        </w:tc>
        <w:tc>
          <w:tcPr>
            <w:tcW w:w="1160" w:type="dxa"/>
            <w:vAlign w:val="bottom"/>
            <w:shd w:val="clear" w:color="auto" w:fill="D5EEEE"/>
          </w:tcPr>
          <w:p>
            <w:pPr>
              <w:spacing w:after="0"/>
              <w:rPr>
                <w:sz w:val="18"/>
                <w:szCs w:val="18"/>
                <w:color w:val="auto"/>
              </w:rPr>
            </w:pPr>
          </w:p>
        </w:tc>
        <w:tc>
          <w:tcPr>
            <w:tcW w:w="160" w:type="dxa"/>
            <w:vAlign w:val="bottom"/>
            <w:shd w:val="clear" w:color="auto" w:fill="D5EEEE"/>
          </w:tcPr>
          <w:p>
            <w:pPr>
              <w:spacing w:after="0"/>
              <w:rPr>
                <w:sz w:val="18"/>
                <w:szCs w:val="18"/>
                <w:color w:val="auto"/>
              </w:rPr>
            </w:pPr>
          </w:p>
        </w:tc>
        <w:tc>
          <w:tcPr>
            <w:tcW w:w="120" w:type="dxa"/>
            <w:vAlign w:val="bottom"/>
            <w:shd w:val="clear" w:color="auto" w:fill="D5EEEE"/>
          </w:tcPr>
          <w:p>
            <w:pPr>
              <w:spacing w:after="0"/>
              <w:rPr>
                <w:sz w:val="18"/>
                <w:szCs w:val="18"/>
                <w:color w:val="auto"/>
              </w:rPr>
            </w:pPr>
          </w:p>
        </w:tc>
        <w:tc>
          <w:tcPr>
            <w:tcW w:w="1160" w:type="dxa"/>
            <w:vAlign w:val="bottom"/>
            <w:shd w:val="clear" w:color="auto" w:fill="D5EEEE"/>
          </w:tcPr>
          <w:p>
            <w:pPr>
              <w:spacing w:after="0"/>
              <w:rPr>
                <w:sz w:val="18"/>
                <w:szCs w:val="18"/>
                <w:color w:val="auto"/>
              </w:rPr>
            </w:pPr>
          </w:p>
        </w:tc>
      </w:tr>
      <w:tr>
        <w:trPr>
          <w:trHeight w:val="230"/>
        </w:trPr>
        <w:tc>
          <w:tcPr>
            <w:tcW w:w="7460" w:type="dxa"/>
            <w:vAlign w:val="bottom"/>
          </w:tcPr>
          <w:p>
            <w:pPr>
              <w:spacing w:after="0"/>
              <w:rPr>
                <w:sz w:val="20"/>
                <w:szCs w:val="20"/>
                <w:color w:val="auto"/>
              </w:rPr>
            </w:pPr>
            <w:r>
              <w:rPr>
                <w:rFonts w:ascii="Times New Roman" w:cs="Times New Roman" w:eastAsia="Times New Roman" w:hAnsi="Times New Roman"/>
                <w:sz w:val="19"/>
                <w:szCs w:val="19"/>
                <w:color w:val="auto"/>
              </w:rPr>
              <w:t>Current liabilities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31"/>
        </w:trPr>
        <w:tc>
          <w:tcPr>
            <w:tcW w:w="7460" w:type="dxa"/>
            <w:vAlign w:val="bottom"/>
            <w:shd w:val="clear" w:color="auto" w:fill="D5EEEE"/>
          </w:tcPr>
          <w:p>
            <w:pPr>
              <w:ind w:left="100"/>
              <w:spacing w:after="0"/>
              <w:rPr>
                <w:sz w:val="20"/>
                <w:szCs w:val="20"/>
                <w:color w:val="auto"/>
              </w:rPr>
            </w:pPr>
            <w:r>
              <w:rPr>
                <w:rFonts w:ascii="Times New Roman" w:cs="Times New Roman" w:eastAsia="Times New Roman" w:hAnsi="Times New Roman"/>
                <w:sz w:val="19"/>
                <w:szCs w:val="19"/>
                <w:color w:val="auto"/>
              </w:rPr>
              <w:t>Accounts payable</w:t>
            </w:r>
          </w:p>
        </w:tc>
        <w:tc>
          <w:tcPr>
            <w:tcW w:w="14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160" w:type="dxa"/>
            <w:vAlign w:val="bottom"/>
            <w:shd w:val="clear" w:color="auto" w:fill="D5EEEE"/>
          </w:tcPr>
          <w:p>
            <w:pPr>
              <w:jc w:val="right"/>
              <w:ind w:right="27"/>
              <w:spacing w:after="0"/>
              <w:rPr>
                <w:sz w:val="20"/>
                <w:szCs w:val="20"/>
                <w:color w:val="auto"/>
              </w:rPr>
            </w:pPr>
            <w:r>
              <w:rPr>
                <w:rFonts w:ascii="Times New Roman" w:cs="Times New Roman" w:eastAsia="Times New Roman" w:hAnsi="Times New Roman"/>
                <w:sz w:val="19"/>
                <w:szCs w:val="19"/>
                <w:color w:val="auto"/>
              </w:rPr>
              <w:t>3,168</w:t>
            </w:r>
          </w:p>
        </w:tc>
        <w:tc>
          <w:tcPr>
            <w:tcW w:w="28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60" w:type="dxa"/>
            <w:vAlign w:val="bottom"/>
            <w:shd w:val="clear" w:color="auto" w:fill="D5EEEE"/>
          </w:tcPr>
          <w:p>
            <w:pPr>
              <w:jc w:val="right"/>
              <w:ind w:right="7"/>
              <w:spacing w:after="0"/>
              <w:rPr>
                <w:sz w:val="20"/>
                <w:szCs w:val="20"/>
                <w:color w:val="auto"/>
              </w:rPr>
            </w:pPr>
            <w:r>
              <w:rPr>
                <w:rFonts w:ascii="Times New Roman" w:cs="Times New Roman" w:eastAsia="Times New Roman" w:hAnsi="Times New Roman"/>
                <w:sz w:val="19"/>
                <w:szCs w:val="19"/>
                <w:color w:val="auto"/>
              </w:rPr>
              <w:t>2,574</w:t>
            </w:r>
          </w:p>
        </w:tc>
      </w:tr>
      <w:tr>
        <w:trPr>
          <w:trHeight w:val="230"/>
        </w:trPr>
        <w:tc>
          <w:tcPr>
            <w:tcW w:w="746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Accrued expenses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27"/>
              <w:spacing w:after="0"/>
              <w:rPr>
                <w:sz w:val="20"/>
                <w:szCs w:val="20"/>
                <w:color w:val="auto"/>
              </w:rPr>
            </w:pPr>
            <w:r>
              <w:rPr>
                <w:rFonts w:ascii="Times New Roman" w:cs="Times New Roman" w:eastAsia="Times New Roman" w:hAnsi="Times New Roman"/>
                <w:sz w:val="19"/>
                <w:szCs w:val="19"/>
                <w:color w:val="auto"/>
              </w:rPr>
              <w:t>11,739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7"/>
              <w:spacing w:after="0"/>
              <w:rPr>
                <w:sz w:val="20"/>
                <w:szCs w:val="20"/>
                <w:color w:val="auto"/>
              </w:rPr>
            </w:pPr>
            <w:r>
              <w:rPr>
                <w:rFonts w:ascii="Times New Roman" w:cs="Times New Roman" w:eastAsia="Times New Roman" w:hAnsi="Times New Roman"/>
                <w:sz w:val="19"/>
                <w:szCs w:val="19"/>
                <w:color w:val="auto"/>
              </w:rPr>
              <w:t>9,981</w:t>
            </w:r>
          </w:p>
        </w:tc>
      </w:tr>
      <w:tr>
        <w:trPr>
          <w:trHeight w:val="231"/>
        </w:trPr>
        <w:tc>
          <w:tcPr>
            <w:tcW w:w="7460" w:type="dxa"/>
            <w:vAlign w:val="bottom"/>
            <w:shd w:val="clear" w:color="auto" w:fill="D5EEEE"/>
          </w:tcPr>
          <w:p>
            <w:pPr>
              <w:ind w:left="100"/>
              <w:spacing w:after="0"/>
              <w:rPr>
                <w:sz w:val="20"/>
                <w:szCs w:val="20"/>
                <w:color w:val="auto"/>
              </w:rPr>
            </w:pPr>
            <w:r>
              <w:rPr>
                <w:rFonts w:ascii="Times New Roman" w:cs="Times New Roman" w:eastAsia="Times New Roman" w:hAnsi="Times New Roman"/>
                <w:sz w:val="19"/>
                <w:szCs w:val="19"/>
                <w:color w:val="auto"/>
              </w:rPr>
              <w:t>Deferred revenue, current portion</w:t>
            </w:r>
          </w:p>
        </w:tc>
        <w:tc>
          <w:tcPr>
            <w:tcW w:w="20" w:type="dxa"/>
            <w:vAlign w:val="bottom"/>
            <w:shd w:val="clear" w:color="auto" w:fill="D5EEEE"/>
          </w:tcPr>
          <w:p>
            <w:pPr>
              <w:spacing w:after="0"/>
              <w:rPr>
                <w:sz w:val="20"/>
                <w:szCs w:val="20"/>
                <w:color w:val="auto"/>
              </w:rPr>
            </w:pPr>
          </w:p>
        </w:tc>
        <w:tc>
          <w:tcPr>
            <w:tcW w:w="120" w:type="dxa"/>
            <w:vAlign w:val="bottom"/>
            <w:shd w:val="clear" w:color="auto" w:fill="D5EEEE"/>
          </w:tcPr>
          <w:p>
            <w:pPr>
              <w:spacing w:after="0"/>
              <w:rPr>
                <w:sz w:val="20"/>
                <w:szCs w:val="20"/>
                <w:color w:val="auto"/>
              </w:rPr>
            </w:pPr>
          </w:p>
        </w:tc>
        <w:tc>
          <w:tcPr>
            <w:tcW w:w="1160" w:type="dxa"/>
            <w:vAlign w:val="bottom"/>
            <w:shd w:val="clear" w:color="auto" w:fill="D5EEEE"/>
          </w:tcPr>
          <w:p>
            <w:pPr>
              <w:jc w:val="right"/>
              <w:ind w:right="27"/>
              <w:spacing w:after="0"/>
              <w:rPr>
                <w:sz w:val="20"/>
                <w:szCs w:val="20"/>
                <w:color w:val="auto"/>
              </w:rPr>
            </w:pPr>
            <w:r>
              <w:rPr>
                <w:rFonts w:ascii="Times New Roman" w:cs="Times New Roman" w:eastAsia="Times New Roman" w:hAnsi="Times New Roman"/>
                <w:sz w:val="19"/>
                <w:szCs w:val="19"/>
                <w:color w:val="auto"/>
              </w:rPr>
              <w:t>40,023</w:t>
            </w:r>
          </w:p>
        </w:tc>
        <w:tc>
          <w:tcPr>
            <w:tcW w:w="160" w:type="dxa"/>
            <w:vAlign w:val="bottom"/>
            <w:shd w:val="clear" w:color="auto" w:fill="D5EEEE"/>
          </w:tcPr>
          <w:p>
            <w:pPr>
              <w:spacing w:after="0"/>
              <w:rPr>
                <w:sz w:val="20"/>
                <w:szCs w:val="20"/>
                <w:color w:val="auto"/>
              </w:rPr>
            </w:pPr>
          </w:p>
        </w:tc>
        <w:tc>
          <w:tcPr>
            <w:tcW w:w="120" w:type="dxa"/>
            <w:vAlign w:val="bottom"/>
            <w:shd w:val="clear" w:color="auto" w:fill="D5EEEE"/>
          </w:tcPr>
          <w:p>
            <w:pPr>
              <w:spacing w:after="0"/>
              <w:rPr>
                <w:sz w:val="20"/>
                <w:szCs w:val="20"/>
                <w:color w:val="auto"/>
              </w:rPr>
            </w:pPr>
          </w:p>
        </w:tc>
        <w:tc>
          <w:tcPr>
            <w:tcW w:w="1160" w:type="dxa"/>
            <w:vAlign w:val="bottom"/>
            <w:shd w:val="clear" w:color="auto" w:fill="D5EEEE"/>
          </w:tcPr>
          <w:p>
            <w:pPr>
              <w:jc w:val="right"/>
              <w:ind w:right="7"/>
              <w:spacing w:after="0"/>
              <w:rPr>
                <w:sz w:val="20"/>
                <w:szCs w:val="20"/>
                <w:color w:val="auto"/>
              </w:rPr>
            </w:pPr>
            <w:r>
              <w:rPr>
                <w:rFonts w:ascii="Times New Roman" w:cs="Times New Roman" w:eastAsia="Times New Roman" w:hAnsi="Times New Roman"/>
                <w:sz w:val="19"/>
                <w:szCs w:val="19"/>
                <w:color w:val="auto"/>
              </w:rPr>
              <w:t>13,518</w:t>
            </w:r>
          </w:p>
        </w:tc>
      </w:tr>
      <w:tr>
        <w:trPr>
          <w:trHeight w:val="230"/>
        </w:trPr>
        <w:tc>
          <w:tcPr>
            <w:tcW w:w="7460" w:type="dxa"/>
            <w:vAlign w:val="bottom"/>
            <w:tcBorders>
              <w:bottom w:val="single" w:sz="8" w:color="D5EEEE"/>
            </w:tcBorders>
          </w:tcPr>
          <w:p>
            <w:pPr>
              <w:ind w:left="100"/>
              <w:spacing w:after="0"/>
              <w:rPr>
                <w:sz w:val="20"/>
                <w:szCs w:val="20"/>
                <w:color w:val="auto"/>
              </w:rPr>
            </w:pPr>
            <w:r>
              <w:rPr>
                <w:rFonts w:ascii="Times New Roman" w:cs="Times New Roman" w:eastAsia="Times New Roman" w:hAnsi="Times New Roman"/>
                <w:sz w:val="19"/>
                <w:szCs w:val="19"/>
                <w:color w:val="auto"/>
              </w:rPr>
              <w:t>Operating lease liability, current portion</w:t>
            </w:r>
          </w:p>
        </w:tc>
        <w:tc>
          <w:tcPr>
            <w:tcW w:w="20" w:type="dxa"/>
            <w:vAlign w:val="bottom"/>
            <w:tcBorders>
              <w:bottom w:val="single" w:sz="8" w:color="D5EEEE"/>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9"/>
                <w:szCs w:val="19"/>
                <w:color w:val="auto"/>
              </w:rPr>
              <w:t>1,343</w:t>
            </w:r>
          </w:p>
        </w:tc>
        <w:tc>
          <w:tcPr>
            <w:tcW w:w="160" w:type="dxa"/>
            <w:vAlign w:val="bottom"/>
            <w:tcBorders>
              <w:bottom w:val="single" w:sz="8" w:color="D5EEEE"/>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9"/>
                <w:szCs w:val="19"/>
                <w:color w:val="auto"/>
              </w:rPr>
              <w:t>1,188</w:t>
            </w:r>
          </w:p>
        </w:tc>
      </w:tr>
      <w:tr>
        <w:trPr>
          <w:trHeight w:val="225"/>
        </w:trPr>
        <w:tc>
          <w:tcPr>
            <w:tcW w:w="7460" w:type="dxa"/>
            <w:vAlign w:val="bottom"/>
            <w:shd w:val="clear" w:color="auto" w:fill="D5EEEE"/>
          </w:tcPr>
          <w:p>
            <w:pPr>
              <w:ind w:left="180"/>
              <w:spacing w:after="0"/>
              <w:rPr>
                <w:sz w:val="20"/>
                <w:szCs w:val="20"/>
                <w:color w:val="auto"/>
              </w:rPr>
            </w:pPr>
            <w:r>
              <w:rPr>
                <w:rFonts w:ascii="Times New Roman" w:cs="Times New Roman" w:eastAsia="Times New Roman" w:hAnsi="Times New Roman"/>
                <w:sz w:val="19"/>
                <w:szCs w:val="19"/>
                <w:color w:val="auto"/>
              </w:rPr>
              <w:t>Total current liabilities</w:t>
            </w:r>
          </w:p>
        </w:tc>
        <w:tc>
          <w:tcPr>
            <w:tcW w:w="20" w:type="dxa"/>
            <w:vAlign w:val="bottom"/>
            <w:shd w:val="clear" w:color="auto" w:fill="D5EEEE"/>
          </w:tcPr>
          <w:p>
            <w:pPr>
              <w:spacing w:after="0"/>
              <w:rPr>
                <w:sz w:val="19"/>
                <w:szCs w:val="19"/>
                <w:color w:val="auto"/>
              </w:rPr>
            </w:pPr>
          </w:p>
        </w:tc>
        <w:tc>
          <w:tcPr>
            <w:tcW w:w="120" w:type="dxa"/>
            <w:vAlign w:val="bottom"/>
            <w:shd w:val="clear" w:color="auto" w:fill="D5EEEE"/>
          </w:tcPr>
          <w:p>
            <w:pPr>
              <w:spacing w:after="0"/>
              <w:rPr>
                <w:sz w:val="19"/>
                <w:szCs w:val="19"/>
                <w:color w:val="auto"/>
              </w:rPr>
            </w:pPr>
          </w:p>
        </w:tc>
        <w:tc>
          <w:tcPr>
            <w:tcW w:w="1160" w:type="dxa"/>
            <w:vAlign w:val="bottom"/>
            <w:shd w:val="clear" w:color="auto" w:fill="D5EEEE"/>
          </w:tcPr>
          <w:p>
            <w:pPr>
              <w:jc w:val="right"/>
              <w:ind w:right="27"/>
              <w:spacing w:after="0"/>
              <w:rPr>
                <w:sz w:val="20"/>
                <w:szCs w:val="20"/>
                <w:color w:val="auto"/>
              </w:rPr>
            </w:pPr>
            <w:r>
              <w:rPr>
                <w:rFonts w:ascii="Times New Roman" w:cs="Times New Roman" w:eastAsia="Times New Roman" w:hAnsi="Times New Roman"/>
                <w:sz w:val="19"/>
                <w:szCs w:val="19"/>
                <w:color w:val="auto"/>
              </w:rPr>
              <w:t>56,273</w:t>
            </w:r>
          </w:p>
        </w:tc>
        <w:tc>
          <w:tcPr>
            <w:tcW w:w="160" w:type="dxa"/>
            <w:vAlign w:val="bottom"/>
            <w:shd w:val="clear" w:color="auto" w:fill="D5EEEE"/>
          </w:tcPr>
          <w:p>
            <w:pPr>
              <w:spacing w:after="0"/>
              <w:rPr>
                <w:sz w:val="19"/>
                <w:szCs w:val="19"/>
                <w:color w:val="auto"/>
              </w:rPr>
            </w:pPr>
          </w:p>
        </w:tc>
        <w:tc>
          <w:tcPr>
            <w:tcW w:w="120" w:type="dxa"/>
            <w:vAlign w:val="bottom"/>
            <w:shd w:val="clear" w:color="auto" w:fill="D5EEEE"/>
          </w:tcPr>
          <w:p>
            <w:pPr>
              <w:spacing w:after="0"/>
              <w:rPr>
                <w:sz w:val="19"/>
                <w:szCs w:val="19"/>
                <w:color w:val="auto"/>
              </w:rPr>
            </w:pPr>
          </w:p>
        </w:tc>
        <w:tc>
          <w:tcPr>
            <w:tcW w:w="1160" w:type="dxa"/>
            <w:vAlign w:val="bottom"/>
            <w:shd w:val="clear" w:color="auto" w:fill="D5EEEE"/>
          </w:tcPr>
          <w:p>
            <w:pPr>
              <w:jc w:val="right"/>
              <w:ind w:right="7"/>
              <w:spacing w:after="0"/>
              <w:rPr>
                <w:sz w:val="20"/>
                <w:szCs w:val="20"/>
                <w:color w:val="auto"/>
              </w:rPr>
            </w:pPr>
            <w:r>
              <w:rPr>
                <w:rFonts w:ascii="Times New Roman" w:cs="Times New Roman" w:eastAsia="Times New Roman" w:hAnsi="Times New Roman"/>
                <w:sz w:val="19"/>
                <w:szCs w:val="19"/>
                <w:color w:val="auto"/>
              </w:rPr>
              <w:t>27,261</w:t>
            </w:r>
          </w:p>
        </w:tc>
      </w:tr>
      <w:tr>
        <w:trPr>
          <w:trHeight w:val="230"/>
        </w:trPr>
        <w:tc>
          <w:tcPr>
            <w:tcW w:w="7460" w:type="dxa"/>
            <w:vAlign w:val="bottom"/>
          </w:tcPr>
          <w:p>
            <w:pPr>
              <w:spacing w:after="0"/>
              <w:rPr>
                <w:sz w:val="20"/>
                <w:szCs w:val="20"/>
                <w:color w:val="auto"/>
              </w:rPr>
            </w:pPr>
            <w:r>
              <w:rPr>
                <w:rFonts w:ascii="Times New Roman" w:cs="Times New Roman" w:eastAsia="Times New Roman" w:hAnsi="Times New Roman"/>
                <w:sz w:val="19"/>
                <w:szCs w:val="19"/>
                <w:color w:val="auto"/>
              </w:rPr>
              <w:t>Deferred revenue, net of current portion</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27"/>
              <w:spacing w:after="0"/>
              <w:rPr>
                <w:sz w:val="20"/>
                <w:szCs w:val="20"/>
                <w:color w:val="auto"/>
              </w:rPr>
            </w:pPr>
            <w:r>
              <w:rPr>
                <w:rFonts w:ascii="Times New Roman" w:cs="Times New Roman" w:eastAsia="Times New Roman" w:hAnsi="Times New Roman"/>
                <w:sz w:val="19"/>
                <w:szCs w:val="19"/>
                <w:color w:val="auto"/>
              </w:rPr>
              <w:t>20,635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7"/>
              <w:spacing w:after="0"/>
              <w:rPr>
                <w:sz w:val="20"/>
                <w:szCs w:val="20"/>
                <w:color w:val="auto"/>
              </w:rPr>
            </w:pPr>
            <w:r>
              <w:rPr>
                <w:rFonts w:ascii="Times New Roman" w:cs="Times New Roman" w:eastAsia="Times New Roman" w:hAnsi="Times New Roman"/>
                <w:sz w:val="19"/>
                <w:szCs w:val="19"/>
                <w:color w:val="auto"/>
              </w:rPr>
              <w:t>19,262</w:t>
            </w:r>
          </w:p>
        </w:tc>
      </w:tr>
      <w:tr>
        <w:trPr>
          <w:trHeight w:val="231"/>
        </w:trPr>
        <w:tc>
          <w:tcPr>
            <w:tcW w:w="7460" w:type="dxa"/>
            <w:vAlign w:val="bottom"/>
            <w:shd w:val="clear" w:color="auto" w:fill="D5EEEE"/>
          </w:tcPr>
          <w:p>
            <w:pPr>
              <w:spacing w:after="0"/>
              <w:rPr>
                <w:sz w:val="20"/>
                <w:szCs w:val="20"/>
                <w:color w:val="auto"/>
              </w:rPr>
            </w:pPr>
            <w:r>
              <w:rPr>
                <w:rFonts w:ascii="Times New Roman" w:cs="Times New Roman" w:eastAsia="Times New Roman" w:hAnsi="Times New Roman"/>
                <w:sz w:val="19"/>
                <w:szCs w:val="19"/>
                <w:color w:val="auto"/>
              </w:rPr>
              <w:t>Operating lease liability, net of current portion</w:t>
            </w:r>
          </w:p>
        </w:tc>
        <w:tc>
          <w:tcPr>
            <w:tcW w:w="20" w:type="dxa"/>
            <w:vAlign w:val="bottom"/>
            <w:shd w:val="clear" w:color="auto" w:fill="D5EEEE"/>
          </w:tcPr>
          <w:p>
            <w:pPr>
              <w:spacing w:after="0"/>
              <w:rPr>
                <w:sz w:val="20"/>
                <w:szCs w:val="20"/>
                <w:color w:val="auto"/>
              </w:rPr>
            </w:pPr>
          </w:p>
        </w:tc>
        <w:tc>
          <w:tcPr>
            <w:tcW w:w="120" w:type="dxa"/>
            <w:vAlign w:val="bottom"/>
            <w:shd w:val="clear" w:color="auto" w:fill="D5EEEE"/>
          </w:tcPr>
          <w:p>
            <w:pPr>
              <w:spacing w:after="0"/>
              <w:rPr>
                <w:sz w:val="20"/>
                <w:szCs w:val="20"/>
                <w:color w:val="auto"/>
              </w:rPr>
            </w:pPr>
          </w:p>
        </w:tc>
        <w:tc>
          <w:tcPr>
            <w:tcW w:w="1160" w:type="dxa"/>
            <w:vAlign w:val="bottom"/>
            <w:shd w:val="clear" w:color="auto" w:fill="D5EEEE"/>
          </w:tcPr>
          <w:p>
            <w:pPr>
              <w:jc w:val="right"/>
              <w:ind w:right="27"/>
              <w:spacing w:after="0"/>
              <w:rPr>
                <w:sz w:val="20"/>
                <w:szCs w:val="20"/>
                <w:color w:val="auto"/>
              </w:rPr>
            </w:pPr>
            <w:r>
              <w:rPr>
                <w:rFonts w:ascii="Times New Roman" w:cs="Times New Roman" w:eastAsia="Times New Roman" w:hAnsi="Times New Roman"/>
                <w:sz w:val="19"/>
                <w:szCs w:val="19"/>
                <w:color w:val="auto"/>
              </w:rPr>
              <w:t>5,611</w:t>
            </w:r>
          </w:p>
        </w:tc>
        <w:tc>
          <w:tcPr>
            <w:tcW w:w="160" w:type="dxa"/>
            <w:vAlign w:val="bottom"/>
            <w:shd w:val="clear" w:color="auto" w:fill="D5EEEE"/>
          </w:tcPr>
          <w:p>
            <w:pPr>
              <w:spacing w:after="0"/>
              <w:rPr>
                <w:sz w:val="20"/>
                <w:szCs w:val="20"/>
                <w:color w:val="auto"/>
              </w:rPr>
            </w:pPr>
          </w:p>
        </w:tc>
        <w:tc>
          <w:tcPr>
            <w:tcW w:w="120" w:type="dxa"/>
            <w:vAlign w:val="bottom"/>
            <w:shd w:val="clear" w:color="auto" w:fill="D5EEEE"/>
          </w:tcPr>
          <w:p>
            <w:pPr>
              <w:spacing w:after="0"/>
              <w:rPr>
                <w:sz w:val="20"/>
                <w:szCs w:val="20"/>
                <w:color w:val="auto"/>
              </w:rPr>
            </w:pPr>
          </w:p>
        </w:tc>
        <w:tc>
          <w:tcPr>
            <w:tcW w:w="1160" w:type="dxa"/>
            <w:vAlign w:val="bottom"/>
            <w:shd w:val="clear" w:color="auto" w:fill="D5EEEE"/>
          </w:tcPr>
          <w:p>
            <w:pPr>
              <w:jc w:val="right"/>
              <w:ind w:right="7"/>
              <w:spacing w:after="0"/>
              <w:rPr>
                <w:sz w:val="20"/>
                <w:szCs w:val="20"/>
                <w:color w:val="auto"/>
              </w:rPr>
            </w:pPr>
            <w:r>
              <w:rPr>
                <w:rFonts w:ascii="Times New Roman" w:cs="Times New Roman" w:eastAsia="Times New Roman" w:hAnsi="Times New Roman"/>
                <w:sz w:val="19"/>
                <w:szCs w:val="19"/>
                <w:color w:val="auto"/>
              </w:rPr>
              <w:t>6,954</w:t>
            </w:r>
          </w:p>
        </w:tc>
      </w:tr>
      <w:tr>
        <w:trPr>
          <w:trHeight w:val="230"/>
        </w:trPr>
        <w:tc>
          <w:tcPr>
            <w:tcW w:w="7460" w:type="dxa"/>
            <w:vAlign w:val="bottom"/>
          </w:tcPr>
          <w:p>
            <w:pPr>
              <w:spacing w:after="0"/>
              <w:rPr>
                <w:sz w:val="20"/>
                <w:szCs w:val="20"/>
                <w:color w:val="auto"/>
              </w:rPr>
            </w:pPr>
            <w:r>
              <w:rPr>
                <w:rFonts w:ascii="Times New Roman" w:cs="Times New Roman" w:eastAsia="Times New Roman" w:hAnsi="Times New Roman"/>
                <w:sz w:val="19"/>
                <w:szCs w:val="19"/>
                <w:color w:val="auto"/>
              </w:rPr>
              <w:t>Common stock warrant liabilities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27"/>
              <w:spacing w:after="0"/>
              <w:rPr>
                <w:sz w:val="20"/>
                <w:szCs w:val="20"/>
                <w:color w:val="auto"/>
              </w:rPr>
            </w:pPr>
            <w:r>
              <w:rPr>
                <w:rFonts w:ascii="Times New Roman" w:cs="Times New Roman" w:eastAsia="Times New Roman" w:hAnsi="Times New Roman"/>
                <w:sz w:val="19"/>
                <w:szCs w:val="19"/>
                <w:color w:val="auto"/>
              </w:rPr>
              <w:t>29,560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7"/>
              <w:spacing w:after="0"/>
              <w:rPr>
                <w:sz w:val="20"/>
                <w:szCs w:val="20"/>
                <w:color w:val="auto"/>
              </w:rPr>
            </w:pPr>
            <w:r>
              <w:rPr>
                <w:rFonts w:ascii="Times New Roman" w:cs="Times New Roman" w:eastAsia="Times New Roman" w:hAnsi="Times New Roman"/>
                <w:sz w:val="19"/>
                <w:szCs w:val="19"/>
                <w:color w:val="auto"/>
              </w:rPr>
              <w:t>—</w:t>
            </w:r>
          </w:p>
        </w:tc>
      </w:tr>
      <w:tr>
        <w:trPr>
          <w:trHeight w:val="230"/>
        </w:trPr>
        <w:tc>
          <w:tcPr>
            <w:tcW w:w="7460" w:type="dxa"/>
            <w:vAlign w:val="bottom"/>
            <w:tcBorders>
              <w:bottom w:val="single" w:sz="8" w:color="D5EEEE"/>
            </w:tcBorders>
            <w:shd w:val="clear" w:color="auto" w:fill="D5EEEE"/>
          </w:tcPr>
          <w:p>
            <w:pPr>
              <w:spacing w:after="0"/>
              <w:rPr>
                <w:sz w:val="20"/>
                <w:szCs w:val="20"/>
                <w:color w:val="auto"/>
              </w:rPr>
            </w:pPr>
            <w:r>
              <w:rPr>
                <w:rFonts w:ascii="Times New Roman" w:cs="Times New Roman" w:eastAsia="Times New Roman" w:hAnsi="Times New Roman"/>
                <w:sz w:val="19"/>
                <w:szCs w:val="19"/>
                <w:color w:val="auto"/>
              </w:rPr>
              <w:t>Liabilities to issue common stock</w:t>
            </w:r>
          </w:p>
        </w:tc>
        <w:tc>
          <w:tcPr>
            <w:tcW w:w="20" w:type="dxa"/>
            <w:vAlign w:val="bottom"/>
            <w:tcBorders>
              <w:bottom w:val="single" w:sz="8" w:color="D5EEEE"/>
            </w:tcBorders>
            <w:shd w:val="clear" w:color="auto" w:fill="D5EEEE"/>
          </w:tcPr>
          <w:p>
            <w:pPr>
              <w:spacing w:after="0"/>
              <w:rPr>
                <w:sz w:val="20"/>
                <w:szCs w:val="20"/>
                <w:color w:val="auto"/>
              </w:rPr>
            </w:pPr>
          </w:p>
        </w:tc>
        <w:tc>
          <w:tcPr>
            <w:tcW w:w="120" w:type="dxa"/>
            <w:vAlign w:val="bottom"/>
            <w:tcBorders>
              <w:bottom w:val="single" w:sz="8" w:color="auto"/>
            </w:tcBorders>
            <w:shd w:val="clear" w:color="auto" w:fill="D5EEEE"/>
          </w:tcPr>
          <w:p>
            <w:pPr>
              <w:spacing w:after="0"/>
              <w:rPr>
                <w:sz w:val="20"/>
                <w:szCs w:val="20"/>
                <w:color w:val="auto"/>
              </w:rPr>
            </w:pPr>
          </w:p>
        </w:tc>
        <w:tc>
          <w:tcPr>
            <w:tcW w:w="1160" w:type="dxa"/>
            <w:vAlign w:val="bottom"/>
            <w:tcBorders>
              <w:bottom w:val="single" w:sz="8" w:color="auto"/>
            </w:tcBorders>
            <w:shd w:val="clear" w:color="auto" w:fill="D5EEEE"/>
          </w:tcPr>
          <w:p>
            <w:pPr>
              <w:jc w:val="right"/>
              <w:ind w:right="27"/>
              <w:spacing w:after="0"/>
              <w:rPr>
                <w:sz w:val="20"/>
                <w:szCs w:val="20"/>
                <w:color w:val="auto"/>
              </w:rPr>
            </w:pPr>
            <w:r>
              <w:rPr>
                <w:rFonts w:ascii="Times New Roman" w:cs="Times New Roman" w:eastAsia="Times New Roman" w:hAnsi="Times New Roman"/>
                <w:sz w:val="19"/>
                <w:szCs w:val="19"/>
                <w:color w:val="auto"/>
              </w:rPr>
              <w:t>7,333</w:t>
            </w:r>
          </w:p>
        </w:tc>
        <w:tc>
          <w:tcPr>
            <w:tcW w:w="160" w:type="dxa"/>
            <w:vAlign w:val="bottom"/>
            <w:tcBorders>
              <w:bottom w:val="single" w:sz="8" w:color="D5EEEE"/>
            </w:tcBorders>
            <w:shd w:val="clear" w:color="auto" w:fill="D5EEEE"/>
          </w:tcPr>
          <w:p>
            <w:pPr>
              <w:spacing w:after="0"/>
              <w:rPr>
                <w:sz w:val="20"/>
                <w:szCs w:val="20"/>
                <w:color w:val="auto"/>
              </w:rPr>
            </w:pPr>
          </w:p>
        </w:tc>
        <w:tc>
          <w:tcPr>
            <w:tcW w:w="120" w:type="dxa"/>
            <w:vAlign w:val="bottom"/>
            <w:tcBorders>
              <w:bottom w:val="single" w:sz="8" w:color="auto"/>
            </w:tcBorders>
            <w:shd w:val="clear" w:color="auto" w:fill="D5EEEE"/>
          </w:tcPr>
          <w:p>
            <w:pPr>
              <w:spacing w:after="0"/>
              <w:rPr>
                <w:sz w:val="20"/>
                <w:szCs w:val="20"/>
                <w:color w:val="auto"/>
              </w:rPr>
            </w:pPr>
          </w:p>
        </w:tc>
        <w:tc>
          <w:tcPr>
            <w:tcW w:w="1160" w:type="dxa"/>
            <w:vAlign w:val="bottom"/>
            <w:tcBorders>
              <w:bottom w:val="single" w:sz="8" w:color="auto"/>
            </w:tcBorders>
            <w:shd w:val="clear" w:color="auto" w:fill="D5EEEE"/>
          </w:tcPr>
          <w:p>
            <w:pPr>
              <w:jc w:val="right"/>
              <w:ind w:right="7"/>
              <w:spacing w:after="0"/>
              <w:rPr>
                <w:sz w:val="20"/>
                <w:szCs w:val="20"/>
                <w:color w:val="auto"/>
              </w:rPr>
            </w:pPr>
            <w:r>
              <w:rPr>
                <w:rFonts w:ascii="Times New Roman" w:cs="Times New Roman" w:eastAsia="Times New Roman" w:hAnsi="Times New Roman"/>
                <w:sz w:val="19"/>
                <w:szCs w:val="19"/>
                <w:color w:val="auto"/>
              </w:rPr>
              <w:t>—</w:t>
            </w:r>
          </w:p>
        </w:tc>
      </w:tr>
      <w:tr>
        <w:trPr>
          <w:trHeight w:val="225"/>
        </w:trPr>
        <w:tc>
          <w:tcPr>
            <w:tcW w:w="746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Total liabilities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27"/>
              <w:spacing w:after="0"/>
              <w:rPr>
                <w:sz w:val="20"/>
                <w:szCs w:val="20"/>
                <w:color w:val="auto"/>
              </w:rPr>
            </w:pPr>
            <w:r>
              <w:rPr>
                <w:rFonts w:ascii="Times New Roman" w:cs="Times New Roman" w:eastAsia="Times New Roman" w:hAnsi="Times New Roman"/>
                <w:sz w:val="19"/>
                <w:szCs w:val="19"/>
                <w:color w:val="auto"/>
              </w:rPr>
              <w:t>119,412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7"/>
              <w:spacing w:after="0"/>
              <w:rPr>
                <w:sz w:val="20"/>
                <w:szCs w:val="20"/>
                <w:color w:val="auto"/>
              </w:rPr>
            </w:pPr>
            <w:r>
              <w:rPr>
                <w:rFonts w:ascii="Times New Roman" w:cs="Times New Roman" w:eastAsia="Times New Roman" w:hAnsi="Times New Roman"/>
                <w:sz w:val="19"/>
                <w:szCs w:val="19"/>
                <w:color w:val="auto"/>
              </w:rPr>
              <w:t>53,477</w:t>
            </w:r>
          </w:p>
        </w:tc>
      </w:tr>
      <w:tr>
        <w:trPr>
          <w:trHeight w:val="231"/>
        </w:trPr>
        <w:tc>
          <w:tcPr>
            <w:tcW w:w="7460" w:type="dxa"/>
            <w:vAlign w:val="bottom"/>
            <w:shd w:val="clear" w:color="auto" w:fill="D5EEEE"/>
          </w:tcPr>
          <w:p>
            <w:pPr>
              <w:spacing w:after="0"/>
              <w:rPr>
                <w:sz w:val="20"/>
                <w:szCs w:val="20"/>
                <w:color w:val="auto"/>
              </w:rPr>
            </w:pPr>
            <w:r>
              <w:rPr>
                <w:rFonts w:ascii="Times New Roman" w:cs="Times New Roman" w:eastAsia="Times New Roman" w:hAnsi="Times New Roman"/>
                <w:sz w:val="19"/>
                <w:szCs w:val="19"/>
                <w:color w:val="auto"/>
              </w:rPr>
              <w:t>Commitments and contingencies (Note 8)</w:t>
            </w:r>
          </w:p>
        </w:tc>
        <w:tc>
          <w:tcPr>
            <w:tcW w:w="20" w:type="dxa"/>
            <w:vAlign w:val="bottom"/>
            <w:shd w:val="clear" w:color="auto" w:fill="D5EEEE"/>
          </w:tcPr>
          <w:p>
            <w:pPr>
              <w:spacing w:after="0"/>
              <w:rPr>
                <w:sz w:val="20"/>
                <w:szCs w:val="20"/>
                <w:color w:val="auto"/>
              </w:rPr>
            </w:pPr>
          </w:p>
        </w:tc>
        <w:tc>
          <w:tcPr>
            <w:tcW w:w="120" w:type="dxa"/>
            <w:vAlign w:val="bottom"/>
            <w:shd w:val="clear" w:color="auto" w:fill="D5EEEE"/>
          </w:tcPr>
          <w:p>
            <w:pPr>
              <w:spacing w:after="0"/>
              <w:rPr>
                <w:sz w:val="20"/>
                <w:szCs w:val="20"/>
                <w:color w:val="auto"/>
              </w:rPr>
            </w:pPr>
          </w:p>
        </w:tc>
        <w:tc>
          <w:tcPr>
            <w:tcW w:w="1160" w:type="dxa"/>
            <w:vAlign w:val="bottom"/>
            <w:shd w:val="clear" w:color="auto" w:fill="D5EEEE"/>
          </w:tcPr>
          <w:p>
            <w:pPr>
              <w:spacing w:after="0"/>
              <w:rPr>
                <w:sz w:val="20"/>
                <w:szCs w:val="20"/>
                <w:color w:val="auto"/>
              </w:rPr>
            </w:pPr>
          </w:p>
        </w:tc>
        <w:tc>
          <w:tcPr>
            <w:tcW w:w="160" w:type="dxa"/>
            <w:vAlign w:val="bottom"/>
            <w:shd w:val="clear" w:color="auto" w:fill="D5EEEE"/>
          </w:tcPr>
          <w:p>
            <w:pPr>
              <w:spacing w:after="0"/>
              <w:rPr>
                <w:sz w:val="20"/>
                <w:szCs w:val="20"/>
                <w:color w:val="auto"/>
              </w:rPr>
            </w:pPr>
          </w:p>
        </w:tc>
        <w:tc>
          <w:tcPr>
            <w:tcW w:w="120" w:type="dxa"/>
            <w:vAlign w:val="bottom"/>
            <w:shd w:val="clear" w:color="auto" w:fill="D5EEEE"/>
          </w:tcPr>
          <w:p>
            <w:pPr>
              <w:spacing w:after="0"/>
              <w:rPr>
                <w:sz w:val="20"/>
                <w:szCs w:val="20"/>
                <w:color w:val="auto"/>
              </w:rPr>
            </w:pPr>
          </w:p>
        </w:tc>
        <w:tc>
          <w:tcPr>
            <w:tcW w:w="1160" w:type="dxa"/>
            <w:vAlign w:val="bottom"/>
            <w:shd w:val="clear" w:color="auto" w:fill="D5EEEE"/>
          </w:tcPr>
          <w:p>
            <w:pPr>
              <w:spacing w:after="0"/>
              <w:rPr>
                <w:sz w:val="20"/>
                <w:szCs w:val="20"/>
                <w:color w:val="auto"/>
              </w:rPr>
            </w:pPr>
          </w:p>
        </w:tc>
      </w:tr>
      <w:tr>
        <w:trPr>
          <w:trHeight w:val="230"/>
        </w:trPr>
        <w:tc>
          <w:tcPr>
            <w:tcW w:w="7460" w:type="dxa"/>
            <w:vAlign w:val="bottom"/>
          </w:tcPr>
          <w:p>
            <w:pPr>
              <w:spacing w:after="0"/>
              <w:rPr>
                <w:sz w:val="20"/>
                <w:szCs w:val="20"/>
                <w:color w:val="auto"/>
              </w:rPr>
            </w:pPr>
            <w:r>
              <w:rPr>
                <w:rFonts w:ascii="Times New Roman" w:cs="Times New Roman" w:eastAsia="Times New Roman" w:hAnsi="Times New Roman"/>
                <w:sz w:val="19"/>
                <w:szCs w:val="19"/>
                <w:color w:val="auto"/>
              </w:rPr>
              <w:t>Stockholders’ equity</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1"/>
        </w:trPr>
        <w:tc>
          <w:tcPr>
            <w:tcW w:w="7460" w:type="dxa"/>
            <w:vAlign w:val="bottom"/>
            <w:shd w:val="clear" w:color="auto" w:fill="D5EEEE"/>
          </w:tcPr>
          <w:p>
            <w:pPr>
              <w:spacing w:after="0"/>
              <w:rPr>
                <w:sz w:val="20"/>
                <w:szCs w:val="20"/>
                <w:color w:val="auto"/>
              </w:rPr>
            </w:pPr>
            <w:r>
              <w:rPr>
                <w:rFonts w:ascii="Times New Roman" w:cs="Times New Roman" w:eastAsia="Times New Roman" w:hAnsi="Times New Roman"/>
                <w:sz w:val="19"/>
                <w:szCs w:val="19"/>
                <w:color w:val="auto"/>
              </w:rPr>
              <w:t>Preferred stock, $0.0001 par value; 5,000,000 shares authorized, no shares issued or outstanding</w:t>
            </w:r>
          </w:p>
        </w:tc>
        <w:tc>
          <w:tcPr>
            <w:tcW w:w="20" w:type="dxa"/>
            <w:vAlign w:val="bottom"/>
            <w:shd w:val="clear" w:color="auto" w:fill="D5EEEE"/>
          </w:tcPr>
          <w:p>
            <w:pPr>
              <w:spacing w:after="0"/>
              <w:rPr>
                <w:sz w:val="20"/>
                <w:szCs w:val="20"/>
                <w:color w:val="auto"/>
              </w:rPr>
            </w:pPr>
          </w:p>
        </w:tc>
        <w:tc>
          <w:tcPr>
            <w:tcW w:w="120" w:type="dxa"/>
            <w:vAlign w:val="bottom"/>
            <w:shd w:val="clear" w:color="auto" w:fill="D5EEEE"/>
          </w:tcPr>
          <w:p>
            <w:pPr>
              <w:spacing w:after="0"/>
              <w:rPr>
                <w:sz w:val="20"/>
                <w:szCs w:val="20"/>
                <w:color w:val="auto"/>
              </w:rPr>
            </w:pPr>
          </w:p>
        </w:tc>
        <w:tc>
          <w:tcPr>
            <w:tcW w:w="1160" w:type="dxa"/>
            <w:vAlign w:val="bottom"/>
            <w:shd w:val="clear" w:color="auto" w:fill="D5EEEE"/>
          </w:tcPr>
          <w:p>
            <w:pPr>
              <w:jc w:val="right"/>
              <w:ind w:right="27"/>
              <w:spacing w:after="0"/>
              <w:rPr>
                <w:sz w:val="20"/>
                <w:szCs w:val="20"/>
                <w:color w:val="auto"/>
              </w:rPr>
            </w:pPr>
            <w:r>
              <w:rPr>
                <w:rFonts w:ascii="Times New Roman" w:cs="Times New Roman" w:eastAsia="Times New Roman" w:hAnsi="Times New Roman"/>
                <w:sz w:val="19"/>
                <w:szCs w:val="19"/>
                <w:color w:val="auto"/>
              </w:rPr>
              <w:t>—</w:t>
            </w:r>
          </w:p>
        </w:tc>
        <w:tc>
          <w:tcPr>
            <w:tcW w:w="160" w:type="dxa"/>
            <w:vAlign w:val="bottom"/>
            <w:shd w:val="clear" w:color="auto" w:fill="D5EEEE"/>
          </w:tcPr>
          <w:p>
            <w:pPr>
              <w:spacing w:after="0"/>
              <w:rPr>
                <w:sz w:val="20"/>
                <w:szCs w:val="20"/>
                <w:color w:val="auto"/>
              </w:rPr>
            </w:pPr>
          </w:p>
        </w:tc>
        <w:tc>
          <w:tcPr>
            <w:tcW w:w="120" w:type="dxa"/>
            <w:vAlign w:val="bottom"/>
            <w:shd w:val="clear" w:color="auto" w:fill="D5EEEE"/>
          </w:tcPr>
          <w:p>
            <w:pPr>
              <w:spacing w:after="0"/>
              <w:rPr>
                <w:sz w:val="20"/>
                <w:szCs w:val="20"/>
                <w:color w:val="auto"/>
              </w:rPr>
            </w:pPr>
          </w:p>
        </w:tc>
        <w:tc>
          <w:tcPr>
            <w:tcW w:w="1160" w:type="dxa"/>
            <w:vAlign w:val="bottom"/>
            <w:shd w:val="clear" w:color="auto" w:fill="D5EEEE"/>
          </w:tcPr>
          <w:p>
            <w:pPr>
              <w:jc w:val="right"/>
              <w:ind w:right="7"/>
              <w:spacing w:after="0"/>
              <w:rPr>
                <w:sz w:val="20"/>
                <w:szCs w:val="20"/>
                <w:color w:val="auto"/>
              </w:rPr>
            </w:pPr>
            <w:r>
              <w:rPr>
                <w:rFonts w:ascii="Times New Roman" w:cs="Times New Roman" w:eastAsia="Times New Roman" w:hAnsi="Times New Roman"/>
                <w:sz w:val="19"/>
                <w:szCs w:val="19"/>
                <w:color w:val="auto"/>
              </w:rPr>
              <w:t>—</w:t>
            </w:r>
          </w:p>
        </w:tc>
      </w:tr>
      <w:tr>
        <w:trPr>
          <w:trHeight w:val="230"/>
        </w:trPr>
        <w:tc>
          <w:tcPr>
            <w:tcW w:w="7460" w:type="dxa"/>
            <w:vAlign w:val="bottom"/>
          </w:tcPr>
          <w:p>
            <w:pPr>
              <w:spacing w:after="0"/>
              <w:rPr>
                <w:sz w:val="20"/>
                <w:szCs w:val="20"/>
                <w:color w:val="auto"/>
              </w:rPr>
            </w:pPr>
            <w:r>
              <w:rPr>
                <w:rFonts w:ascii="Times New Roman" w:cs="Times New Roman" w:eastAsia="Times New Roman" w:hAnsi="Times New Roman"/>
                <w:sz w:val="19"/>
                <w:szCs w:val="19"/>
                <w:color w:val="auto"/>
              </w:rPr>
              <w:t>Common stock, $0.0001 par value; 600,000,000 shares authorized at December 31, 2025 and</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17"/>
        </w:trPr>
        <w:tc>
          <w:tcPr>
            <w:tcW w:w="7460" w:type="dxa"/>
            <w:vAlign w:val="bottom"/>
          </w:tcPr>
          <w:p>
            <w:pPr>
              <w:spacing w:after="0" w:line="217" w:lineRule="exact"/>
              <w:rPr>
                <w:sz w:val="20"/>
                <w:szCs w:val="20"/>
                <w:color w:val="auto"/>
              </w:rPr>
            </w:pPr>
            <w:r>
              <w:rPr>
                <w:rFonts w:ascii="Times New Roman" w:cs="Times New Roman" w:eastAsia="Times New Roman" w:hAnsi="Times New Roman"/>
                <w:sz w:val="19"/>
                <w:szCs w:val="19"/>
                <w:color w:val="auto"/>
              </w:rPr>
              <w:t>200,000,000 shares authorized at December 31, 2024; 4,530,641 shares issued and outstanding</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8"/>
        </w:trPr>
        <w:tc>
          <w:tcPr>
            <w:tcW w:w="7460" w:type="dxa"/>
            <w:vAlign w:val="bottom"/>
          </w:tcPr>
          <w:p>
            <w:pPr>
              <w:spacing w:after="0" w:line="217" w:lineRule="exact"/>
              <w:rPr>
                <w:sz w:val="20"/>
                <w:szCs w:val="20"/>
                <w:color w:val="auto"/>
              </w:rPr>
            </w:pPr>
            <w:r>
              <w:rPr>
                <w:rFonts w:ascii="Times New Roman" w:cs="Times New Roman" w:eastAsia="Times New Roman" w:hAnsi="Times New Roman"/>
                <w:sz w:val="19"/>
                <w:szCs w:val="19"/>
                <w:color w:val="auto"/>
              </w:rPr>
              <w:t>at December 31, 2025; 3,268,299 shares issued and outstanding at December 31, 2024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27"/>
              <w:spacing w:after="0" w:line="217" w:lineRule="exact"/>
              <w:rPr>
                <w:sz w:val="20"/>
                <w:szCs w:val="20"/>
                <w:color w:val="auto"/>
              </w:rPr>
            </w:pPr>
            <w:r>
              <w:rPr>
                <w:rFonts w:ascii="Times New Roman" w:cs="Times New Roman" w:eastAsia="Times New Roman" w:hAnsi="Times New Roman"/>
                <w:sz w:val="19"/>
                <w:szCs w:val="19"/>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7"/>
              <w:spacing w:after="0" w:line="217" w:lineRule="exact"/>
              <w:rPr>
                <w:sz w:val="20"/>
                <w:szCs w:val="20"/>
                <w:color w:val="auto"/>
              </w:rPr>
            </w:pPr>
            <w:r>
              <w:rPr>
                <w:rFonts w:ascii="Times New Roman" w:cs="Times New Roman" w:eastAsia="Times New Roman" w:hAnsi="Times New Roman"/>
                <w:sz w:val="19"/>
                <w:szCs w:val="19"/>
                <w:color w:val="auto"/>
              </w:rPr>
              <w:t>—</w:t>
            </w:r>
          </w:p>
        </w:tc>
      </w:tr>
      <w:tr>
        <w:trPr>
          <w:trHeight w:val="231"/>
        </w:trPr>
        <w:tc>
          <w:tcPr>
            <w:tcW w:w="7460" w:type="dxa"/>
            <w:vAlign w:val="bottom"/>
            <w:shd w:val="clear" w:color="auto" w:fill="D5EEEE"/>
          </w:tcPr>
          <w:p>
            <w:pPr>
              <w:spacing w:after="0"/>
              <w:rPr>
                <w:sz w:val="20"/>
                <w:szCs w:val="20"/>
                <w:color w:val="auto"/>
              </w:rPr>
            </w:pPr>
            <w:r>
              <w:rPr>
                <w:rFonts w:ascii="Times New Roman" w:cs="Times New Roman" w:eastAsia="Times New Roman" w:hAnsi="Times New Roman"/>
                <w:sz w:val="19"/>
                <w:szCs w:val="19"/>
                <w:color w:val="auto"/>
              </w:rPr>
              <w:t>Additional paid-in capital</w:t>
            </w:r>
          </w:p>
        </w:tc>
        <w:tc>
          <w:tcPr>
            <w:tcW w:w="20" w:type="dxa"/>
            <w:vAlign w:val="bottom"/>
            <w:shd w:val="clear" w:color="auto" w:fill="D5EEEE"/>
          </w:tcPr>
          <w:p>
            <w:pPr>
              <w:spacing w:after="0"/>
              <w:rPr>
                <w:sz w:val="20"/>
                <w:szCs w:val="20"/>
                <w:color w:val="auto"/>
              </w:rPr>
            </w:pPr>
          </w:p>
        </w:tc>
        <w:tc>
          <w:tcPr>
            <w:tcW w:w="120" w:type="dxa"/>
            <w:vAlign w:val="bottom"/>
            <w:shd w:val="clear" w:color="auto" w:fill="D5EEEE"/>
          </w:tcPr>
          <w:p>
            <w:pPr>
              <w:spacing w:after="0"/>
              <w:rPr>
                <w:sz w:val="20"/>
                <w:szCs w:val="20"/>
                <w:color w:val="auto"/>
              </w:rPr>
            </w:pPr>
          </w:p>
        </w:tc>
        <w:tc>
          <w:tcPr>
            <w:tcW w:w="1160" w:type="dxa"/>
            <w:vAlign w:val="bottom"/>
            <w:shd w:val="clear" w:color="auto" w:fill="D5EEEE"/>
          </w:tcPr>
          <w:p>
            <w:pPr>
              <w:jc w:val="right"/>
              <w:ind w:right="27"/>
              <w:spacing w:after="0"/>
              <w:rPr>
                <w:sz w:val="20"/>
                <w:szCs w:val="20"/>
                <w:color w:val="auto"/>
              </w:rPr>
            </w:pPr>
            <w:r>
              <w:rPr>
                <w:rFonts w:ascii="Times New Roman" w:cs="Times New Roman" w:eastAsia="Times New Roman" w:hAnsi="Times New Roman"/>
                <w:sz w:val="19"/>
                <w:szCs w:val="19"/>
                <w:color w:val="auto"/>
              </w:rPr>
              <w:t>454,062</w:t>
            </w:r>
          </w:p>
        </w:tc>
        <w:tc>
          <w:tcPr>
            <w:tcW w:w="160" w:type="dxa"/>
            <w:vAlign w:val="bottom"/>
            <w:shd w:val="clear" w:color="auto" w:fill="D5EEEE"/>
          </w:tcPr>
          <w:p>
            <w:pPr>
              <w:spacing w:after="0"/>
              <w:rPr>
                <w:sz w:val="20"/>
                <w:szCs w:val="20"/>
                <w:color w:val="auto"/>
              </w:rPr>
            </w:pPr>
          </w:p>
        </w:tc>
        <w:tc>
          <w:tcPr>
            <w:tcW w:w="120" w:type="dxa"/>
            <w:vAlign w:val="bottom"/>
            <w:shd w:val="clear" w:color="auto" w:fill="D5EEEE"/>
          </w:tcPr>
          <w:p>
            <w:pPr>
              <w:spacing w:after="0"/>
              <w:rPr>
                <w:sz w:val="20"/>
                <w:szCs w:val="20"/>
                <w:color w:val="auto"/>
              </w:rPr>
            </w:pPr>
          </w:p>
        </w:tc>
        <w:tc>
          <w:tcPr>
            <w:tcW w:w="1160" w:type="dxa"/>
            <w:vAlign w:val="bottom"/>
            <w:shd w:val="clear" w:color="auto" w:fill="D5EEEE"/>
          </w:tcPr>
          <w:p>
            <w:pPr>
              <w:jc w:val="right"/>
              <w:ind w:right="7"/>
              <w:spacing w:after="0"/>
              <w:rPr>
                <w:sz w:val="20"/>
                <w:szCs w:val="20"/>
                <w:color w:val="auto"/>
              </w:rPr>
            </w:pPr>
            <w:r>
              <w:rPr>
                <w:rFonts w:ascii="Times New Roman" w:cs="Times New Roman" w:eastAsia="Times New Roman" w:hAnsi="Times New Roman"/>
                <w:sz w:val="19"/>
                <w:szCs w:val="19"/>
                <w:color w:val="auto"/>
              </w:rPr>
              <w:t>401,351</w:t>
            </w:r>
          </w:p>
        </w:tc>
      </w:tr>
      <w:tr>
        <w:trPr>
          <w:trHeight w:val="230"/>
        </w:trPr>
        <w:tc>
          <w:tcPr>
            <w:tcW w:w="7460" w:type="dxa"/>
            <w:vAlign w:val="bottom"/>
            <w:tcBorders>
              <w:bottom w:val="single" w:sz="8" w:color="D5EEEE"/>
            </w:tcBorders>
          </w:tcPr>
          <w:p>
            <w:pPr>
              <w:spacing w:after="0"/>
              <w:rPr>
                <w:sz w:val="20"/>
                <w:szCs w:val="20"/>
                <w:color w:val="auto"/>
              </w:rPr>
            </w:pPr>
            <w:r>
              <w:rPr>
                <w:rFonts w:ascii="Times New Roman" w:cs="Times New Roman" w:eastAsia="Times New Roman" w:hAnsi="Times New Roman"/>
                <w:sz w:val="19"/>
                <w:szCs w:val="19"/>
                <w:color w:val="auto"/>
              </w:rPr>
              <w:t>Accumulated deficit</w:t>
            </w:r>
          </w:p>
        </w:tc>
        <w:tc>
          <w:tcPr>
            <w:tcW w:w="20" w:type="dxa"/>
            <w:vAlign w:val="bottom"/>
            <w:tcBorders>
              <w:bottom w:val="single" w:sz="8" w:color="D5EEEE"/>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(418,789)</w:t>
            </w:r>
          </w:p>
        </w:tc>
        <w:tc>
          <w:tcPr>
            <w:tcW w:w="160" w:type="dxa"/>
            <w:vAlign w:val="bottom"/>
            <w:tcBorders>
              <w:bottom w:val="single" w:sz="8" w:color="D5EEEE"/>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(383,753)</w:t>
            </w:r>
          </w:p>
        </w:tc>
      </w:tr>
      <w:tr>
        <w:trPr>
          <w:trHeight w:val="225"/>
        </w:trPr>
        <w:tc>
          <w:tcPr>
            <w:tcW w:w="7460" w:type="dxa"/>
            <w:vAlign w:val="bottom"/>
            <w:tcBorders>
              <w:bottom w:val="single" w:sz="8" w:color="D5EEEE"/>
            </w:tcBorders>
            <w:shd w:val="clear" w:color="auto" w:fill="D5EEEE"/>
          </w:tcPr>
          <w:p>
            <w:pPr>
              <w:ind w:left="180"/>
              <w:spacing w:after="0"/>
              <w:rPr>
                <w:sz w:val="20"/>
                <w:szCs w:val="20"/>
                <w:color w:val="auto"/>
              </w:rPr>
            </w:pPr>
            <w:r>
              <w:rPr>
                <w:rFonts w:ascii="Times New Roman" w:cs="Times New Roman" w:eastAsia="Times New Roman" w:hAnsi="Times New Roman"/>
                <w:sz w:val="19"/>
                <w:szCs w:val="19"/>
                <w:color w:val="auto"/>
              </w:rPr>
              <w:t>Total stockholders’ equity</w:t>
            </w:r>
          </w:p>
        </w:tc>
        <w:tc>
          <w:tcPr>
            <w:tcW w:w="20" w:type="dxa"/>
            <w:vAlign w:val="bottom"/>
            <w:tcBorders>
              <w:bottom w:val="single" w:sz="8" w:color="D5EEEE"/>
            </w:tcBorders>
            <w:shd w:val="clear" w:color="auto" w:fill="D5EEEE"/>
          </w:tcPr>
          <w:p>
            <w:pPr>
              <w:spacing w:after="0"/>
              <w:rPr>
                <w:sz w:val="19"/>
                <w:szCs w:val="19"/>
                <w:color w:val="auto"/>
              </w:rPr>
            </w:pPr>
          </w:p>
        </w:tc>
        <w:tc>
          <w:tcPr>
            <w:tcW w:w="120" w:type="dxa"/>
            <w:vAlign w:val="bottom"/>
            <w:tcBorders>
              <w:bottom w:val="single" w:sz="8" w:color="auto"/>
            </w:tcBorders>
            <w:shd w:val="clear" w:color="auto" w:fill="D5EEEE"/>
          </w:tcPr>
          <w:p>
            <w:pPr>
              <w:spacing w:after="0"/>
              <w:rPr>
                <w:sz w:val="19"/>
                <w:szCs w:val="19"/>
                <w:color w:val="auto"/>
              </w:rPr>
            </w:pPr>
          </w:p>
        </w:tc>
        <w:tc>
          <w:tcPr>
            <w:tcW w:w="1160" w:type="dxa"/>
            <w:vAlign w:val="bottom"/>
            <w:tcBorders>
              <w:bottom w:val="single" w:sz="8" w:color="auto"/>
            </w:tcBorders>
            <w:shd w:val="clear" w:color="auto" w:fill="D5EEEE"/>
          </w:tcPr>
          <w:p>
            <w:pPr>
              <w:jc w:val="right"/>
              <w:ind w:right="27"/>
              <w:spacing w:after="0"/>
              <w:rPr>
                <w:sz w:val="20"/>
                <w:szCs w:val="20"/>
                <w:color w:val="auto"/>
              </w:rPr>
            </w:pPr>
            <w:r>
              <w:rPr>
                <w:rFonts w:ascii="Times New Roman" w:cs="Times New Roman" w:eastAsia="Times New Roman" w:hAnsi="Times New Roman"/>
                <w:sz w:val="19"/>
                <w:szCs w:val="19"/>
                <w:color w:val="auto"/>
              </w:rPr>
              <w:t>35,273</w:t>
            </w:r>
          </w:p>
        </w:tc>
        <w:tc>
          <w:tcPr>
            <w:tcW w:w="160" w:type="dxa"/>
            <w:vAlign w:val="bottom"/>
            <w:tcBorders>
              <w:bottom w:val="single" w:sz="8" w:color="D5EEEE"/>
            </w:tcBorders>
            <w:shd w:val="clear" w:color="auto" w:fill="D5EEEE"/>
          </w:tcPr>
          <w:p>
            <w:pPr>
              <w:spacing w:after="0"/>
              <w:rPr>
                <w:sz w:val="19"/>
                <w:szCs w:val="19"/>
                <w:color w:val="auto"/>
              </w:rPr>
            </w:pPr>
          </w:p>
        </w:tc>
        <w:tc>
          <w:tcPr>
            <w:tcW w:w="120" w:type="dxa"/>
            <w:vAlign w:val="bottom"/>
            <w:tcBorders>
              <w:bottom w:val="single" w:sz="8" w:color="auto"/>
            </w:tcBorders>
            <w:shd w:val="clear" w:color="auto" w:fill="D5EEEE"/>
          </w:tcPr>
          <w:p>
            <w:pPr>
              <w:spacing w:after="0"/>
              <w:rPr>
                <w:sz w:val="19"/>
                <w:szCs w:val="19"/>
                <w:color w:val="auto"/>
              </w:rPr>
            </w:pPr>
          </w:p>
        </w:tc>
        <w:tc>
          <w:tcPr>
            <w:tcW w:w="1160" w:type="dxa"/>
            <w:vAlign w:val="bottom"/>
            <w:tcBorders>
              <w:bottom w:val="single" w:sz="8" w:color="auto"/>
            </w:tcBorders>
            <w:shd w:val="clear" w:color="auto" w:fill="D5EEEE"/>
          </w:tcPr>
          <w:p>
            <w:pPr>
              <w:jc w:val="right"/>
              <w:ind w:right="7"/>
              <w:spacing w:after="0"/>
              <w:rPr>
                <w:sz w:val="20"/>
                <w:szCs w:val="20"/>
                <w:color w:val="auto"/>
              </w:rPr>
            </w:pPr>
            <w:r>
              <w:rPr>
                <w:rFonts w:ascii="Times New Roman" w:cs="Times New Roman" w:eastAsia="Times New Roman" w:hAnsi="Times New Roman"/>
                <w:sz w:val="19"/>
                <w:szCs w:val="19"/>
                <w:color w:val="auto"/>
              </w:rPr>
              <w:t>17,598</w:t>
            </w:r>
          </w:p>
        </w:tc>
      </w:tr>
      <w:tr>
        <w:trPr>
          <w:trHeight w:val="225"/>
        </w:trPr>
        <w:tc>
          <w:tcPr>
            <w:tcW w:w="746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Total liabilities and stockholders’ equity</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160" w:type="dxa"/>
            <w:vAlign w:val="bottom"/>
          </w:tcPr>
          <w:p>
            <w:pPr>
              <w:jc w:val="right"/>
              <w:ind w:right="27"/>
              <w:spacing w:after="0"/>
              <w:rPr>
                <w:sz w:val="20"/>
                <w:szCs w:val="20"/>
                <w:color w:val="auto"/>
              </w:rPr>
            </w:pPr>
            <w:r>
              <w:rPr>
                <w:rFonts w:ascii="Times New Roman" w:cs="Times New Roman" w:eastAsia="Times New Roman" w:hAnsi="Times New Roman"/>
                <w:sz w:val="19"/>
                <w:szCs w:val="19"/>
                <w:color w:val="auto"/>
              </w:rPr>
              <w:t>154,685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60" w:type="dxa"/>
            <w:vAlign w:val="bottom"/>
          </w:tcPr>
          <w:p>
            <w:pPr>
              <w:jc w:val="right"/>
              <w:ind w:right="7"/>
              <w:spacing w:after="0"/>
              <w:rPr>
                <w:sz w:val="20"/>
                <w:szCs w:val="20"/>
                <w:color w:val="auto"/>
              </w:rPr>
            </w:pPr>
            <w:r>
              <w:rPr>
                <w:rFonts w:ascii="Times New Roman" w:cs="Times New Roman" w:eastAsia="Times New Roman" w:hAnsi="Times New Roman"/>
                <w:sz w:val="19"/>
                <w:szCs w:val="19"/>
                <w:color w:val="auto"/>
              </w:rPr>
              <w:t>71,075</w:t>
            </w:r>
          </w:p>
        </w:tc>
      </w:tr>
      <w:tr>
        <w:trPr>
          <w:trHeight w:val="20"/>
        </w:trPr>
        <w:tc>
          <w:tcPr>
            <w:tcW w:w="74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The accompanying notes are an integral part of these consolidated financial statements.</w:t>
      </w:r>
    </w:p>
    <w:p>
      <w:pPr>
        <w:sectPr>
          <w:pgSz w:w="12240" w:h="15840" w:orient="portrait"/>
          <w:cols w:equalWidth="0" w:num="1">
            <w:col w:w="10200"/>
          </w:cols>
          <w:pgMar w:left="1020" w:top="1335" w:right="1020" w:bottom="5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w:t>
      </w:r>
    </w:p>
    <w:p>
      <w:pPr>
        <w:sectPr>
          <w:pgSz w:w="12240" w:h="15840" w:orient="portrait"/>
          <w:cols w:equalWidth="0" w:num="1">
            <w:col w:w="10200"/>
          </w:cols>
          <w:pgMar w:left="1020" w:top="1335" w:right="1020" w:bottom="556" w:gutter="0" w:footer="0" w:header="0"/>
          <w:type w:val="continuous"/>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9"/>
          <w:szCs w:val="19"/>
          <w:b w:val="1"/>
          <w:bCs w:val="1"/>
          <w:color w:val="auto"/>
        </w:rPr>
        <w:t>XILIO THERAPEUTICS, INC.</w:t>
      </w:r>
    </w:p>
    <w:p>
      <w:pPr>
        <w:jc w:val="center"/>
        <w:spacing w:after="0" w:line="238" w:lineRule="auto"/>
        <w:rPr>
          <w:sz w:val="20"/>
          <w:szCs w:val="20"/>
          <w:color w:val="auto"/>
        </w:rPr>
      </w:pPr>
      <w:r>
        <w:rPr>
          <w:rFonts w:ascii="Times New Roman" w:cs="Times New Roman" w:eastAsia="Times New Roman" w:hAnsi="Times New Roman"/>
          <w:sz w:val="19"/>
          <w:szCs w:val="19"/>
          <w:b w:val="1"/>
          <w:bCs w:val="1"/>
          <w:color w:val="auto"/>
        </w:rPr>
        <w:t>CONSOLIDATED STATEMENTS OF OPERATIONS AND COMPREHENSIVE LOSS</w:t>
      </w:r>
    </w:p>
    <w:p>
      <w:pPr>
        <w:jc w:val="center"/>
        <w:spacing w:after="0"/>
        <w:rPr>
          <w:sz w:val="20"/>
          <w:szCs w:val="20"/>
          <w:color w:val="auto"/>
        </w:rPr>
      </w:pPr>
      <w:r>
        <w:rPr>
          <w:rFonts w:ascii="Times New Roman" w:cs="Times New Roman" w:eastAsia="Times New Roman" w:hAnsi="Times New Roman"/>
          <w:sz w:val="19"/>
          <w:szCs w:val="19"/>
          <w:b w:val="1"/>
          <w:bCs w:val="1"/>
          <w:color w:val="auto"/>
        </w:rPr>
        <w:t>(In thousands, except share and per share data)</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300" w:type="dxa"/>
            <w:vAlign w:val="bottom"/>
            <w:gridSpan w:val="5"/>
          </w:tcPr>
          <w:p>
            <w:pPr>
              <w:jc w:val="right"/>
              <w:ind w:right="104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r>
      <w:tr>
        <w:trPr>
          <w:trHeight w:val="181"/>
        </w:trPr>
        <w:tc>
          <w:tcPr>
            <w:tcW w:w="5700" w:type="dxa"/>
            <w:vAlign w:val="bottom"/>
            <w:tcBorders>
              <w:bottom w:val="single" w:sz="8" w:color="D5EEEE"/>
            </w:tcBorders>
          </w:tcPr>
          <w:p>
            <w:pPr>
              <w:spacing w:after="0"/>
              <w:rPr>
                <w:sz w:val="15"/>
                <w:szCs w:val="15"/>
                <w:color w:val="auto"/>
              </w:rPr>
            </w:pPr>
          </w:p>
        </w:tc>
        <w:tc>
          <w:tcPr>
            <w:tcW w:w="820" w:type="dxa"/>
            <w:vAlign w:val="bottom"/>
            <w:tcBorders>
              <w:bottom w:val="single" w:sz="8" w:color="D5EEEE"/>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68"/>
              <w:spacing w:after="0"/>
              <w:rPr>
                <w:sz w:val="20"/>
                <w:szCs w:val="20"/>
                <w:color w:val="auto"/>
              </w:rPr>
            </w:pPr>
            <w:r>
              <w:rPr>
                <w:rFonts w:ascii="Times New Roman" w:cs="Times New Roman" w:eastAsia="Times New Roman" w:hAnsi="Times New Roman"/>
                <w:sz w:val="15"/>
                <w:szCs w:val="15"/>
                <w:b w:val="1"/>
                <w:bCs w:val="1"/>
                <w:color w:val="auto"/>
              </w:rPr>
              <w:t>2025</w:t>
            </w:r>
          </w:p>
        </w:tc>
        <w:tc>
          <w:tcPr>
            <w:tcW w:w="260" w:type="dxa"/>
            <w:vAlign w:val="bottom"/>
            <w:tcBorders>
              <w:bottom w:val="single" w:sz="8" w:color="D5EEEE"/>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67"/>
              <w:spacing w:after="0"/>
              <w:rPr>
                <w:sz w:val="20"/>
                <w:szCs w:val="20"/>
                <w:color w:val="auto"/>
              </w:rPr>
            </w:pPr>
            <w:r>
              <w:rPr>
                <w:rFonts w:ascii="Times New Roman" w:cs="Times New Roman" w:eastAsia="Times New Roman" w:hAnsi="Times New Roman"/>
                <w:sz w:val="15"/>
                <w:szCs w:val="15"/>
                <w:b w:val="1"/>
                <w:bCs w:val="1"/>
                <w:color w:val="auto"/>
              </w:rPr>
              <w:t>2024</w:t>
            </w:r>
          </w:p>
        </w:tc>
        <w:tc>
          <w:tcPr>
            <w:tcW w:w="80" w:type="dxa"/>
            <w:vAlign w:val="bottom"/>
            <w:tcBorders>
              <w:top w:val="single" w:sz="8" w:color="auto"/>
              <w:bottom w:val="single" w:sz="8" w:color="auto"/>
            </w:tcBorders>
          </w:tcPr>
          <w:p>
            <w:pPr>
              <w:spacing w:after="0"/>
              <w:rPr>
                <w:sz w:val="15"/>
                <w:szCs w:val="15"/>
                <w:color w:val="auto"/>
              </w:rPr>
            </w:pPr>
          </w:p>
        </w:tc>
      </w:tr>
      <w:tr>
        <w:trPr>
          <w:trHeight w:val="225"/>
        </w:trPr>
        <w:tc>
          <w:tcPr>
            <w:tcW w:w="5700" w:type="dxa"/>
            <w:vAlign w:val="bottom"/>
            <w:shd w:val="clear" w:color="auto" w:fill="D5EEEE"/>
          </w:tcPr>
          <w:p>
            <w:pPr>
              <w:spacing w:after="0"/>
              <w:rPr>
                <w:sz w:val="20"/>
                <w:szCs w:val="20"/>
                <w:color w:val="auto"/>
              </w:rPr>
            </w:pPr>
            <w:r>
              <w:rPr>
                <w:rFonts w:ascii="Times New Roman" w:cs="Times New Roman" w:eastAsia="Times New Roman" w:hAnsi="Times New Roman"/>
                <w:sz w:val="19"/>
                <w:szCs w:val="19"/>
                <w:color w:val="auto"/>
              </w:rPr>
              <w:t>Revenue</w:t>
            </w:r>
          </w:p>
        </w:tc>
        <w:tc>
          <w:tcPr>
            <w:tcW w:w="820" w:type="dxa"/>
            <w:vAlign w:val="bottom"/>
            <w:shd w:val="clear" w:color="auto" w:fill="D5EEEE"/>
          </w:tcPr>
          <w:p>
            <w:pPr>
              <w:spacing w:after="0"/>
              <w:rPr>
                <w:sz w:val="19"/>
                <w:szCs w:val="19"/>
                <w:color w:val="auto"/>
              </w:rPr>
            </w:pPr>
          </w:p>
        </w:tc>
        <w:tc>
          <w:tcPr>
            <w:tcW w:w="380" w:type="dxa"/>
            <w:vAlign w:val="bottom"/>
            <w:shd w:val="clear" w:color="auto" w:fill="D5EEEE"/>
          </w:tcPr>
          <w:p>
            <w:pPr>
              <w:spacing w:after="0"/>
              <w:rPr>
                <w:sz w:val="19"/>
                <w:szCs w:val="19"/>
                <w:color w:val="auto"/>
              </w:rPr>
            </w:pPr>
          </w:p>
        </w:tc>
        <w:tc>
          <w:tcPr>
            <w:tcW w:w="1340" w:type="dxa"/>
            <w:vAlign w:val="bottom"/>
            <w:shd w:val="clear" w:color="auto" w:fill="D5EEEE"/>
          </w:tcPr>
          <w:p>
            <w:pPr>
              <w:spacing w:after="0"/>
              <w:rPr>
                <w:sz w:val="19"/>
                <w:szCs w:val="19"/>
                <w:color w:val="auto"/>
              </w:rPr>
            </w:pPr>
          </w:p>
        </w:tc>
        <w:tc>
          <w:tcPr>
            <w:tcW w:w="260" w:type="dxa"/>
            <w:vAlign w:val="bottom"/>
            <w:shd w:val="clear" w:color="auto" w:fill="D5EEEE"/>
          </w:tcPr>
          <w:p>
            <w:pPr>
              <w:spacing w:after="0"/>
              <w:rPr>
                <w:sz w:val="19"/>
                <w:szCs w:val="19"/>
                <w:color w:val="auto"/>
              </w:rPr>
            </w:pPr>
          </w:p>
        </w:tc>
        <w:tc>
          <w:tcPr>
            <w:tcW w:w="380" w:type="dxa"/>
            <w:vAlign w:val="bottom"/>
            <w:shd w:val="clear" w:color="auto" w:fill="D5EEEE"/>
          </w:tcPr>
          <w:p>
            <w:pPr>
              <w:spacing w:after="0"/>
              <w:rPr>
                <w:sz w:val="19"/>
                <w:szCs w:val="19"/>
                <w:color w:val="auto"/>
              </w:rPr>
            </w:pPr>
          </w:p>
        </w:tc>
        <w:tc>
          <w:tcPr>
            <w:tcW w:w="1240" w:type="dxa"/>
            <w:vAlign w:val="bottom"/>
            <w:shd w:val="clear" w:color="auto" w:fill="D5EEEE"/>
          </w:tcPr>
          <w:p>
            <w:pPr>
              <w:spacing w:after="0"/>
              <w:rPr>
                <w:sz w:val="19"/>
                <w:szCs w:val="19"/>
                <w:color w:val="auto"/>
              </w:rPr>
            </w:pPr>
          </w:p>
        </w:tc>
        <w:tc>
          <w:tcPr>
            <w:tcW w:w="80" w:type="dxa"/>
            <w:vAlign w:val="bottom"/>
            <w:shd w:val="clear" w:color="auto" w:fill="D5EEEE"/>
          </w:tcPr>
          <w:p>
            <w:pPr>
              <w:spacing w:after="0"/>
              <w:rPr>
                <w:sz w:val="19"/>
                <w:szCs w:val="19"/>
                <w:color w:val="auto"/>
              </w:rPr>
            </w:pPr>
          </w:p>
        </w:tc>
      </w:tr>
      <w:tr>
        <w:trPr>
          <w:trHeight w:val="230"/>
        </w:trPr>
        <w:tc>
          <w:tcPr>
            <w:tcW w:w="570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Collaboration and license revenue</w:t>
            </w:r>
          </w:p>
        </w:tc>
        <w:tc>
          <w:tcPr>
            <w:tcW w:w="1200" w:type="dxa"/>
            <w:vAlign w:val="bottom"/>
            <w:gridSpan w:val="2"/>
          </w:tcPr>
          <w:p>
            <w:pPr>
              <w:jc w:val="right"/>
              <w:ind w:right="186"/>
              <w:spacing w:after="0"/>
              <w:rPr>
                <w:sz w:val="20"/>
                <w:szCs w:val="20"/>
                <w:color w:val="auto"/>
              </w:rPr>
            </w:pPr>
            <w:r>
              <w:rPr>
                <w:rFonts w:ascii="Times New Roman" w:cs="Times New Roman" w:eastAsia="Times New Roman" w:hAnsi="Times New Roman"/>
                <w:sz w:val="19"/>
                <w:szCs w:val="19"/>
                <w:color w:val="auto"/>
              </w:rPr>
              <w:t>$</w:t>
            </w:r>
          </w:p>
        </w:tc>
        <w:tc>
          <w:tcPr>
            <w:tcW w:w="1340" w:type="dxa"/>
            <w:vAlign w:val="bottom"/>
          </w:tcPr>
          <w:p>
            <w:pPr>
              <w:jc w:val="right"/>
              <w:ind w:right="8"/>
              <w:spacing w:after="0"/>
              <w:rPr>
                <w:sz w:val="20"/>
                <w:szCs w:val="20"/>
                <w:color w:val="auto"/>
              </w:rPr>
            </w:pPr>
            <w:r>
              <w:rPr>
                <w:rFonts w:ascii="Times New Roman" w:cs="Times New Roman" w:eastAsia="Times New Roman" w:hAnsi="Times New Roman"/>
                <w:sz w:val="19"/>
                <w:szCs w:val="19"/>
                <w:color w:val="auto"/>
              </w:rPr>
              <w:t>43,766</w:t>
            </w:r>
          </w:p>
        </w:tc>
        <w:tc>
          <w:tcPr>
            <w:tcW w:w="640" w:type="dxa"/>
            <w:vAlign w:val="bottom"/>
            <w:gridSpan w:val="2"/>
          </w:tcPr>
          <w:p>
            <w:pPr>
              <w:jc w:val="right"/>
              <w:ind w:right="186"/>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6,344</w:t>
            </w:r>
          </w:p>
        </w:tc>
        <w:tc>
          <w:tcPr>
            <w:tcW w:w="80" w:type="dxa"/>
            <w:vAlign w:val="bottom"/>
          </w:tcPr>
          <w:p>
            <w:pPr>
              <w:spacing w:after="0"/>
              <w:rPr>
                <w:sz w:val="20"/>
                <w:szCs w:val="20"/>
                <w:color w:val="auto"/>
              </w:rPr>
            </w:pPr>
          </w:p>
        </w:tc>
      </w:tr>
      <w:tr>
        <w:trPr>
          <w:trHeight w:val="225"/>
        </w:trPr>
        <w:tc>
          <w:tcPr>
            <w:tcW w:w="5700" w:type="dxa"/>
            <w:vAlign w:val="bottom"/>
            <w:tcBorders>
              <w:top w:val="single" w:sz="8" w:color="D5EEEE"/>
            </w:tcBorders>
            <w:shd w:val="clear" w:color="auto" w:fill="D5EEEE"/>
          </w:tcPr>
          <w:p>
            <w:pPr>
              <w:spacing w:after="0"/>
              <w:rPr>
                <w:sz w:val="20"/>
                <w:szCs w:val="20"/>
                <w:color w:val="auto"/>
              </w:rPr>
            </w:pPr>
            <w:r>
              <w:rPr>
                <w:rFonts w:ascii="Times New Roman" w:cs="Times New Roman" w:eastAsia="Times New Roman" w:hAnsi="Times New Roman"/>
                <w:sz w:val="19"/>
                <w:szCs w:val="19"/>
                <w:color w:val="auto"/>
              </w:rPr>
              <w:t>Total revenue</w:t>
            </w:r>
          </w:p>
        </w:tc>
        <w:tc>
          <w:tcPr>
            <w:tcW w:w="820" w:type="dxa"/>
            <w:vAlign w:val="bottom"/>
            <w:tcBorders>
              <w:top w:val="single" w:sz="8" w:color="D5EEEE"/>
            </w:tcBorders>
            <w:shd w:val="clear" w:color="auto" w:fill="D5EEEE"/>
          </w:tcPr>
          <w:p>
            <w:pPr>
              <w:spacing w:after="0"/>
              <w:rPr>
                <w:sz w:val="19"/>
                <w:szCs w:val="19"/>
                <w:color w:val="auto"/>
              </w:rPr>
            </w:pPr>
          </w:p>
        </w:tc>
        <w:tc>
          <w:tcPr>
            <w:tcW w:w="380" w:type="dxa"/>
            <w:vAlign w:val="bottom"/>
            <w:tcBorders>
              <w:top w:val="single" w:sz="8" w:color="auto"/>
            </w:tcBorders>
            <w:shd w:val="clear" w:color="auto" w:fill="D5EEEE"/>
          </w:tcPr>
          <w:p>
            <w:pPr>
              <w:spacing w:after="0"/>
              <w:rPr>
                <w:sz w:val="19"/>
                <w:szCs w:val="19"/>
                <w:color w:val="auto"/>
              </w:rPr>
            </w:pPr>
          </w:p>
        </w:tc>
        <w:tc>
          <w:tcPr>
            <w:tcW w:w="1340" w:type="dxa"/>
            <w:vAlign w:val="bottom"/>
            <w:tcBorders>
              <w:top w:val="single" w:sz="8" w:color="auto"/>
            </w:tcBorders>
            <w:shd w:val="clear" w:color="auto" w:fill="D5EEEE"/>
          </w:tcPr>
          <w:p>
            <w:pPr>
              <w:jc w:val="right"/>
              <w:ind w:right="8"/>
              <w:spacing w:after="0"/>
              <w:rPr>
                <w:sz w:val="20"/>
                <w:szCs w:val="20"/>
                <w:color w:val="auto"/>
              </w:rPr>
            </w:pPr>
            <w:r>
              <w:rPr>
                <w:rFonts w:ascii="Times New Roman" w:cs="Times New Roman" w:eastAsia="Times New Roman" w:hAnsi="Times New Roman"/>
                <w:sz w:val="19"/>
                <w:szCs w:val="19"/>
                <w:color w:val="auto"/>
              </w:rPr>
              <w:t>43,766</w:t>
            </w:r>
          </w:p>
        </w:tc>
        <w:tc>
          <w:tcPr>
            <w:tcW w:w="260" w:type="dxa"/>
            <w:vAlign w:val="bottom"/>
            <w:tcBorders>
              <w:top w:val="single" w:sz="8" w:color="D5EEEE"/>
            </w:tcBorders>
            <w:shd w:val="clear" w:color="auto" w:fill="D5EEEE"/>
          </w:tcPr>
          <w:p>
            <w:pPr>
              <w:spacing w:after="0"/>
              <w:rPr>
                <w:sz w:val="19"/>
                <w:szCs w:val="19"/>
                <w:color w:val="auto"/>
              </w:rPr>
            </w:pPr>
          </w:p>
        </w:tc>
        <w:tc>
          <w:tcPr>
            <w:tcW w:w="380" w:type="dxa"/>
            <w:vAlign w:val="bottom"/>
            <w:tcBorders>
              <w:top w:val="single" w:sz="8" w:color="auto"/>
            </w:tcBorders>
            <w:shd w:val="clear" w:color="auto" w:fill="D5EEEE"/>
          </w:tcPr>
          <w:p>
            <w:pPr>
              <w:spacing w:after="0"/>
              <w:rPr>
                <w:sz w:val="19"/>
                <w:szCs w:val="19"/>
                <w:color w:val="auto"/>
              </w:rPr>
            </w:pPr>
          </w:p>
        </w:tc>
        <w:tc>
          <w:tcPr>
            <w:tcW w:w="124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6,344</w:t>
            </w:r>
          </w:p>
        </w:tc>
        <w:tc>
          <w:tcPr>
            <w:tcW w:w="80" w:type="dxa"/>
            <w:vAlign w:val="bottom"/>
            <w:tcBorders>
              <w:top w:val="single" w:sz="8" w:color="auto"/>
            </w:tcBorders>
            <w:shd w:val="clear" w:color="auto" w:fill="D5EEEE"/>
          </w:tcPr>
          <w:p>
            <w:pPr>
              <w:spacing w:after="0"/>
              <w:rPr>
                <w:sz w:val="19"/>
                <w:szCs w:val="19"/>
                <w:color w:val="auto"/>
              </w:rPr>
            </w:pPr>
          </w:p>
        </w:tc>
      </w:tr>
      <w:tr>
        <w:trPr>
          <w:trHeight w:val="230"/>
        </w:trPr>
        <w:tc>
          <w:tcPr>
            <w:tcW w:w="5700" w:type="dxa"/>
            <w:vAlign w:val="bottom"/>
          </w:tcPr>
          <w:p>
            <w:pPr>
              <w:spacing w:after="0"/>
              <w:rPr>
                <w:sz w:val="20"/>
                <w:szCs w:val="20"/>
                <w:color w:val="auto"/>
              </w:rPr>
            </w:pPr>
            <w:r>
              <w:rPr>
                <w:rFonts w:ascii="Times New Roman" w:cs="Times New Roman" w:eastAsia="Times New Roman" w:hAnsi="Times New Roman"/>
                <w:sz w:val="19"/>
                <w:szCs w:val="19"/>
                <w:color w:val="auto"/>
              </w:rPr>
              <w:t>Operating expenses</w:t>
            </w: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1"/>
        </w:trPr>
        <w:tc>
          <w:tcPr>
            <w:tcW w:w="5700" w:type="dxa"/>
            <w:vAlign w:val="bottom"/>
            <w:shd w:val="clear" w:color="auto" w:fill="D5EEEE"/>
          </w:tcPr>
          <w:p>
            <w:pPr>
              <w:ind w:left="180"/>
              <w:spacing w:after="0"/>
              <w:rPr>
                <w:sz w:val="20"/>
                <w:szCs w:val="20"/>
                <w:color w:val="auto"/>
              </w:rPr>
            </w:pPr>
            <w:r>
              <w:rPr>
                <w:rFonts w:ascii="Times New Roman" w:cs="Times New Roman" w:eastAsia="Times New Roman" w:hAnsi="Times New Roman"/>
                <w:sz w:val="19"/>
                <w:szCs w:val="19"/>
                <w:color w:val="auto"/>
              </w:rPr>
              <w:t>Research and development</w:t>
            </w:r>
          </w:p>
        </w:tc>
        <w:tc>
          <w:tcPr>
            <w:tcW w:w="1200" w:type="dxa"/>
            <w:vAlign w:val="bottom"/>
            <w:gridSpan w:val="2"/>
            <w:shd w:val="clear" w:color="auto" w:fill="D5EEEE"/>
          </w:tcPr>
          <w:p>
            <w:pPr>
              <w:jc w:val="right"/>
              <w:ind w:right="186"/>
              <w:spacing w:after="0"/>
              <w:rPr>
                <w:sz w:val="20"/>
                <w:szCs w:val="20"/>
                <w:color w:val="auto"/>
              </w:rPr>
            </w:pPr>
            <w:r>
              <w:rPr>
                <w:rFonts w:ascii="Times New Roman" w:cs="Times New Roman" w:eastAsia="Times New Roman" w:hAnsi="Times New Roman"/>
                <w:sz w:val="19"/>
                <w:szCs w:val="19"/>
                <w:color w:val="auto"/>
              </w:rPr>
              <w:t>$</w:t>
            </w:r>
          </w:p>
        </w:tc>
        <w:tc>
          <w:tcPr>
            <w:tcW w:w="1340" w:type="dxa"/>
            <w:vAlign w:val="bottom"/>
            <w:shd w:val="clear" w:color="auto" w:fill="D5EEEE"/>
          </w:tcPr>
          <w:p>
            <w:pPr>
              <w:jc w:val="right"/>
              <w:ind w:right="8"/>
              <w:spacing w:after="0"/>
              <w:rPr>
                <w:sz w:val="20"/>
                <w:szCs w:val="20"/>
                <w:color w:val="auto"/>
              </w:rPr>
            </w:pPr>
            <w:r>
              <w:rPr>
                <w:rFonts w:ascii="Times New Roman" w:cs="Times New Roman" w:eastAsia="Times New Roman" w:hAnsi="Times New Roman"/>
                <w:sz w:val="19"/>
                <w:szCs w:val="19"/>
                <w:color w:val="auto"/>
              </w:rPr>
              <w:t>56,039</w:t>
            </w:r>
          </w:p>
        </w:tc>
        <w:tc>
          <w:tcPr>
            <w:tcW w:w="640" w:type="dxa"/>
            <w:vAlign w:val="bottom"/>
            <w:gridSpan w:val="2"/>
            <w:shd w:val="clear" w:color="auto" w:fill="D5EEEE"/>
          </w:tcPr>
          <w:p>
            <w:pPr>
              <w:jc w:val="right"/>
              <w:ind w:right="186"/>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41,211</w:t>
            </w:r>
          </w:p>
        </w:tc>
        <w:tc>
          <w:tcPr>
            <w:tcW w:w="80" w:type="dxa"/>
            <w:vAlign w:val="bottom"/>
            <w:shd w:val="clear" w:color="auto" w:fill="D5EEEE"/>
          </w:tcPr>
          <w:p>
            <w:pPr>
              <w:spacing w:after="0"/>
              <w:rPr>
                <w:sz w:val="20"/>
                <w:szCs w:val="20"/>
                <w:color w:val="auto"/>
              </w:rPr>
            </w:pPr>
          </w:p>
        </w:tc>
      </w:tr>
      <w:tr>
        <w:trPr>
          <w:trHeight w:val="230"/>
        </w:trPr>
        <w:tc>
          <w:tcPr>
            <w:tcW w:w="570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General and administrative</w:t>
            </w: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ind w:right="8"/>
              <w:spacing w:after="0"/>
              <w:rPr>
                <w:sz w:val="20"/>
                <w:szCs w:val="20"/>
                <w:color w:val="auto"/>
              </w:rPr>
            </w:pPr>
            <w:r>
              <w:rPr>
                <w:rFonts w:ascii="Times New Roman" w:cs="Times New Roman" w:eastAsia="Times New Roman" w:hAnsi="Times New Roman"/>
                <w:sz w:val="19"/>
                <w:szCs w:val="19"/>
                <w:color w:val="auto"/>
              </w:rPr>
              <w:t>29,709</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24,778</w:t>
            </w:r>
          </w:p>
        </w:tc>
        <w:tc>
          <w:tcPr>
            <w:tcW w:w="80" w:type="dxa"/>
            <w:vAlign w:val="bottom"/>
          </w:tcPr>
          <w:p>
            <w:pPr>
              <w:spacing w:after="0"/>
              <w:rPr>
                <w:sz w:val="20"/>
                <w:szCs w:val="20"/>
                <w:color w:val="auto"/>
              </w:rPr>
            </w:pPr>
          </w:p>
        </w:tc>
      </w:tr>
      <w:tr>
        <w:trPr>
          <w:trHeight w:val="231"/>
        </w:trPr>
        <w:tc>
          <w:tcPr>
            <w:tcW w:w="5700" w:type="dxa"/>
            <w:vAlign w:val="bottom"/>
            <w:shd w:val="clear" w:color="auto" w:fill="D5EEEE"/>
          </w:tcPr>
          <w:p>
            <w:pPr>
              <w:ind w:left="180"/>
              <w:spacing w:after="0"/>
              <w:rPr>
                <w:sz w:val="20"/>
                <w:szCs w:val="20"/>
                <w:color w:val="auto"/>
              </w:rPr>
            </w:pPr>
            <w:r>
              <w:rPr>
                <w:rFonts w:ascii="Times New Roman" w:cs="Times New Roman" w:eastAsia="Times New Roman" w:hAnsi="Times New Roman"/>
                <w:sz w:val="19"/>
                <w:szCs w:val="19"/>
                <w:color w:val="auto"/>
              </w:rPr>
              <w:t>Restructuring</w:t>
            </w:r>
          </w:p>
        </w:tc>
        <w:tc>
          <w:tcPr>
            <w:tcW w:w="820" w:type="dxa"/>
            <w:vAlign w:val="bottom"/>
            <w:shd w:val="clear" w:color="auto" w:fill="D5EEEE"/>
          </w:tcPr>
          <w:p>
            <w:pPr>
              <w:spacing w:after="0"/>
              <w:rPr>
                <w:sz w:val="20"/>
                <w:szCs w:val="20"/>
                <w:color w:val="auto"/>
              </w:rPr>
            </w:pPr>
          </w:p>
        </w:tc>
        <w:tc>
          <w:tcPr>
            <w:tcW w:w="380" w:type="dxa"/>
            <w:vAlign w:val="bottom"/>
            <w:tcBorders>
              <w:bottom w:val="single" w:sz="8" w:color="auto"/>
            </w:tcBorders>
            <w:shd w:val="clear" w:color="auto" w:fill="D5EEEE"/>
          </w:tcPr>
          <w:p>
            <w:pPr>
              <w:spacing w:after="0"/>
              <w:rPr>
                <w:sz w:val="20"/>
                <w:szCs w:val="20"/>
                <w:color w:val="auto"/>
              </w:rPr>
            </w:pPr>
          </w:p>
        </w:tc>
        <w:tc>
          <w:tcPr>
            <w:tcW w:w="1340" w:type="dxa"/>
            <w:vAlign w:val="bottom"/>
            <w:tcBorders>
              <w:bottom w:val="single" w:sz="8" w:color="auto"/>
            </w:tcBorders>
            <w:shd w:val="clear" w:color="auto" w:fill="D5EEEE"/>
          </w:tcPr>
          <w:p>
            <w:pPr>
              <w:jc w:val="right"/>
              <w:ind w:right="8"/>
              <w:spacing w:after="0"/>
              <w:rPr>
                <w:sz w:val="20"/>
                <w:szCs w:val="20"/>
                <w:color w:val="auto"/>
              </w:rPr>
            </w:pPr>
            <w:r>
              <w:rPr>
                <w:rFonts w:ascii="Times New Roman" w:cs="Times New Roman" w:eastAsia="Times New Roman" w:hAnsi="Times New Roman"/>
                <w:sz w:val="19"/>
                <w:szCs w:val="19"/>
                <w:color w:val="auto"/>
              </w:rPr>
              <w:t>—</w:t>
            </w:r>
          </w:p>
        </w:tc>
        <w:tc>
          <w:tcPr>
            <w:tcW w:w="260" w:type="dxa"/>
            <w:vAlign w:val="bottom"/>
            <w:shd w:val="clear" w:color="auto" w:fill="D5EEEE"/>
          </w:tcPr>
          <w:p>
            <w:pPr>
              <w:spacing w:after="0"/>
              <w:rPr>
                <w:sz w:val="20"/>
                <w:szCs w:val="20"/>
                <w:color w:val="auto"/>
              </w:rPr>
            </w:pPr>
          </w:p>
        </w:tc>
        <w:tc>
          <w:tcPr>
            <w:tcW w:w="380" w:type="dxa"/>
            <w:vAlign w:val="bottom"/>
            <w:tcBorders>
              <w:bottom w:val="single" w:sz="8" w:color="auto"/>
            </w:tcBorders>
            <w:shd w:val="clear" w:color="auto" w:fill="D5EEEE"/>
          </w:tcPr>
          <w:p>
            <w:pPr>
              <w:spacing w:after="0"/>
              <w:rPr>
                <w:sz w:val="20"/>
                <w:szCs w:val="20"/>
                <w:color w:val="auto"/>
              </w:rPr>
            </w:pPr>
          </w:p>
        </w:tc>
        <w:tc>
          <w:tcPr>
            <w:tcW w:w="12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937</w:t>
            </w:r>
          </w:p>
        </w:tc>
        <w:tc>
          <w:tcPr>
            <w:tcW w:w="80" w:type="dxa"/>
            <w:vAlign w:val="bottom"/>
            <w:tcBorders>
              <w:bottom w:val="single" w:sz="8" w:color="auto"/>
            </w:tcBorders>
            <w:shd w:val="clear" w:color="auto" w:fill="D5EEEE"/>
          </w:tcPr>
          <w:p>
            <w:pPr>
              <w:spacing w:after="0"/>
              <w:rPr>
                <w:sz w:val="20"/>
                <w:szCs w:val="20"/>
                <w:color w:val="auto"/>
              </w:rPr>
            </w:pPr>
          </w:p>
        </w:tc>
      </w:tr>
      <w:tr>
        <w:trPr>
          <w:trHeight w:val="224"/>
        </w:trPr>
        <w:tc>
          <w:tcPr>
            <w:tcW w:w="5700" w:type="dxa"/>
            <w:vAlign w:val="bottom"/>
          </w:tcPr>
          <w:p>
            <w:pPr>
              <w:spacing w:after="0"/>
              <w:rPr>
                <w:sz w:val="20"/>
                <w:szCs w:val="20"/>
                <w:color w:val="auto"/>
              </w:rPr>
            </w:pPr>
            <w:r>
              <w:rPr>
                <w:rFonts w:ascii="Times New Roman" w:cs="Times New Roman" w:eastAsia="Times New Roman" w:hAnsi="Times New Roman"/>
                <w:sz w:val="19"/>
                <w:szCs w:val="19"/>
                <w:color w:val="auto"/>
              </w:rPr>
              <w:t>Total operating expenses</w:t>
            </w: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ind w:right="8"/>
              <w:spacing w:after="0"/>
              <w:rPr>
                <w:sz w:val="20"/>
                <w:szCs w:val="20"/>
                <w:color w:val="auto"/>
              </w:rPr>
            </w:pPr>
            <w:r>
              <w:rPr>
                <w:rFonts w:ascii="Times New Roman" w:cs="Times New Roman" w:eastAsia="Times New Roman" w:hAnsi="Times New Roman"/>
                <w:sz w:val="19"/>
                <w:szCs w:val="19"/>
                <w:color w:val="auto"/>
              </w:rPr>
              <w:t>85,748</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66,926</w:t>
            </w:r>
          </w:p>
        </w:tc>
        <w:tc>
          <w:tcPr>
            <w:tcW w:w="80" w:type="dxa"/>
            <w:vAlign w:val="bottom"/>
          </w:tcPr>
          <w:p>
            <w:pPr>
              <w:spacing w:after="0"/>
              <w:rPr>
                <w:sz w:val="19"/>
                <w:szCs w:val="19"/>
                <w:color w:val="auto"/>
              </w:rPr>
            </w:pPr>
          </w:p>
        </w:tc>
      </w:tr>
      <w:tr>
        <w:trPr>
          <w:trHeight w:val="231"/>
        </w:trPr>
        <w:tc>
          <w:tcPr>
            <w:tcW w:w="5700" w:type="dxa"/>
            <w:vAlign w:val="bottom"/>
            <w:shd w:val="clear" w:color="auto" w:fill="D5EEEE"/>
          </w:tcPr>
          <w:p>
            <w:pPr>
              <w:ind w:left="180"/>
              <w:spacing w:after="0"/>
              <w:rPr>
                <w:sz w:val="20"/>
                <w:szCs w:val="20"/>
                <w:color w:val="auto"/>
              </w:rPr>
            </w:pPr>
            <w:r>
              <w:rPr>
                <w:rFonts w:ascii="Times New Roman" w:cs="Times New Roman" w:eastAsia="Times New Roman" w:hAnsi="Times New Roman"/>
                <w:sz w:val="19"/>
                <w:szCs w:val="19"/>
                <w:color w:val="auto"/>
              </w:rPr>
              <w:t>Loss from operations</w:t>
            </w:r>
          </w:p>
        </w:tc>
        <w:tc>
          <w:tcPr>
            <w:tcW w:w="820" w:type="dxa"/>
            <w:vAlign w:val="bottom"/>
            <w:shd w:val="clear" w:color="auto" w:fill="D5EEEE"/>
          </w:tcPr>
          <w:p>
            <w:pPr>
              <w:spacing w:after="0"/>
              <w:rPr>
                <w:sz w:val="20"/>
                <w:szCs w:val="20"/>
                <w:color w:val="auto"/>
              </w:rPr>
            </w:pPr>
          </w:p>
        </w:tc>
        <w:tc>
          <w:tcPr>
            <w:tcW w:w="380" w:type="dxa"/>
            <w:vAlign w:val="bottom"/>
            <w:shd w:val="clear" w:color="auto" w:fill="D5EEEE"/>
          </w:tcPr>
          <w:p>
            <w:pPr>
              <w:spacing w:after="0"/>
              <w:rPr>
                <w:sz w:val="20"/>
                <w:szCs w:val="20"/>
                <w:color w:val="auto"/>
              </w:rPr>
            </w:pPr>
          </w:p>
        </w:tc>
        <w:tc>
          <w:tcPr>
            <w:tcW w:w="13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(41,982)</w:t>
            </w:r>
          </w:p>
        </w:tc>
        <w:tc>
          <w:tcPr>
            <w:tcW w:w="260" w:type="dxa"/>
            <w:vAlign w:val="bottom"/>
            <w:shd w:val="clear" w:color="auto" w:fill="D5EEEE"/>
          </w:tcPr>
          <w:p>
            <w:pPr>
              <w:spacing w:after="0"/>
              <w:rPr>
                <w:sz w:val="20"/>
                <w:szCs w:val="20"/>
                <w:color w:val="auto"/>
              </w:rPr>
            </w:pPr>
          </w:p>
        </w:tc>
        <w:tc>
          <w:tcPr>
            <w:tcW w:w="380" w:type="dxa"/>
            <w:vAlign w:val="bottom"/>
            <w:shd w:val="clear" w:color="auto" w:fill="D5EEEE"/>
          </w:tcPr>
          <w:p>
            <w:pPr>
              <w:spacing w:after="0"/>
              <w:rPr>
                <w:sz w:val="20"/>
                <w:szCs w:val="20"/>
                <w:color w:val="auto"/>
              </w:rPr>
            </w:pPr>
          </w:p>
        </w:tc>
        <w:tc>
          <w:tcPr>
            <w:tcW w:w="1320" w:type="dxa"/>
            <w:vAlign w:val="bottom"/>
            <w:gridSpan w:val="2"/>
            <w:shd w:val="clear" w:color="auto" w:fill="D5EEEE"/>
          </w:tcPr>
          <w:p>
            <w:pPr>
              <w:jc w:val="right"/>
              <w:ind w:right="20"/>
              <w:spacing w:after="0"/>
              <w:rPr>
                <w:sz w:val="20"/>
                <w:szCs w:val="20"/>
                <w:color w:val="auto"/>
              </w:rPr>
            </w:pPr>
            <w:r>
              <w:rPr>
                <w:rFonts w:ascii="Times New Roman" w:cs="Times New Roman" w:eastAsia="Times New Roman" w:hAnsi="Times New Roman"/>
                <w:sz w:val="19"/>
                <w:szCs w:val="19"/>
                <w:color w:val="auto"/>
              </w:rPr>
              <w:t>(60,582)</w:t>
            </w:r>
          </w:p>
        </w:tc>
      </w:tr>
      <w:tr>
        <w:trPr>
          <w:trHeight w:val="230"/>
        </w:trPr>
        <w:tc>
          <w:tcPr>
            <w:tcW w:w="5700" w:type="dxa"/>
            <w:vAlign w:val="bottom"/>
          </w:tcPr>
          <w:p>
            <w:pPr>
              <w:spacing w:after="0"/>
              <w:rPr>
                <w:sz w:val="20"/>
                <w:szCs w:val="20"/>
                <w:color w:val="auto"/>
              </w:rPr>
            </w:pPr>
            <w:r>
              <w:rPr>
                <w:rFonts w:ascii="Times New Roman" w:cs="Times New Roman" w:eastAsia="Times New Roman" w:hAnsi="Times New Roman"/>
                <w:sz w:val="19"/>
                <w:szCs w:val="19"/>
                <w:color w:val="auto"/>
              </w:rPr>
              <w:t>Other income, net</w:t>
            </w: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1"/>
        </w:trPr>
        <w:tc>
          <w:tcPr>
            <w:tcW w:w="5700" w:type="dxa"/>
            <w:vAlign w:val="bottom"/>
            <w:shd w:val="clear" w:color="auto" w:fill="D5EEEE"/>
          </w:tcPr>
          <w:p>
            <w:pPr>
              <w:ind w:left="180"/>
              <w:spacing w:after="0"/>
              <w:rPr>
                <w:sz w:val="20"/>
                <w:szCs w:val="20"/>
                <w:color w:val="auto"/>
              </w:rPr>
            </w:pPr>
            <w:r>
              <w:rPr>
                <w:rFonts w:ascii="Times New Roman" w:cs="Times New Roman" w:eastAsia="Times New Roman" w:hAnsi="Times New Roman"/>
                <w:sz w:val="19"/>
                <w:szCs w:val="19"/>
                <w:color w:val="auto"/>
              </w:rPr>
              <w:t>Change in fair value of common stock warrant liabilities</w:t>
            </w:r>
          </w:p>
        </w:tc>
        <w:tc>
          <w:tcPr>
            <w:tcW w:w="820" w:type="dxa"/>
            <w:vAlign w:val="bottom"/>
            <w:shd w:val="clear" w:color="auto" w:fill="D5EEEE"/>
          </w:tcPr>
          <w:p>
            <w:pPr>
              <w:spacing w:after="0"/>
              <w:rPr>
                <w:sz w:val="20"/>
                <w:szCs w:val="20"/>
                <w:color w:val="auto"/>
              </w:rPr>
            </w:pPr>
          </w:p>
        </w:tc>
        <w:tc>
          <w:tcPr>
            <w:tcW w:w="380" w:type="dxa"/>
            <w:vAlign w:val="bottom"/>
            <w:shd w:val="clear" w:color="auto" w:fill="D5EEEE"/>
          </w:tcPr>
          <w:p>
            <w:pPr>
              <w:spacing w:after="0"/>
              <w:rPr>
                <w:sz w:val="20"/>
                <w:szCs w:val="20"/>
                <w:color w:val="auto"/>
              </w:rPr>
            </w:pPr>
          </w:p>
        </w:tc>
        <w:tc>
          <w:tcPr>
            <w:tcW w:w="1340" w:type="dxa"/>
            <w:vAlign w:val="bottom"/>
            <w:shd w:val="clear" w:color="auto" w:fill="D5EEEE"/>
          </w:tcPr>
          <w:p>
            <w:pPr>
              <w:jc w:val="right"/>
              <w:ind w:right="8"/>
              <w:spacing w:after="0"/>
              <w:rPr>
                <w:sz w:val="20"/>
                <w:szCs w:val="20"/>
                <w:color w:val="auto"/>
              </w:rPr>
            </w:pPr>
            <w:r>
              <w:rPr>
                <w:rFonts w:ascii="Times New Roman" w:cs="Times New Roman" w:eastAsia="Times New Roman" w:hAnsi="Times New Roman"/>
                <w:sz w:val="19"/>
                <w:szCs w:val="19"/>
                <w:color w:val="auto"/>
              </w:rPr>
              <w:t>5,845</w:t>
            </w:r>
          </w:p>
        </w:tc>
        <w:tc>
          <w:tcPr>
            <w:tcW w:w="260" w:type="dxa"/>
            <w:vAlign w:val="bottom"/>
            <w:shd w:val="clear" w:color="auto" w:fill="D5EEEE"/>
          </w:tcPr>
          <w:p>
            <w:pPr>
              <w:spacing w:after="0"/>
              <w:rPr>
                <w:sz w:val="20"/>
                <w:szCs w:val="20"/>
                <w:color w:val="auto"/>
              </w:rPr>
            </w:pPr>
          </w:p>
        </w:tc>
        <w:tc>
          <w:tcPr>
            <w:tcW w:w="380" w:type="dxa"/>
            <w:vAlign w:val="bottom"/>
            <w:shd w:val="clear" w:color="auto" w:fill="D5EEEE"/>
          </w:tcPr>
          <w:p>
            <w:pPr>
              <w:spacing w:after="0"/>
              <w:rPr>
                <w:sz w:val="20"/>
                <w:szCs w:val="20"/>
                <w:color w:val="auto"/>
              </w:rPr>
            </w:pPr>
          </w:p>
        </w:tc>
        <w:tc>
          <w:tcPr>
            <w:tcW w:w="1320" w:type="dxa"/>
            <w:vAlign w:val="bottom"/>
            <w:gridSpan w:val="2"/>
            <w:shd w:val="clear" w:color="auto" w:fill="D5EEEE"/>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r>
      <w:tr>
        <w:trPr>
          <w:trHeight w:val="230"/>
        </w:trPr>
        <w:tc>
          <w:tcPr>
            <w:tcW w:w="5700" w:type="dxa"/>
            <w:vAlign w:val="bottom"/>
            <w:tcBorders>
              <w:bottom w:val="single" w:sz="8" w:color="D5EEEE"/>
            </w:tcBorders>
          </w:tcPr>
          <w:p>
            <w:pPr>
              <w:ind w:left="180"/>
              <w:spacing w:after="0"/>
              <w:rPr>
                <w:sz w:val="20"/>
                <w:szCs w:val="20"/>
                <w:color w:val="auto"/>
              </w:rPr>
            </w:pPr>
            <w:r>
              <w:rPr>
                <w:rFonts w:ascii="Times New Roman" w:cs="Times New Roman" w:eastAsia="Times New Roman" w:hAnsi="Times New Roman"/>
                <w:sz w:val="19"/>
                <w:szCs w:val="19"/>
                <w:color w:val="auto"/>
              </w:rPr>
              <w:t>Other income, net</w:t>
            </w:r>
          </w:p>
        </w:tc>
        <w:tc>
          <w:tcPr>
            <w:tcW w:w="820" w:type="dxa"/>
            <w:vAlign w:val="bottom"/>
            <w:tcBorders>
              <w:bottom w:val="single" w:sz="8" w:color="D5EEEE"/>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9"/>
                <w:szCs w:val="19"/>
                <w:color w:val="auto"/>
              </w:rPr>
              <w:t>1,101</w:t>
            </w:r>
          </w:p>
        </w:tc>
        <w:tc>
          <w:tcPr>
            <w:tcW w:w="260" w:type="dxa"/>
            <w:vAlign w:val="bottom"/>
            <w:tcBorders>
              <w:bottom w:val="single" w:sz="8" w:color="D5EEEE"/>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2,341</w:t>
            </w:r>
          </w:p>
        </w:tc>
        <w:tc>
          <w:tcPr>
            <w:tcW w:w="80" w:type="dxa"/>
            <w:vAlign w:val="bottom"/>
            <w:tcBorders>
              <w:bottom w:val="single" w:sz="8" w:color="auto"/>
            </w:tcBorders>
          </w:tcPr>
          <w:p>
            <w:pPr>
              <w:spacing w:after="0"/>
              <w:rPr>
                <w:sz w:val="19"/>
                <w:szCs w:val="19"/>
                <w:color w:val="auto"/>
              </w:rPr>
            </w:pPr>
          </w:p>
        </w:tc>
      </w:tr>
      <w:tr>
        <w:trPr>
          <w:trHeight w:val="225"/>
        </w:trPr>
        <w:tc>
          <w:tcPr>
            <w:tcW w:w="5700" w:type="dxa"/>
            <w:vAlign w:val="bottom"/>
            <w:tcBorders>
              <w:bottom w:val="single" w:sz="8" w:color="D5EEEE"/>
            </w:tcBorders>
            <w:shd w:val="clear" w:color="auto" w:fill="D5EEEE"/>
          </w:tcPr>
          <w:p>
            <w:pPr>
              <w:ind w:left="380"/>
              <w:spacing w:after="0"/>
              <w:rPr>
                <w:sz w:val="20"/>
                <w:szCs w:val="20"/>
                <w:color w:val="auto"/>
              </w:rPr>
            </w:pPr>
            <w:r>
              <w:rPr>
                <w:rFonts w:ascii="Times New Roman" w:cs="Times New Roman" w:eastAsia="Times New Roman" w:hAnsi="Times New Roman"/>
                <w:sz w:val="19"/>
                <w:szCs w:val="19"/>
                <w:color w:val="auto"/>
              </w:rPr>
              <w:t>Total other income, net</w:t>
            </w:r>
          </w:p>
        </w:tc>
        <w:tc>
          <w:tcPr>
            <w:tcW w:w="820" w:type="dxa"/>
            <w:vAlign w:val="bottom"/>
            <w:tcBorders>
              <w:bottom w:val="single" w:sz="8" w:color="D5EEEE"/>
            </w:tcBorders>
            <w:shd w:val="clear" w:color="auto" w:fill="D5EEEE"/>
          </w:tcPr>
          <w:p>
            <w:pPr>
              <w:spacing w:after="0"/>
              <w:rPr>
                <w:sz w:val="19"/>
                <w:szCs w:val="19"/>
                <w:color w:val="auto"/>
              </w:rPr>
            </w:pPr>
          </w:p>
        </w:tc>
        <w:tc>
          <w:tcPr>
            <w:tcW w:w="380" w:type="dxa"/>
            <w:vAlign w:val="bottom"/>
            <w:tcBorders>
              <w:bottom w:val="single" w:sz="8" w:color="auto"/>
            </w:tcBorders>
            <w:shd w:val="clear" w:color="auto" w:fill="D5EEEE"/>
          </w:tcPr>
          <w:p>
            <w:pPr>
              <w:spacing w:after="0"/>
              <w:rPr>
                <w:sz w:val="19"/>
                <w:szCs w:val="19"/>
                <w:color w:val="auto"/>
              </w:rPr>
            </w:pPr>
          </w:p>
        </w:tc>
        <w:tc>
          <w:tcPr>
            <w:tcW w:w="1340" w:type="dxa"/>
            <w:vAlign w:val="bottom"/>
            <w:tcBorders>
              <w:bottom w:val="single" w:sz="8" w:color="auto"/>
            </w:tcBorders>
            <w:shd w:val="clear" w:color="auto" w:fill="D5EEEE"/>
          </w:tcPr>
          <w:p>
            <w:pPr>
              <w:jc w:val="right"/>
              <w:ind w:right="8"/>
              <w:spacing w:after="0"/>
              <w:rPr>
                <w:sz w:val="20"/>
                <w:szCs w:val="20"/>
                <w:color w:val="auto"/>
              </w:rPr>
            </w:pPr>
            <w:r>
              <w:rPr>
                <w:rFonts w:ascii="Times New Roman" w:cs="Times New Roman" w:eastAsia="Times New Roman" w:hAnsi="Times New Roman"/>
                <w:sz w:val="19"/>
                <w:szCs w:val="19"/>
                <w:color w:val="auto"/>
              </w:rPr>
              <w:t>6,946</w:t>
            </w:r>
          </w:p>
        </w:tc>
        <w:tc>
          <w:tcPr>
            <w:tcW w:w="260" w:type="dxa"/>
            <w:vAlign w:val="bottom"/>
            <w:tcBorders>
              <w:bottom w:val="single" w:sz="8" w:color="D5EEEE"/>
            </w:tcBorders>
            <w:shd w:val="clear" w:color="auto" w:fill="D5EEEE"/>
          </w:tcPr>
          <w:p>
            <w:pPr>
              <w:spacing w:after="0"/>
              <w:rPr>
                <w:sz w:val="19"/>
                <w:szCs w:val="19"/>
                <w:color w:val="auto"/>
              </w:rPr>
            </w:pPr>
          </w:p>
        </w:tc>
        <w:tc>
          <w:tcPr>
            <w:tcW w:w="380" w:type="dxa"/>
            <w:vAlign w:val="bottom"/>
            <w:tcBorders>
              <w:bottom w:val="single" w:sz="8" w:color="auto"/>
            </w:tcBorders>
            <w:shd w:val="clear" w:color="auto" w:fill="D5EEEE"/>
          </w:tcPr>
          <w:p>
            <w:pPr>
              <w:spacing w:after="0"/>
              <w:rPr>
                <w:sz w:val="19"/>
                <w:szCs w:val="19"/>
                <w:color w:val="auto"/>
              </w:rPr>
            </w:pPr>
          </w:p>
        </w:tc>
        <w:tc>
          <w:tcPr>
            <w:tcW w:w="12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2,341</w:t>
            </w:r>
          </w:p>
        </w:tc>
        <w:tc>
          <w:tcPr>
            <w:tcW w:w="80" w:type="dxa"/>
            <w:vAlign w:val="bottom"/>
            <w:tcBorders>
              <w:bottom w:val="single" w:sz="8" w:color="auto"/>
            </w:tcBorders>
            <w:shd w:val="clear" w:color="auto" w:fill="D5EEEE"/>
          </w:tcPr>
          <w:p>
            <w:pPr>
              <w:spacing w:after="0"/>
              <w:rPr>
                <w:sz w:val="19"/>
                <w:szCs w:val="19"/>
                <w:color w:val="auto"/>
              </w:rPr>
            </w:pPr>
          </w:p>
        </w:tc>
      </w:tr>
      <w:tr>
        <w:trPr>
          <w:trHeight w:val="265"/>
        </w:trPr>
        <w:tc>
          <w:tcPr>
            <w:tcW w:w="5700" w:type="dxa"/>
            <w:vAlign w:val="bottom"/>
          </w:tcPr>
          <w:p>
            <w:pPr>
              <w:spacing w:after="0"/>
              <w:rPr>
                <w:sz w:val="20"/>
                <w:szCs w:val="20"/>
                <w:color w:val="auto"/>
              </w:rPr>
            </w:pPr>
            <w:r>
              <w:rPr>
                <w:rFonts w:ascii="Times New Roman" w:cs="Times New Roman" w:eastAsia="Times New Roman" w:hAnsi="Times New Roman"/>
                <w:sz w:val="19"/>
                <w:szCs w:val="19"/>
                <w:color w:val="auto"/>
              </w:rPr>
              <w:t>Net loss and comprehensive loss</w:t>
            </w:r>
          </w:p>
        </w:tc>
        <w:tc>
          <w:tcPr>
            <w:tcW w:w="1200" w:type="dxa"/>
            <w:vAlign w:val="bottom"/>
            <w:gridSpan w:val="2"/>
          </w:tcPr>
          <w:p>
            <w:pPr>
              <w:jc w:val="right"/>
              <w:ind w:right="186"/>
              <w:spacing w:after="0"/>
              <w:rPr>
                <w:sz w:val="20"/>
                <w:szCs w:val="20"/>
                <w:color w:val="auto"/>
              </w:rPr>
            </w:pPr>
            <w:r>
              <w:rPr>
                <w:rFonts w:ascii="Times New Roman" w:cs="Times New Roman" w:eastAsia="Times New Roman" w:hAnsi="Times New Roman"/>
                <w:sz w:val="19"/>
                <w:szCs w:val="19"/>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(35,036)</w:t>
            </w:r>
          </w:p>
        </w:tc>
        <w:tc>
          <w:tcPr>
            <w:tcW w:w="640" w:type="dxa"/>
            <w:vAlign w:val="bottom"/>
            <w:gridSpan w:val="2"/>
          </w:tcPr>
          <w:p>
            <w:pPr>
              <w:jc w:val="right"/>
              <w:ind w:right="186"/>
              <w:spacing w:after="0"/>
              <w:rPr>
                <w:sz w:val="20"/>
                <w:szCs w:val="20"/>
                <w:color w:val="auto"/>
              </w:rPr>
            </w:pPr>
            <w:r>
              <w:rPr>
                <w:rFonts w:ascii="Times New Roman" w:cs="Times New Roman" w:eastAsia="Times New Roman" w:hAnsi="Times New Roman"/>
                <w:sz w:val="19"/>
                <w:szCs w:val="19"/>
                <w:color w:val="auto"/>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(58,241)</w:t>
            </w:r>
          </w:p>
        </w:tc>
      </w:tr>
      <w:tr>
        <w:trPr>
          <w:trHeight w:val="233"/>
        </w:trPr>
        <w:tc>
          <w:tcPr>
            <w:tcW w:w="5700" w:type="dxa"/>
            <w:vAlign w:val="bottom"/>
            <w:tcBorders>
              <w:top w:val="single" w:sz="8" w:color="D5EEEE"/>
              <w:bottom w:val="single" w:sz="8" w:color="D5EEEE"/>
            </w:tcBorders>
            <w:shd w:val="clear" w:color="auto" w:fill="D5EEEE"/>
          </w:tcPr>
          <w:p>
            <w:pPr>
              <w:spacing w:after="0" w:line="213" w:lineRule="exact"/>
              <w:rPr>
                <w:sz w:val="20"/>
                <w:szCs w:val="20"/>
                <w:color w:val="auto"/>
              </w:rPr>
            </w:pPr>
            <w:r>
              <w:rPr>
                <w:rFonts w:ascii="Times New Roman" w:cs="Times New Roman" w:eastAsia="Times New Roman" w:hAnsi="Times New Roman"/>
                <w:sz w:val="19"/>
                <w:szCs w:val="19"/>
                <w:color w:val="auto"/>
              </w:rPr>
              <w:t>Net loss per share, basic and diluted</w:t>
            </w:r>
          </w:p>
        </w:tc>
        <w:tc>
          <w:tcPr>
            <w:tcW w:w="820" w:type="dxa"/>
            <w:vAlign w:val="bottom"/>
            <w:tcBorders>
              <w:top w:val="single" w:sz="8" w:color="D5EEEE"/>
              <w:bottom w:val="single" w:sz="8" w:color="D5EEEE"/>
            </w:tcBorders>
            <w:shd w:val="clear" w:color="auto" w:fill="D5EEEE"/>
          </w:tcPr>
          <w:p>
            <w:pPr>
              <w:spacing w:after="0"/>
              <w:rPr>
                <w:sz w:val="20"/>
                <w:szCs w:val="20"/>
                <w:color w:val="auto"/>
              </w:rPr>
            </w:pPr>
          </w:p>
        </w:tc>
        <w:tc>
          <w:tcPr>
            <w:tcW w:w="380" w:type="dxa"/>
            <w:vAlign w:val="bottom"/>
            <w:tcBorders>
              <w:top w:val="single" w:sz="8" w:color="auto"/>
              <w:bottom w:val="single" w:sz="8" w:color="auto"/>
            </w:tcBorders>
            <w:shd w:val="clear" w:color="auto" w:fill="D5EEEE"/>
          </w:tcPr>
          <w:p>
            <w:pPr>
              <w:jc w:val="right"/>
              <w:ind w:right="186"/>
              <w:spacing w:after="0" w:line="213" w:lineRule="exact"/>
              <w:rPr>
                <w:sz w:val="20"/>
                <w:szCs w:val="20"/>
                <w:color w:val="auto"/>
              </w:rPr>
            </w:pPr>
            <w:r>
              <w:rPr>
                <w:rFonts w:ascii="Times New Roman" w:cs="Times New Roman" w:eastAsia="Times New Roman" w:hAnsi="Times New Roman"/>
                <w:sz w:val="19"/>
                <w:szCs w:val="19"/>
                <w:color w:val="auto"/>
                <w:w w:val="83"/>
              </w:rPr>
              <w:t>$</w:t>
            </w:r>
          </w:p>
        </w:tc>
        <w:tc>
          <w:tcPr>
            <w:tcW w:w="1340" w:type="dxa"/>
            <w:vAlign w:val="bottom"/>
            <w:tcBorders>
              <w:top w:val="single" w:sz="8" w:color="auto"/>
              <w:bottom w:val="single" w:sz="8" w:color="auto"/>
            </w:tcBorders>
            <w:shd w:val="clear" w:color="auto" w:fill="D5EEEE"/>
          </w:tcPr>
          <w:p>
            <w:pPr>
              <w:jc w:val="right"/>
              <w:spacing w:after="0" w:line="213" w:lineRule="exact"/>
              <w:rPr>
                <w:sz w:val="20"/>
                <w:szCs w:val="20"/>
                <w:color w:val="auto"/>
              </w:rPr>
            </w:pPr>
            <w:r>
              <w:rPr>
                <w:rFonts w:ascii="Times New Roman" w:cs="Times New Roman" w:eastAsia="Times New Roman" w:hAnsi="Times New Roman"/>
                <w:sz w:val="19"/>
                <w:szCs w:val="19"/>
                <w:color w:val="auto"/>
              </w:rPr>
              <w:t>(4.19)</w:t>
            </w:r>
          </w:p>
        </w:tc>
        <w:tc>
          <w:tcPr>
            <w:tcW w:w="260" w:type="dxa"/>
            <w:vAlign w:val="bottom"/>
            <w:tcBorders>
              <w:top w:val="single" w:sz="8" w:color="D5EEEE"/>
              <w:bottom w:val="single" w:sz="8" w:color="D5EEEE"/>
            </w:tcBorders>
            <w:shd w:val="clear" w:color="auto" w:fill="D5EEEE"/>
          </w:tcPr>
          <w:p>
            <w:pPr>
              <w:spacing w:after="0"/>
              <w:rPr>
                <w:sz w:val="20"/>
                <w:szCs w:val="20"/>
                <w:color w:val="auto"/>
              </w:rPr>
            </w:pPr>
          </w:p>
        </w:tc>
        <w:tc>
          <w:tcPr>
            <w:tcW w:w="380" w:type="dxa"/>
            <w:vAlign w:val="bottom"/>
            <w:tcBorders>
              <w:top w:val="single" w:sz="8" w:color="auto"/>
              <w:bottom w:val="single" w:sz="8" w:color="auto"/>
            </w:tcBorders>
            <w:shd w:val="clear" w:color="auto" w:fill="D5EEEE"/>
          </w:tcPr>
          <w:p>
            <w:pPr>
              <w:jc w:val="right"/>
              <w:ind w:right="186"/>
              <w:spacing w:after="0" w:line="213" w:lineRule="exact"/>
              <w:rPr>
                <w:sz w:val="20"/>
                <w:szCs w:val="20"/>
                <w:color w:val="auto"/>
              </w:rPr>
            </w:pPr>
            <w:r>
              <w:rPr>
                <w:rFonts w:ascii="Times New Roman" w:cs="Times New Roman" w:eastAsia="Times New Roman" w:hAnsi="Times New Roman"/>
                <w:sz w:val="19"/>
                <w:szCs w:val="19"/>
                <w:color w:val="auto"/>
                <w:w w:val="83"/>
              </w:rPr>
              <w:t>$</w:t>
            </w:r>
          </w:p>
        </w:tc>
        <w:tc>
          <w:tcPr>
            <w:tcW w:w="1320" w:type="dxa"/>
            <w:vAlign w:val="bottom"/>
            <w:tcBorders>
              <w:top w:val="single" w:sz="8" w:color="auto"/>
              <w:bottom w:val="single" w:sz="8" w:color="auto"/>
            </w:tcBorders>
            <w:gridSpan w:val="2"/>
            <w:shd w:val="clear" w:color="auto" w:fill="D5EEEE"/>
          </w:tcPr>
          <w:p>
            <w:pPr>
              <w:jc w:val="right"/>
              <w:ind w:right="20"/>
              <w:spacing w:after="0" w:line="213" w:lineRule="exact"/>
              <w:rPr>
                <w:sz w:val="20"/>
                <w:szCs w:val="20"/>
                <w:color w:val="auto"/>
              </w:rPr>
            </w:pPr>
            <w:r>
              <w:rPr>
                <w:rFonts w:ascii="Times New Roman" w:cs="Times New Roman" w:eastAsia="Times New Roman" w:hAnsi="Times New Roman"/>
                <w:sz w:val="19"/>
                <w:szCs w:val="19"/>
                <w:color w:val="auto"/>
              </w:rPr>
              <w:t>(15.24)</w:t>
            </w:r>
          </w:p>
        </w:tc>
      </w:tr>
      <w:tr>
        <w:trPr>
          <w:trHeight w:val="20"/>
        </w:trPr>
        <w:tc>
          <w:tcPr>
            <w:tcW w:w="5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193"/>
        </w:trPr>
        <w:tc>
          <w:tcPr>
            <w:tcW w:w="5700" w:type="dxa"/>
            <w:vAlign w:val="bottom"/>
          </w:tcPr>
          <w:p>
            <w:pPr>
              <w:spacing w:after="0" w:line="193" w:lineRule="exact"/>
              <w:rPr>
                <w:sz w:val="20"/>
                <w:szCs w:val="20"/>
                <w:color w:val="auto"/>
              </w:rPr>
            </w:pPr>
            <w:r>
              <w:rPr>
                <w:rFonts w:ascii="Times New Roman" w:cs="Times New Roman" w:eastAsia="Times New Roman" w:hAnsi="Times New Roman"/>
                <w:sz w:val="19"/>
                <w:szCs w:val="19"/>
                <w:color w:val="auto"/>
              </w:rPr>
              <w:t>Weighted average common shares outstanding, basic and diluted</w:t>
            </w:r>
          </w:p>
        </w:tc>
        <w:tc>
          <w:tcPr>
            <w:tcW w:w="8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8"/>
              <w:spacing w:after="0" w:line="193" w:lineRule="exact"/>
              <w:rPr>
                <w:sz w:val="20"/>
                <w:szCs w:val="20"/>
                <w:color w:val="auto"/>
              </w:rPr>
            </w:pPr>
            <w:r>
              <w:rPr>
                <w:rFonts w:ascii="Times New Roman" w:cs="Times New Roman" w:eastAsia="Times New Roman" w:hAnsi="Times New Roman"/>
                <w:sz w:val="19"/>
                <w:szCs w:val="19"/>
                <w:color w:val="auto"/>
              </w:rPr>
              <w:t>8,359,109</w:t>
            </w:r>
          </w:p>
        </w:tc>
        <w:tc>
          <w:tcPr>
            <w:tcW w:w="2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9"/>
                <w:szCs w:val="19"/>
                <w:color w:val="auto"/>
              </w:rPr>
              <w:t>3,822,244</w:t>
            </w:r>
          </w:p>
        </w:tc>
        <w:tc>
          <w:tcPr>
            <w:tcW w:w="80" w:type="dxa"/>
            <w:vAlign w:val="bottom"/>
            <w:tcBorders>
              <w:bottom w:val="single" w:sz="8" w:color="auto"/>
            </w:tcBorders>
          </w:tcPr>
          <w:p>
            <w:pPr>
              <w:spacing w:after="0"/>
              <w:rPr>
                <w:sz w:val="16"/>
                <w:szCs w:val="16"/>
                <w:color w:val="auto"/>
              </w:rPr>
            </w:pPr>
          </w:p>
        </w:tc>
      </w:tr>
      <w:tr>
        <w:trPr>
          <w:trHeight w:val="20"/>
        </w:trPr>
        <w:tc>
          <w:tcPr>
            <w:tcW w:w="5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4121785</wp:posOffset>
            </wp:positionH>
            <wp:positionV relativeFrom="paragraph">
              <wp:posOffset>-2607945</wp:posOffset>
            </wp:positionV>
            <wp:extent cx="2322195" cy="36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2">
                      <a:extLst>
                        <a:ext uri="{28A0092B-C50C-407E-A947-70E740481C1C}"/>
                      </a:extLst>
                    </a:blip>
                    <a:srcRect/>
                    <a:stretch>
                      <a:fillRect/>
                    </a:stretch>
                  </pic:blipFill>
                  <pic:spPr bwMode="auto">
                    <a:xfrm>
                      <a:off x="0" y="0"/>
                      <a:ext cx="2322195" cy="36195"/>
                    </a:xfrm>
                    <a:prstGeom prst="rect">
                      <a:avLst/>
                    </a:prstGeom>
                    <a:noFill/>
                  </pic:spPr>
                </pic:pic>
              </a:graphicData>
            </a:graphic>
          </wp:anchor>
        </w:drawing>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The accompanying notes are an integral part of these consolidated financial statements.</w:t>
      </w:r>
    </w:p>
    <w:p>
      <w:pPr>
        <w:sectPr>
          <w:pgSz w:w="12240" w:h="15840" w:orient="portrait"/>
          <w:cols w:equalWidth="0" w:num="1">
            <w:col w:w="10200"/>
          </w:cols>
          <w:pgMar w:left="1020" w:top="1335" w:right="1020" w:bottom="5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F-4</w:t>
      </w:r>
    </w:p>
    <w:p>
      <w:pPr>
        <w:sectPr>
          <w:pgSz w:w="12240" w:h="15840" w:orient="portrait"/>
          <w:cols w:equalWidth="0" w:num="1">
            <w:col w:w="10200"/>
          </w:cols>
          <w:pgMar w:left="1020" w:top="1335" w:right="1020" w:bottom="556" w:gutter="0" w:footer="0" w:header="0"/>
          <w:type w:val="continuous"/>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9"/>
          <w:szCs w:val="19"/>
          <w:b w:val="1"/>
          <w:bCs w:val="1"/>
          <w:color w:val="auto"/>
        </w:rPr>
        <w:t>XILIO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CONSOLIDATED STATEMENTS OF</w:t>
      </w:r>
    </w:p>
    <w:p>
      <w:pPr>
        <w:jc w:val="center"/>
        <w:spacing w:after="0" w:line="238" w:lineRule="auto"/>
        <w:rPr>
          <w:sz w:val="20"/>
          <w:szCs w:val="20"/>
          <w:color w:val="auto"/>
        </w:rPr>
      </w:pPr>
      <w:r>
        <w:rPr>
          <w:rFonts w:ascii="Times New Roman" w:cs="Times New Roman" w:eastAsia="Times New Roman" w:hAnsi="Times New Roman"/>
          <w:sz w:val="19"/>
          <w:szCs w:val="19"/>
          <w:b w:val="1"/>
          <w:bCs w:val="1"/>
          <w:color w:val="auto"/>
        </w:rPr>
        <w:t>STOCKHOLDERS’ EQUITY</w:t>
      </w:r>
    </w:p>
    <w:p>
      <w:pPr>
        <w:jc w:val="center"/>
        <w:spacing w:after="0"/>
        <w:rPr>
          <w:sz w:val="20"/>
          <w:szCs w:val="20"/>
          <w:color w:val="auto"/>
        </w:rPr>
      </w:pPr>
      <w:r>
        <w:rPr>
          <w:rFonts w:ascii="Times New Roman" w:cs="Times New Roman" w:eastAsia="Times New Roman" w:hAnsi="Times New Roman"/>
          <w:sz w:val="19"/>
          <w:szCs w:val="19"/>
          <w:b w:val="1"/>
          <w:bCs w:val="1"/>
          <w:color w:val="auto"/>
        </w:rPr>
        <w:t>(In thousands, except share data)</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right"/>
              <w:ind w:right="378"/>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tcPr>
          <w:p>
            <w:pPr>
              <w:jc w:val="center"/>
              <w:ind w:right="236"/>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187"/>
        </w:trPr>
        <w:tc>
          <w:tcPr>
            <w:tcW w:w="4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720" w:type="dxa"/>
            <w:vAlign w:val="bottom"/>
            <w:gridSpan w:val="4"/>
          </w:tcPr>
          <w:p>
            <w:pPr>
              <w:jc w:val="right"/>
              <w:ind w:right="681"/>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ind w:right="478"/>
              <w:spacing w:after="0"/>
              <w:rPr>
                <w:sz w:val="20"/>
                <w:szCs w:val="20"/>
                <w:color w:val="auto"/>
              </w:rPr>
            </w:pPr>
            <w:r>
              <w:rPr>
                <w:rFonts w:ascii="Times New Roman" w:cs="Times New Roman" w:eastAsia="Times New Roman" w:hAnsi="Times New Roman"/>
                <w:sz w:val="15"/>
                <w:szCs w:val="15"/>
                <w:b w:val="1"/>
                <w:bCs w:val="1"/>
                <w:color w:val="auto"/>
              </w:rPr>
              <w:t>Paid-In</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right"/>
              <w:ind w:right="356"/>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jc w:val="center"/>
              <w:ind w:right="236"/>
              <w:spacing w:after="0"/>
              <w:rPr>
                <w:sz w:val="20"/>
                <w:szCs w:val="20"/>
                <w:color w:val="auto"/>
              </w:rPr>
            </w:pPr>
            <w:r>
              <w:rPr>
                <w:rFonts w:ascii="Times New Roman" w:cs="Times New Roman" w:eastAsia="Times New Roman" w:hAnsi="Times New Roman"/>
                <w:sz w:val="15"/>
                <w:szCs w:val="15"/>
                <w:b w:val="1"/>
                <w:bCs w:val="1"/>
                <w:color w:val="auto"/>
                <w:w w:val="99"/>
              </w:rPr>
              <w:t>Stockholders’</w:t>
            </w:r>
          </w:p>
        </w:tc>
      </w:tr>
      <w:tr>
        <w:trPr>
          <w:trHeight w:val="201"/>
        </w:trPr>
        <w:tc>
          <w:tcPr>
            <w:tcW w:w="4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jc w:val="right"/>
              <w:ind w:right="419"/>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jc w:val="right"/>
              <w:ind w:right="101"/>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ind w:right="478"/>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ind w:right="576"/>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center"/>
              <w:ind w:right="236"/>
              <w:spacing w:after="0"/>
              <w:rPr>
                <w:sz w:val="20"/>
                <w:szCs w:val="20"/>
                <w:color w:val="auto"/>
              </w:rPr>
            </w:pPr>
            <w:r>
              <w:rPr>
                <w:rFonts w:ascii="Times New Roman" w:cs="Times New Roman" w:eastAsia="Times New Roman" w:hAnsi="Times New Roman"/>
                <w:sz w:val="15"/>
                <w:szCs w:val="15"/>
                <w:b w:val="1"/>
                <w:bCs w:val="1"/>
                <w:color w:val="auto"/>
              </w:rPr>
              <w:t>Equity</w:t>
            </w:r>
          </w:p>
        </w:tc>
      </w:tr>
      <w:tr>
        <w:trPr>
          <w:trHeight w:val="47"/>
        </w:trPr>
        <w:tc>
          <w:tcPr>
            <w:tcW w:w="4720" w:type="dxa"/>
            <w:vAlign w:val="bottom"/>
            <w:tcBorders>
              <w:bottom w:val="single" w:sz="8" w:color="D5EEEE"/>
            </w:tcBorders>
          </w:tcPr>
          <w:p>
            <w:pPr>
              <w:spacing w:after="0"/>
              <w:rPr>
                <w:sz w:val="4"/>
                <w:szCs w:val="4"/>
                <w:color w:val="auto"/>
              </w:rPr>
            </w:pPr>
          </w:p>
        </w:tc>
        <w:tc>
          <w:tcPr>
            <w:tcW w:w="20" w:type="dxa"/>
            <w:vAlign w:val="bottom"/>
            <w:tcBorders>
              <w:bottom w:val="single" w:sz="8" w:color="D5EEEE"/>
            </w:tcBorders>
          </w:tcPr>
          <w:p>
            <w:pPr>
              <w:spacing w:after="0"/>
              <w:rPr>
                <w:sz w:val="4"/>
                <w:szCs w:val="4"/>
                <w:color w:val="auto"/>
              </w:rPr>
            </w:pPr>
          </w:p>
        </w:tc>
        <w:tc>
          <w:tcPr>
            <w:tcW w:w="20" w:type="dxa"/>
            <w:vAlign w:val="bottom"/>
            <w:tcBorders>
              <w:bottom w:val="single" w:sz="8" w:color="D5EEEE"/>
            </w:tcBorders>
          </w:tcPr>
          <w:p>
            <w:pPr>
              <w:spacing w:after="0"/>
              <w:rPr>
                <w:sz w:val="4"/>
                <w:szCs w:val="4"/>
                <w:color w:val="auto"/>
              </w:rPr>
            </w:pPr>
          </w:p>
        </w:tc>
        <w:tc>
          <w:tcPr>
            <w:tcW w:w="20" w:type="dxa"/>
            <w:vAlign w:val="bottom"/>
            <w:tcBorders>
              <w:bottom w:val="single" w:sz="8" w:color="D5EEEE"/>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300" w:type="dxa"/>
            <w:vAlign w:val="bottom"/>
            <w:tcBorders>
              <w:bottom w:val="single" w:sz="8" w:color="D5EEEE"/>
            </w:tcBorders>
          </w:tcPr>
          <w:p>
            <w:pPr>
              <w:spacing w:after="0"/>
              <w:rPr>
                <w:sz w:val="4"/>
                <w:szCs w:val="4"/>
                <w:color w:val="auto"/>
              </w:rPr>
            </w:pPr>
          </w:p>
        </w:tc>
        <w:tc>
          <w:tcPr>
            <w:tcW w:w="20" w:type="dxa"/>
            <w:vAlign w:val="bottom"/>
            <w:tcBorders>
              <w:bottom w:val="single" w:sz="8" w:color="D5EEEE"/>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300" w:type="dxa"/>
            <w:vAlign w:val="bottom"/>
            <w:tcBorders>
              <w:bottom w:val="single" w:sz="8" w:color="D5EEEE"/>
            </w:tcBorders>
          </w:tcPr>
          <w:p>
            <w:pPr>
              <w:spacing w:after="0"/>
              <w:rPr>
                <w:sz w:val="4"/>
                <w:szCs w:val="4"/>
                <w:color w:val="auto"/>
              </w:rPr>
            </w:pPr>
          </w:p>
        </w:tc>
        <w:tc>
          <w:tcPr>
            <w:tcW w:w="20" w:type="dxa"/>
            <w:vAlign w:val="bottom"/>
            <w:tcBorders>
              <w:bottom w:val="single" w:sz="8" w:color="D5EEEE"/>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300" w:type="dxa"/>
            <w:vAlign w:val="bottom"/>
            <w:tcBorders>
              <w:bottom w:val="single" w:sz="8" w:color="D5EEEE"/>
            </w:tcBorders>
          </w:tcPr>
          <w:p>
            <w:pPr>
              <w:spacing w:after="0"/>
              <w:rPr>
                <w:sz w:val="4"/>
                <w:szCs w:val="4"/>
                <w:color w:val="auto"/>
              </w:rPr>
            </w:pPr>
          </w:p>
        </w:tc>
        <w:tc>
          <w:tcPr>
            <w:tcW w:w="20" w:type="dxa"/>
            <w:vAlign w:val="bottom"/>
            <w:tcBorders>
              <w:bottom w:val="single" w:sz="8" w:color="D5EEEE"/>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300" w:type="dxa"/>
            <w:vAlign w:val="bottom"/>
            <w:tcBorders>
              <w:bottom w:val="single" w:sz="8" w:color="D5EEEE"/>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r>
      <w:tr>
        <w:trPr>
          <w:trHeight w:val="163"/>
        </w:trPr>
        <w:tc>
          <w:tcPr>
            <w:tcW w:w="4780" w:type="dxa"/>
            <w:vAlign w:val="bottom"/>
            <w:tcBorders>
              <w:top w:val="single" w:sz="8" w:color="D5EEEE"/>
              <w:bottom w:val="single" w:sz="8" w:color="D5EEEE"/>
            </w:tcBorders>
            <w:gridSpan w:val="4"/>
            <w:shd w:val="clear" w:color="auto" w:fill="D5EEEE"/>
          </w:tcPr>
          <w:p>
            <w:pPr>
              <w:spacing w:after="0" w:line="152" w:lineRule="exact"/>
              <w:rPr>
                <w:sz w:val="20"/>
                <w:szCs w:val="20"/>
                <w:color w:val="auto"/>
              </w:rPr>
            </w:pPr>
            <w:r>
              <w:rPr>
                <w:rFonts w:ascii="Times New Roman" w:cs="Times New Roman" w:eastAsia="Times New Roman" w:hAnsi="Times New Roman"/>
                <w:sz w:val="17"/>
                <w:szCs w:val="17"/>
                <w:b w:val="1"/>
                <w:bCs w:val="1"/>
                <w:color w:val="auto"/>
              </w:rPr>
              <w:t>Balance at December 31, 2023</w:t>
            </w:r>
          </w:p>
        </w:tc>
        <w:tc>
          <w:tcPr>
            <w:tcW w:w="1280" w:type="dxa"/>
            <w:vAlign w:val="bottom"/>
            <w:tcBorders>
              <w:top w:val="single" w:sz="8" w:color="auto"/>
              <w:bottom w:val="single" w:sz="8" w:color="D5EEEE"/>
            </w:tcBorders>
            <w:shd w:val="clear" w:color="auto" w:fill="D5EEEE"/>
          </w:tcPr>
          <w:p>
            <w:pPr>
              <w:jc w:val="right"/>
              <w:spacing w:after="0" w:line="161" w:lineRule="exact"/>
              <w:rPr>
                <w:sz w:val="20"/>
                <w:szCs w:val="20"/>
                <w:color w:val="auto"/>
              </w:rPr>
            </w:pPr>
            <w:r>
              <w:rPr>
                <w:rFonts w:ascii="Times New Roman" w:cs="Times New Roman" w:eastAsia="Times New Roman" w:hAnsi="Times New Roman"/>
                <w:sz w:val="17"/>
                <w:szCs w:val="17"/>
                <w:color w:val="auto"/>
              </w:rPr>
              <w:t>1,971,974</w:t>
            </w:r>
          </w:p>
        </w:tc>
        <w:tc>
          <w:tcPr>
            <w:tcW w:w="300" w:type="dxa"/>
            <w:vAlign w:val="bottom"/>
            <w:tcBorders>
              <w:top w:val="single" w:sz="8" w:color="D5EEEE"/>
              <w:bottom w:val="single" w:sz="8" w:color="D5EEEE"/>
            </w:tcBorders>
            <w:shd w:val="clear" w:color="auto" w:fill="D5EEEE"/>
          </w:tcPr>
          <w:p>
            <w:pPr>
              <w:spacing w:after="0"/>
              <w:rPr>
                <w:sz w:val="14"/>
                <w:szCs w:val="14"/>
                <w:color w:val="auto"/>
              </w:rPr>
            </w:pPr>
          </w:p>
        </w:tc>
        <w:tc>
          <w:tcPr>
            <w:tcW w:w="20" w:type="dxa"/>
            <w:vAlign w:val="bottom"/>
            <w:tcBorders>
              <w:top w:val="single" w:sz="8" w:color="D5EEEE"/>
              <w:bottom w:val="single" w:sz="8" w:color="D5EEEE"/>
            </w:tcBorders>
            <w:shd w:val="clear" w:color="auto" w:fill="D5EEEE"/>
          </w:tcPr>
          <w:p>
            <w:pPr>
              <w:spacing w:after="0"/>
              <w:rPr>
                <w:sz w:val="14"/>
                <w:szCs w:val="14"/>
                <w:color w:val="auto"/>
              </w:rPr>
            </w:pPr>
          </w:p>
        </w:tc>
        <w:tc>
          <w:tcPr>
            <w:tcW w:w="1120" w:type="dxa"/>
            <w:vAlign w:val="bottom"/>
            <w:tcBorders>
              <w:top w:val="single" w:sz="8" w:color="auto"/>
              <w:bottom w:val="single" w:sz="8" w:color="D5EEEE"/>
            </w:tcBorders>
            <w:shd w:val="clear" w:color="auto" w:fill="D5EEEE"/>
          </w:tcPr>
          <w:p>
            <w:pPr>
              <w:jc w:val="right"/>
              <w:ind w:right="1001"/>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bottom w:val="single" w:sz="8" w:color="D5EEEE"/>
            </w:tcBorders>
            <w:shd w:val="clear" w:color="auto" w:fill="D5EEEE"/>
          </w:tcPr>
          <w:p>
            <w:pPr>
              <w:jc w:val="right"/>
              <w:spacing w:after="0" w:line="161" w:lineRule="exact"/>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top w:val="single" w:sz="8" w:color="D5EEEE"/>
              <w:bottom w:val="single" w:sz="8" w:color="D5EEEE"/>
            </w:tcBorders>
            <w:shd w:val="clear" w:color="auto" w:fill="D5EEEE"/>
          </w:tcPr>
          <w:p>
            <w:pPr>
              <w:spacing w:after="0"/>
              <w:rPr>
                <w:sz w:val="14"/>
                <w:szCs w:val="14"/>
                <w:color w:val="auto"/>
              </w:rPr>
            </w:pPr>
          </w:p>
        </w:tc>
        <w:tc>
          <w:tcPr>
            <w:tcW w:w="20" w:type="dxa"/>
            <w:vAlign w:val="bottom"/>
            <w:tcBorders>
              <w:top w:val="single" w:sz="8" w:color="D5EEEE"/>
              <w:bottom w:val="single" w:sz="8" w:color="D5EEEE"/>
            </w:tcBorders>
            <w:shd w:val="clear" w:color="auto" w:fill="D5EEEE"/>
          </w:tcPr>
          <w:p>
            <w:pPr>
              <w:spacing w:after="0"/>
              <w:rPr>
                <w:sz w:val="14"/>
                <w:szCs w:val="14"/>
                <w:color w:val="auto"/>
              </w:rPr>
            </w:pPr>
          </w:p>
        </w:tc>
        <w:tc>
          <w:tcPr>
            <w:tcW w:w="220" w:type="dxa"/>
            <w:vAlign w:val="bottom"/>
            <w:tcBorders>
              <w:top w:val="single" w:sz="8" w:color="auto"/>
              <w:bottom w:val="single" w:sz="8" w:color="D5EEEE"/>
            </w:tcBorders>
            <w:shd w:val="clear" w:color="auto" w:fill="D5EEEE"/>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bottom w:val="single" w:sz="8" w:color="D5EEEE"/>
            </w:tcBorders>
            <w:shd w:val="clear" w:color="auto" w:fill="D5EEEE"/>
          </w:tcPr>
          <w:p>
            <w:pPr>
              <w:jc w:val="right"/>
              <w:spacing w:after="0" w:line="161" w:lineRule="exact"/>
              <w:rPr>
                <w:sz w:val="20"/>
                <w:szCs w:val="20"/>
                <w:color w:val="auto"/>
              </w:rPr>
            </w:pPr>
            <w:r>
              <w:rPr>
                <w:rFonts w:ascii="Times New Roman" w:cs="Times New Roman" w:eastAsia="Times New Roman" w:hAnsi="Times New Roman"/>
                <w:sz w:val="17"/>
                <w:szCs w:val="17"/>
                <w:color w:val="auto"/>
              </w:rPr>
              <w:t>362,339</w:t>
            </w:r>
          </w:p>
        </w:tc>
        <w:tc>
          <w:tcPr>
            <w:tcW w:w="300" w:type="dxa"/>
            <w:vAlign w:val="bottom"/>
            <w:tcBorders>
              <w:top w:val="single" w:sz="8" w:color="D5EEEE"/>
              <w:bottom w:val="single" w:sz="8" w:color="D5EEEE"/>
            </w:tcBorders>
            <w:shd w:val="clear" w:color="auto" w:fill="D5EEEE"/>
          </w:tcPr>
          <w:p>
            <w:pPr>
              <w:spacing w:after="0"/>
              <w:rPr>
                <w:sz w:val="14"/>
                <w:szCs w:val="14"/>
                <w:color w:val="auto"/>
              </w:rPr>
            </w:pPr>
          </w:p>
        </w:tc>
        <w:tc>
          <w:tcPr>
            <w:tcW w:w="20" w:type="dxa"/>
            <w:vAlign w:val="bottom"/>
            <w:tcBorders>
              <w:top w:val="single" w:sz="8" w:color="D5EEEE"/>
              <w:bottom w:val="single" w:sz="8" w:color="D5EEEE"/>
            </w:tcBorders>
            <w:shd w:val="clear" w:color="auto" w:fill="D5EEEE"/>
          </w:tcPr>
          <w:p>
            <w:pPr>
              <w:spacing w:after="0"/>
              <w:rPr>
                <w:sz w:val="14"/>
                <w:szCs w:val="14"/>
                <w:color w:val="auto"/>
              </w:rPr>
            </w:pPr>
          </w:p>
        </w:tc>
        <w:tc>
          <w:tcPr>
            <w:tcW w:w="160" w:type="dxa"/>
            <w:vAlign w:val="bottom"/>
            <w:tcBorders>
              <w:top w:val="single" w:sz="8" w:color="auto"/>
              <w:bottom w:val="single" w:sz="8" w:color="D5EEEE"/>
            </w:tcBorders>
            <w:shd w:val="clear" w:color="auto" w:fill="D5EEEE"/>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top w:val="single" w:sz="8" w:color="auto"/>
              <w:bottom w:val="single" w:sz="8" w:color="D5EEEE"/>
            </w:tcBorders>
            <w:shd w:val="clear" w:color="auto" w:fill="D5EEEE"/>
          </w:tcPr>
          <w:p>
            <w:pPr>
              <w:jc w:val="right"/>
              <w:spacing w:after="0" w:line="161" w:lineRule="exact"/>
              <w:rPr>
                <w:sz w:val="20"/>
                <w:szCs w:val="20"/>
                <w:color w:val="auto"/>
              </w:rPr>
            </w:pPr>
            <w:r>
              <w:rPr>
                <w:rFonts w:ascii="Times New Roman" w:cs="Times New Roman" w:eastAsia="Times New Roman" w:hAnsi="Times New Roman"/>
                <w:sz w:val="17"/>
                <w:szCs w:val="17"/>
                <w:color w:val="auto"/>
              </w:rPr>
              <w:t>(325,512)</w:t>
            </w:r>
          </w:p>
        </w:tc>
        <w:tc>
          <w:tcPr>
            <w:tcW w:w="300" w:type="dxa"/>
            <w:vAlign w:val="bottom"/>
            <w:tcBorders>
              <w:top w:val="single" w:sz="8" w:color="D5EEEE"/>
              <w:bottom w:val="single" w:sz="8" w:color="D5EEEE"/>
            </w:tcBorders>
            <w:shd w:val="clear" w:color="auto" w:fill="D5EEEE"/>
          </w:tcPr>
          <w:p>
            <w:pPr>
              <w:spacing w:after="0"/>
              <w:rPr>
                <w:sz w:val="14"/>
                <w:szCs w:val="14"/>
                <w:color w:val="auto"/>
              </w:rPr>
            </w:pPr>
          </w:p>
        </w:tc>
        <w:tc>
          <w:tcPr>
            <w:tcW w:w="20" w:type="dxa"/>
            <w:vAlign w:val="bottom"/>
            <w:tcBorders>
              <w:top w:val="single" w:sz="8" w:color="D5EEEE"/>
              <w:bottom w:val="single" w:sz="8" w:color="D5EEEE"/>
            </w:tcBorders>
            <w:shd w:val="clear" w:color="auto" w:fill="D5EEEE"/>
          </w:tcPr>
          <w:p>
            <w:pPr>
              <w:spacing w:after="0"/>
              <w:rPr>
                <w:sz w:val="14"/>
                <w:szCs w:val="14"/>
                <w:color w:val="auto"/>
              </w:rPr>
            </w:pPr>
          </w:p>
        </w:tc>
        <w:tc>
          <w:tcPr>
            <w:tcW w:w="200" w:type="dxa"/>
            <w:vAlign w:val="bottom"/>
            <w:tcBorders>
              <w:bottom w:val="single" w:sz="8" w:color="D5EEEE"/>
            </w:tcBorders>
            <w:shd w:val="clear" w:color="auto" w:fill="D5EEEE"/>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Borders>
              <w:bottom w:val="single" w:sz="8" w:color="D5EEEE"/>
            </w:tcBorders>
            <w:shd w:val="clear" w:color="auto" w:fill="D5EEEE"/>
          </w:tcPr>
          <w:p>
            <w:pPr>
              <w:jc w:val="right"/>
              <w:ind w:right="16"/>
              <w:spacing w:after="0" w:line="161" w:lineRule="exact"/>
              <w:rPr>
                <w:sz w:val="20"/>
                <w:szCs w:val="20"/>
                <w:color w:val="auto"/>
              </w:rPr>
            </w:pPr>
            <w:r>
              <w:rPr>
                <w:rFonts w:ascii="Times New Roman" w:cs="Times New Roman" w:eastAsia="Times New Roman" w:hAnsi="Times New Roman"/>
                <w:sz w:val="17"/>
                <w:szCs w:val="17"/>
                <w:color w:val="auto"/>
              </w:rPr>
              <w:t>36,827</w:t>
            </w:r>
          </w:p>
        </w:tc>
      </w:tr>
      <w:tr>
        <w:trPr>
          <w:trHeight w:val="186"/>
        </w:trPr>
        <w:tc>
          <w:tcPr>
            <w:tcW w:w="4780" w:type="dxa"/>
            <w:vAlign w:val="bottom"/>
            <w:gridSpan w:val="4"/>
          </w:tcPr>
          <w:p>
            <w:pPr>
              <w:spacing w:after="0" w:line="186" w:lineRule="exact"/>
              <w:rPr>
                <w:sz w:val="20"/>
                <w:szCs w:val="20"/>
                <w:color w:val="auto"/>
              </w:rPr>
            </w:pPr>
            <w:r>
              <w:rPr>
                <w:rFonts w:ascii="Times New Roman" w:cs="Times New Roman" w:eastAsia="Times New Roman" w:hAnsi="Times New Roman"/>
                <w:sz w:val="17"/>
                <w:szCs w:val="17"/>
                <w:color w:val="auto"/>
              </w:rPr>
              <w:t>Issuance of common stock and prefunded warrants to Gilead</w:t>
            </w:r>
          </w:p>
        </w:tc>
        <w:tc>
          <w:tcPr>
            <w:tcW w:w="1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87"/>
        </w:trPr>
        <w:tc>
          <w:tcPr>
            <w:tcW w:w="4780" w:type="dxa"/>
            <w:vAlign w:val="bottom"/>
            <w:gridSpan w:val="4"/>
          </w:tcPr>
          <w:p>
            <w:pPr>
              <w:spacing w:after="0" w:line="187" w:lineRule="exact"/>
              <w:rPr>
                <w:sz w:val="20"/>
                <w:szCs w:val="20"/>
                <w:color w:val="auto"/>
              </w:rPr>
            </w:pPr>
            <w:r>
              <w:rPr>
                <w:rFonts w:ascii="Times New Roman" w:cs="Times New Roman" w:eastAsia="Times New Roman" w:hAnsi="Times New Roman"/>
                <w:sz w:val="17"/>
                <w:szCs w:val="17"/>
                <w:color w:val="auto"/>
              </w:rPr>
              <w:t>and certain accredited investors in private placements, net of</w:t>
            </w:r>
          </w:p>
        </w:tc>
        <w:tc>
          <w:tcPr>
            <w:tcW w:w="1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5"/>
        </w:trPr>
        <w:tc>
          <w:tcPr>
            <w:tcW w:w="47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issuance costs</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789,896</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25,680</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25,680</w:t>
            </w:r>
          </w:p>
        </w:tc>
      </w:tr>
      <w:tr>
        <w:trPr>
          <w:trHeight w:val="31"/>
        </w:trPr>
        <w:tc>
          <w:tcPr>
            <w:tcW w:w="47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86"/>
        </w:trPr>
        <w:tc>
          <w:tcPr>
            <w:tcW w:w="4780" w:type="dxa"/>
            <w:vAlign w:val="bottom"/>
            <w:gridSpan w:val="4"/>
            <w:shd w:val="clear" w:color="auto" w:fill="D5EEEE"/>
          </w:tcPr>
          <w:p>
            <w:pPr>
              <w:spacing w:after="0" w:line="186" w:lineRule="exact"/>
              <w:rPr>
                <w:sz w:val="20"/>
                <w:szCs w:val="20"/>
                <w:color w:val="auto"/>
              </w:rPr>
            </w:pPr>
            <w:r>
              <w:rPr>
                <w:rFonts w:ascii="Times New Roman" w:cs="Times New Roman" w:eastAsia="Times New Roman" w:hAnsi="Times New Roman"/>
                <w:sz w:val="17"/>
                <w:szCs w:val="17"/>
                <w:color w:val="auto"/>
              </w:rPr>
              <w:t>Issuance of common stock in connection with at-the-market</w:t>
            </w:r>
          </w:p>
        </w:tc>
        <w:tc>
          <w:tcPr>
            <w:tcW w:w="1280" w:type="dxa"/>
            <w:vAlign w:val="bottom"/>
            <w:shd w:val="clear" w:color="auto" w:fill="D5EEEE"/>
          </w:tcPr>
          <w:p>
            <w:pPr>
              <w:spacing w:after="0"/>
              <w:rPr>
                <w:sz w:val="16"/>
                <w:szCs w:val="16"/>
                <w:color w:val="auto"/>
              </w:rPr>
            </w:pPr>
          </w:p>
        </w:tc>
        <w:tc>
          <w:tcPr>
            <w:tcW w:w="300" w:type="dxa"/>
            <w:vAlign w:val="bottom"/>
            <w:shd w:val="clear" w:color="auto" w:fill="D5EEEE"/>
          </w:tcPr>
          <w:p>
            <w:pPr>
              <w:spacing w:after="0"/>
              <w:rPr>
                <w:sz w:val="16"/>
                <w:szCs w:val="16"/>
                <w:color w:val="auto"/>
              </w:rPr>
            </w:pPr>
          </w:p>
        </w:tc>
        <w:tc>
          <w:tcPr>
            <w:tcW w:w="20" w:type="dxa"/>
            <w:vAlign w:val="bottom"/>
            <w:shd w:val="clear" w:color="auto" w:fill="D5EEEE"/>
          </w:tcPr>
          <w:p>
            <w:pPr>
              <w:spacing w:after="0"/>
              <w:rPr>
                <w:sz w:val="16"/>
                <w:szCs w:val="16"/>
                <w:color w:val="auto"/>
              </w:rPr>
            </w:pPr>
          </w:p>
        </w:tc>
        <w:tc>
          <w:tcPr>
            <w:tcW w:w="1120" w:type="dxa"/>
            <w:vAlign w:val="bottom"/>
            <w:shd w:val="clear" w:color="auto" w:fill="D5EEEE"/>
          </w:tcPr>
          <w:p>
            <w:pPr>
              <w:spacing w:after="0"/>
              <w:rPr>
                <w:sz w:val="16"/>
                <w:szCs w:val="16"/>
                <w:color w:val="auto"/>
              </w:rPr>
            </w:pPr>
          </w:p>
        </w:tc>
        <w:tc>
          <w:tcPr>
            <w:tcW w:w="380" w:type="dxa"/>
            <w:vAlign w:val="bottom"/>
            <w:shd w:val="clear" w:color="auto" w:fill="D5EEEE"/>
          </w:tcPr>
          <w:p>
            <w:pPr>
              <w:spacing w:after="0"/>
              <w:rPr>
                <w:sz w:val="16"/>
                <w:szCs w:val="16"/>
                <w:color w:val="auto"/>
              </w:rPr>
            </w:pPr>
          </w:p>
        </w:tc>
        <w:tc>
          <w:tcPr>
            <w:tcW w:w="300" w:type="dxa"/>
            <w:vAlign w:val="bottom"/>
            <w:shd w:val="clear" w:color="auto" w:fill="D5EEEE"/>
          </w:tcPr>
          <w:p>
            <w:pPr>
              <w:spacing w:after="0"/>
              <w:rPr>
                <w:sz w:val="16"/>
                <w:szCs w:val="16"/>
                <w:color w:val="auto"/>
              </w:rPr>
            </w:pPr>
          </w:p>
        </w:tc>
        <w:tc>
          <w:tcPr>
            <w:tcW w:w="20" w:type="dxa"/>
            <w:vAlign w:val="bottom"/>
            <w:shd w:val="clear" w:color="auto" w:fill="D5EEEE"/>
          </w:tcPr>
          <w:p>
            <w:pPr>
              <w:spacing w:after="0"/>
              <w:rPr>
                <w:sz w:val="16"/>
                <w:szCs w:val="16"/>
                <w:color w:val="auto"/>
              </w:rPr>
            </w:pPr>
          </w:p>
        </w:tc>
        <w:tc>
          <w:tcPr>
            <w:tcW w:w="220" w:type="dxa"/>
            <w:vAlign w:val="bottom"/>
            <w:shd w:val="clear" w:color="auto" w:fill="D5EEEE"/>
          </w:tcPr>
          <w:p>
            <w:pPr>
              <w:spacing w:after="0"/>
              <w:rPr>
                <w:sz w:val="16"/>
                <w:szCs w:val="16"/>
                <w:color w:val="auto"/>
              </w:rPr>
            </w:pPr>
          </w:p>
        </w:tc>
        <w:tc>
          <w:tcPr>
            <w:tcW w:w="1300" w:type="dxa"/>
            <w:vAlign w:val="bottom"/>
            <w:shd w:val="clear" w:color="auto" w:fill="D5EEEE"/>
          </w:tcPr>
          <w:p>
            <w:pPr>
              <w:spacing w:after="0"/>
              <w:rPr>
                <w:sz w:val="16"/>
                <w:szCs w:val="16"/>
                <w:color w:val="auto"/>
              </w:rPr>
            </w:pPr>
          </w:p>
        </w:tc>
        <w:tc>
          <w:tcPr>
            <w:tcW w:w="300" w:type="dxa"/>
            <w:vAlign w:val="bottom"/>
            <w:shd w:val="clear" w:color="auto" w:fill="D5EEEE"/>
          </w:tcPr>
          <w:p>
            <w:pPr>
              <w:spacing w:after="0"/>
              <w:rPr>
                <w:sz w:val="16"/>
                <w:szCs w:val="16"/>
                <w:color w:val="auto"/>
              </w:rPr>
            </w:pPr>
          </w:p>
        </w:tc>
        <w:tc>
          <w:tcPr>
            <w:tcW w:w="20" w:type="dxa"/>
            <w:vAlign w:val="bottom"/>
            <w:shd w:val="clear" w:color="auto" w:fill="D5EEEE"/>
          </w:tcPr>
          <w:p>
            <w:pPr>
              <w:spacing w:after="0"/>
              <w:rPr>
                <w:sz w:val="16"/>
                <w:szCs w:val="16"/>
                <w:color w:val="auto"/>
              </w:rPr>
            </w:pPr>
          </w:p>
        </w:tc>
        <w:tc>
          <w:tcPr>
            <w:tcW w:w="160" w:type="dxa"/>
            <w:vAlign w:val="bottom"/>
            <w:shd w:val="clear" w:color="auto" w:fill="D5EEEE"/>
          </w:tcPr>
          <w:p>
            <w:pPr>
              <w:spacing w:after="0"/>
              <w:rPr>
                <w:sz w:val="16"/>
                <w:szCs w:val="16"/>
                <w:color w:val="auto"/>
              </w:rPr>
            </w:pPr>
          </w:p>
        </w:tc>
        <w:tc>
          <w:tcPr>
            <w:tcW w:w="1400" w:type="dxa"/>
            <w:vAlign w:val="bottom"/>
            <w:shd w:val="clear" w:color="auto" w:fill="D5EEEE"/>
          </w:tcPr>
          <w:p>
            <w:pPr>
              <w:spacing w:after="0"/>
              <w:rPr>
                <w:sz w:val="16"/>
                <w:szCs w:val="16"/>
                <w:color w:val="auto"/>
              </w:rPr>
            </w:pPr>
          </w:p>
        </w:tc>
        <w:tc>
          <w:tcPr>
            <w:tcW w:w="300" w:type="dxa"/>
            <w:vAlign w:val="bottom"/>
            <w:shd w:val="clear" w:color="auto" w:fill="D5EEEE"/>
          </w:tcPr>
          <w:p>
            <w:pPr>
              <w:spacing w:after="0"/>
              <w:rPr>
                <w:sz w:val="16"/>
                <w:szCs w:val="16"/>
                <w:color w:val="auto"/>
              </w:rPr>
            </w:pPr>
          </w:p>
        </w:tc>
        <w:tc>
          <w:tcPr>
            <w:tcW w:w="20" w:type="dxa"/>
            <w:vAlign w:val="bottom"/>
            <w:shd w:val="clear" w:color="auto" w:fill="D5EEEE"/>
          </w:tcPr>
          <w:p>
            <w:pPr>
              <w:spacing w:after="0"/>
              <w:rPr>
                <w:sz w:val="16"/>
                <w:szCs w:val="16"/>
                <w:color w:val="auto"/>
              </w:rPr>
            </w:pPr>
          </w:p>
        </w:tc>
        <w:tc>
          <w:tcPr>
            <w:tcW w:w="200" w:type="dxa"/>
            <w:vAlign w:val="bottom"/>
            <w:shd w:val="clear" w:color="auto" w:fill="D5EEEE"/>
          </w:tcPr>
          <w:p>
            <w:pPr>
              <w:spacing w:after="0"/>
              <w:rPr>
                <w:sz w:val="16"/>
                <w:szCs w:val="16"/>
                <w:color w:val="auto"/>
              </w:rPr>
            </w:pPr>
          </w:p>
        </w:tc>
        <w:tc>
          <w:tcPr>
            <w:tcW w:w="1480" w:type="dxa"/>
            <w:vAlign w:val="bottom"/>
            <w:shd w:val="clear" w:color="auto" w:fill="D5EEEE"/>
          </w:tcPr>
          <w:p>
            <w:pPr>
              <w:spacing w:after="0"/>
              <w:rPr>
                <w:sz w:val="16"/>
                <w:szCs w:val="16"/>
                <w:color w:val="auto"/>
              </w:rPr>
            </w:pPr>
          </w:p>
        </w:tc>
      </w:tr>
      <w:tr>
        <w:trPr>
          <w:trHeight w:val="198"/>
        </w:trPr>
        <w:tc>
          <w:tcPr>
            <w:tcW w:w="4780" w:type="dxa"/>
            <w:vAlign w:val="bottom"/>
            <w:tcBorders>
              <w:bottom w:val="single" w:sz="8" w:color="D5EEEE"/>
            </w:tcBorders>
            <w:gridSpan w:val="4"/>
            <w:shd w:val="clear" w:color="auto" w:fill="D5EEEE"/>
          </w:tcPr>
          <w:p>
            <w:pPr>
              <w:spacing w:after="0" w:line="187" w:lineRule="exact"/>
              <w:rPr>
                <w:sz w:val="20"/>
                <w:szCs w:val="20"/>
                <w:color w:val="auto"/>
              </w:rPr>
            </w:pPr>
            <w:r>
              <w:rPr>
                <w:rFonts w:ascii="Times New Roman" w:cs="Times New Roman" w:eastAsia="Times New Roman" w:hAnsi="Times New Roman"/>
                <w:sz w:val="17"/>
                <w:szCs w:val="17"/>
                <w:color w:val="auto"/>
              </w:rPr>
              <w:t>offerings, net of issuance costs</w:t>
            </w:r>
          </w:p>
        </w:tc>
        <w:tc>
          <w:tcPr>
            <w:tcW w:w="1280" w:type="dxa"/>
            <w:vAlign w:val="bottom"/>
            <w:tcBorders>
              <w:bottom w:val="single" w:sz="8" w:color="D5EEEE"/>
            </w:tcBorders>
            <w:shd w:val="clear" w:color="auto" w:fill="D5EEEE"/>
          </w:tcPr>
          <w:p>
            <w:pPr>
              <w:jc w:val="right"/>
              <w:spacing w:after="0" w:line="187" w:lineRule="exact"/>
              <w:rPr>
                <w:sz w:val="20"/>
                <w:szCs w:val="20"/>
                <w:color w:val="auto"/>
              </w:rPr>
            </w:pPr>
            <w:r>
              <w:rPr>
                <w:rFonts w:ascii="Times New Roman" w:cs="Times New Roman" w:eastAsia="Times New Roman" w:hAnsi="Times New Roman"/>
                <w:sz w:val="17"/>
                <w:szCs w:val="17"/>
                <w:color w:val="auto"/>
              </w:rPr>
              <w:t>500,000</w:t>
            </w:r>
          </w:p>
        </w:tc>
        <w:tc>
          <w:tcPr>
            <w:tcW w:w="300" w:type="dxa"/>
            <w:vAlign w:val="bottom"/>
            <w:tcBorders>
              <w:bottom w:val="single" w:sz="8" w:color="D5EEEE"/>
            </w:tcBorders>
            <w:shd w:val="clear" w:color="auto" w:fill="D5EEEE"/>
          </w:tcPr>
          <w:p>
            <w:pPr>
              <w:spacing w:after="0"/>
              <w:rPr>
                <w:sz w:val="17"/>
                <w:szCs w:val="17"/>
                <w:color w:val="auto"/>
              </w:rPr>
            </w:pPr>
          </w:p>
        </w:tc>
        <w:tc>
          <w:tcPr>
            <w:tcW w:w="20" w:type="dxa"/>
            <w:vAlign w:val="bottom"/>
            <w:tcBorders>
              <w:bottom w:val="single" w:sz="8" w:color="D5EEEE"/>
            </w:tcBorders>
            <w:shd w:val="clear" w:color="auto" w:fill="D5EEEE"/>
          </w:tcPr>
          <w:p>
            <w:pPr>
              <w:spacing w:after="0"/>
              <w:rPr>
                <w:sz w:val="17"/>
                <w:szCs w:val="17"/>
                <w:color w:val="auto"/>
              </w:rPr>
            </w:pPr>
          </w:p>
        </w:tc>
        <w:tc>
          <w:tcPr>
            <w:tcW w:w="1120" w:type="dxa"/>
            <w:vAlign w:val="bottom"/>
            <w:tcBorders>
              <w:bottom w:val="single" w:sz="8" w:color="D5EEEE"/>
            </w:tcBorders>
            <w:shd w:val="clear" w:color="auto" w:fill="D5EEEE"/>
          </w:tcPr>
          <w:p>
            <w:pPr>
              <w:spacing w:after="0"/>
              <w:rPr>
                <w:sz w:val="17"/>
                <w:szCs w:val="17"/>
                <w:color w:val="auto"/>
              </w:rPr>
            </w:pPr>
          </w:p>
        </w:tc>
        <w:tc>
          <w:tcPr>
            <w:tcW w:w="380" w:type="dxa"/>
            <w:vAlign w:val="bottom"/>
            <w:tcBorders>
              <w:bottom w:val="single" w:sz="8" w:color="D5EEEE"/>
            </w:tcBorders>
            <w:shd w:val="clear" w:color="auto" w:fill="D5EEEE"/>
          </w:tcPr>
          <w:p>
            <w:pPr>
              <w:jc w:val="right"/>
              <w:spacing w:after="0" w:line="187" w:lineRule="exact"/>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D5EEEE"/>
            </w:tcBorders>
            <w:shd w:val="clear" w:color="auto" w:fill="D5EEEE"/>
          </w:tcPr>
          <w:p>
            <w:pPr>
              <w:spacing w:after="0"/>
              <w:rPr>
                <w:sz w:val="17"/>
                <w:szCs w:val="17"/>
                <w:color w:val="auto"/>
              </w:rPr>
            </w:pPr>
          </w:p>
        </w:tc>
        <w:tc>
          <w:tcPr>
            <w:tcW w:w="20" w:type="dxa"/>
            <w:vAlign w:val="bottom"/>
            <w:tcBorders>
              <w:bottom w:val="single" w:sz="8" w:color="D5EEEE"/>
            </w:tcBorders>
            <w:shd w:val="clear" w:color="auto" w:fill="D5EEEE"/>
          </w:tcPr>
          <w:p>
            <w:pPr>
              <w:spacing w:after="0"/>
              <w:rPr>
                <w:sz w:val="17"/>
                <w:szCs w:val="17"/>
                <w:color w:val="auto"/>
              </w:rPr>
            </w:pPr>
          </w:p>
        </w:tc>
        <w:tc>
          <w:tcPr>
            <w:tcW w:w="220" w:type="dxa"/>
            <w:vAlign w:val="bottom"/>
            <w:tcBorders>
              <w:bottom w:val="single" w:sz="8" w:color="D5EEEE"/>
            </w:tcBorders>
            <w:shd w:val="clear" w:color="auto" w:fill="D5EEEE"/>
          </w:tcPr>
          <w:p>
            <w:pPr>
              <w:spacing w:after="0"/>
              <w:rPr>
                <w:sz w:val="17"/>
                <w:szCs w:val="17"/>
                <w:color w:val="auto"/>
              </w:rPr>
            </w:pPr>
          </w:p>
        </w:tc>
        <w:tc>
          <w:tcPr>
            <w:tcW w:w="1300" w:type="dxa"/>
            <w:vAlign w:val="bottom"/>
            <w:tcBorders>
              <w:bottom w:val="single" w:sz="8" w:color="D5EEEE"/>
            </w:tcBorders>
            <w:shd w:val="clear" w:color="auto" w:fill="D5EEEE"/>
          </w:tcPr>
          <w:p>
            <w:pPr>
              <w:jc w:val="right"/>
              <w:spacing w:after="0" w:line="187" w:lineRule="exact"/>
              <w:rPr>
                <w:sz w:val="20"/>
                <w:szCs w:val="20"/>
                <w:color w:val="auto"/>
              </w:rPr>
            </w:pPr>
            <w:r>
              <w:rPr>
                <w:rFonts w:ascii="Times New Roman" w:cs="Times New Roman" w:eastAsia="Times New Roman" w:hAnsi="Times New Roman"/>
                <w:sz w:val="17"/>
                <w:szCs w:val="17"/>
                <w:color w:val="auto"/>
              </w:rPr>
              <w:t>6,825</w:t>
            </w:r>
          </w:p>
        </w:tc>
        <w:tc>
          <w:tcPr>
            <w:tcW w:w="300" w:type="dxa"/>
            <w:vAlign w:val="bottom"/>
            <w:tcBorders>
              <w:bottom w:val="single" w:sz="8" w:color="D5EEEE"/>
            </w:tcBorders>
            <w:shd w:val="clear" w:color="auto" w:fill="D5EEEE"/>
          </w:tcPr>
          <w:p>
            <w:pPr>
              <w:spacing w:after="0"/>
              <w:rPr>
                <w:sz w:val="17"/>
                <w:szCs w:val="17"/>
                <w:color w:val="auto"/>
              </w:rPr>
            </w:pPr>
          </w:p>
        </w:tc>
        <w:tc>
          <w:tcPr>
            <w:tcW w:w="20" w:type="dxa"/>
            <w:vAlign w:val="bottom"/>
            <w:tcBorders>
              <w:bottom w:val="single" w:sz="8" w:color="D5EEEE"/>
            </w:tcBorders>
            <w:shd w:val="clear" w:color="auto" w:fill="D5EEEE"/>
          </w:tcPr>
          <w:p>
            <w:pPr>
              <w:spacing w:after="0"/>
              <w:rPr>
                <w:sz w:val="17"/>
                <w:szCs w:val="17"/>
                <w:color w:val="auto"/>
              </w:rPr>
            </w:pPr>
          </w:p>
        </w:tc>
        <w:tc>
          <w:tcPr>
            <w:tcW w:w="160" w:type="dxa"/>
            <w:vAlign w:val="bottom"/>
            <w:tcBorders>
              <w:bottom w:val="single" w:sz="8" w:color="D5EEEE"/>
            </w:tcBorders>
            <w:shd w:val="clear" w:color="auto" w:fill="D5EEEE"/>
          </w:tcPr>
          <w:p>
            <w:pPr>
              <w:spacing w:after="0"/>
              <w:rPr>
                <w:sz w:val="17"/>
                <w:szCs w:val="17"/>
                <w:color w:val="auto"/>
              </w:rPr>
            </w:pPr>
          </w:p>
        </w:tc>
        <w:tc>
          <w:tcPr>
            <w:tcW w:w="1400" w:type="dxa"/>
            <w:vAlign w:val="bottom"/>
            <w:tcBorders>
              <w:bottom w:val="single" w:sz="8" w:color="D5EEEE"/>
            </w:tcBorders>
            <w:shd w:val="clear" w:color="auto" w:fill="D5EEEE"/>
          </w:tcPr>
          <w:p>
            <w:pPr>
              <w:jc w:val="right"/>
              <w:ind w:right="56"/>
              <w:spacing w:after="0" w:line="187" w:lineRule="exact"/>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D5EEEE"/>
            </w:tcBorders>
            <w:shd w:val="clear" w:color="auto" w:fill="D5EEEE"/>
          </w:tcPr>
          <w:p>
            <w:pPr>
              <w:spacing w:after="0"/>
              <w:rPr>
                <w:sz w:val="17"/>
                <w:szCs w:val="17"/>
                <w:color w:val="auto"/>
              </w:rPr>
            </w:pPr>
          </w:p>
        </w:tc>
        <w:tc>
          <w:tcPr>
            <w:tcW w:w="20" w:type="dxa"/>
            <w:vAlign w:val="bottom"/>
            <w:tcBorders>
              <w:bottom w:val="single" w:sz="8" w:color="D5EEEE"/>
            </w:tcBorders>
            <w:shd w:val="clear" w:color="auto" w:fill="D5EEEE"/>
          </w:tcPr>
          <w:p>
            <w:pPr>
              <w:spacing w:after="0"/>
              <w:rPr>
                <w:sz w:val="17"/>
                <w:szCs w:val="17"/>
                <w:color w:val="auto"/>
              </w:rPr>
            </w:pPr>
          </w:p>
        </w:tc>
        <w:tc>
          <w:tcPr>
            <w:tcW w:w="200" w:type="dxa"/>
            <w:vAlign w:val="bottom"/>
            <w:tcBorders>
              <w:bottom w:val="single" w:sz="8" w:color="D5EEEE"/>
            </w:tcBorders>
            <w:shd w:val="clear" w:color="auto" w:fill="D5EEEE"/>
          </w:tcPr>
          <w:p>
            <w:pPr>
              <w:spacing w:after="0"/>
              <w:rPr>
                <w:sz w:val="17"/>
                <w:szCs w:val="17"/>
                <w:color w:val="auto"/>
              </w:rPr>
            </w:pPr>
          </w:p>
        </w:tc>
        <w:tc>
          <w:tcPr>
            <w:tcW w:w="1480" w:type="dxa"/>
            <w:vAlign w:val="bottom"/>
            <w:tcBorders>
              <w:bottom w:val="single" w:sz="8" w:color="D5EEEE"/>
            </w:tcBorders>
            <w:shd w:val="clear" w:color="auto" w:fill="D5EEEE"/>
          </w:tcPr>
          <w:p>
            <w:pPr>
              <w:jc w:val="right"/>
              <w:ind w:right="16"/>
              <w:spacing w:after="0" w:line="187" w:lineRule="exact"/>
              <w:rPr>
                <w:sz w:val="20"/>
                <w:szCs w:val="20"/>
                <w:color w:val="auto"/>
              </w:rPr>
            </w:pPr>
            <w:r>
              <w:rPr>
                <w:rFonts w:ascii="Times New Roman" w:cs="Times New Roman" w:eastAsia="Times New Roman" w:hAnsi="Times New Roman"/>
                <w:sz w:val="17"/>
                <w:szCs w:val="17"/>
                <w:color w:val="auto"/>
              </w:rPr>
              <w:t>6,825</w:t>
            </w:r>
          </w:p>
        </w:tc>
      </w:tr>
      <w:tr>
        <w:trPr>
          <w:trHeight w:val="186"/>
        </w:trPr>
        <w:tc>
          <w:tcPr>
            <w:tcW w:w="4780" w:type="dxa"/>
            <w:vAlign w:val="bottom"/>
            <w:gridSpan w:val="4"/>
          </w:tcPr>
          <w:p>
            <w:pPr>
              <w:spacing w:after="0" w:line="186" w:lineRule="exact"/>
              <w:rPr>
                <w:sz w:val="20"/>
                <w:szCs w:val="20"/>
                <w:color w:val="auto"/>
              </w:rPr>
            </w:pPr>
            <w:r>
              <w:rPr>
                <w:rFonts w:ascii="Times New Roman" w:cs="Times New Roman" w:eastAsia="Times New Roman" w:hAnsi="Times New Roman"/>
                <w:sz w:val="17"/>
                <w:szCs w:val="17"/>
                <w:color w:val="auto"/>
              </w:rPr>
              <w:t>Issuance of common stock under employee stock purchase plan</w:t>
            </w:r>
          </w:p>
        </w:tc>
        <w:tc>
          <w:tcPr>
            <w:tcW w:w="1280" w:type="dxa"/>
            <w:vAlign w:val="bottom"/>
          </w:tcPr>
          <w:p>
            <w:pPr>
              <w:jc w:val="right"/>
              <w:spacing w:after="0" w:line="186" w:lineRule="exact"/>
              <w:rPr>
                <w:sz w:val="20"/>
                <w:szCs w:val="20"/>
                <w:color w:val="auto"/>
              </w:rPr>
            </w:pPr>
            <w:r>
              <w:rPr>
                <w:rFonts w:ascii="Times New Roman" w:cs="Times New Roman" w:eastAsia="Times New Roman" w:hAnsi="Times New Roman"/>
                <w:sz w:val="17"/>
                <w:szCs w:val="17"/>
                <w:color w:val="auto"/>
              </w:rPr>
              <w:t>5,423</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80" w:type="dxa"/>
            <w:vAlign w:val="bottom"/>
          </w:tcPr>
          <w:p>
            <w:pPr>
              <w:jc w:val="right"/>
              <w:spacing w:after="0" w:line="186" w:lineRule="exact"/>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line="186" w:lineRule="exact"/>
              <w:rPr>
                <w:sz w:val="20"/>
                <w:szCs w:val="20"/>
                <w:color w:val="auto"/>
              </w:rPr>
            </w:pPr>
            <w:r>
              <w:rPr>
                <w:rFonts w:ascii="Times New Roman" w:cs="Times New Roman" w:eastAsia="Times New Roman" w:hAnsi="Times New Roman"/>
                <w:sz w:val="17"/>
                <w:szCs w:val="17"/>
                <w:color w:val="auto"/>
              </w:rPr>
              <w:t>68</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right"/>
              <w:ind w:right="56"/>
              <w:spacing w:after="0" w:line="186" w:lineRule="exact"/>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jc w:val="right"/>
              <w:ind w:right="16"/>
              <w:spacing w:after="0" w:line="186" w:lineRule="exact"/>
              <w:rPr>
                <w:sz w:val="20"/>
                <w:szCs w:val="20"/>
                <w:color w:val="auto"/>
              </w:rPr>
            </w:pPr>
            <w:r>
              <w:rPr>
                <w:rFonts w:ascii="Times New Roman" w:cs="Times New Roman" w:eastAsia="Times New Roman" w:hAnsi="Times New Roman"/>
                <w:sz w:val="17"/>
                <w:szCs w:val="17"/>
                <w:color w:val="auto"/>
              </w:rPr>
              <w:t>68</w:t>
            </w:r>
          </w:p>
        </w:tc>
      </w:tr>
      <w:tr>
        <w:trPr>
          <w:trHeight w:val="22"/>
        </w:trPr>
        <w:tc>
          <w:tcPr>
            <w:tcW w:w="4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89"/>
        </w:trPr>
        <w:tc>
          <w:tcPr>
            <w:tcW w:w="4780" w:type="dxa"/>
            <w:vAlign w:val="bottom"/>
            <w:tcBorders>
              <w:bottom w:val="single" w:sz="8" w:color="D5EEEE"/>
            </w:tcBorders>
            <w:gridSpan w:val="4"/>
            <w:shd w:val="clear" w:color="auto" w:fill="D5EEEE"/>
          </w:tcPr>
          <w:p>
            <w:pPr>
              <w:spacing w:after="0" w:line="186" w:lineRule="exact"/>
              <w:rPr>
                <w:sz w:val="20"/>
                <w:szCs w:val="20"/>
                <w:color w:val="auto"/>
              </w:rPr>
            </w:pPr>
            <w:r>
              <w:rPr>
                <w:rFonts w:ascii="Times New Roman" w:cs="Times New Roman" w:eastAsia="Times New Roman" w:hAnsi="Times New Roman"/>
                <w:sz w:val="17"/>
                <w:szCs w:val="17"/>
                <w:color w:val="auto"/>
              </w:rPr>
              <w:t>Vesting of restricted common stock</w:t>
            </w:r>
          </w:p>
        </w:tc>
        <w:tc>
          <w:tcPr>
            <w:tcW w:w="1280" w:type="dxa"/>
            <w:vAlign w:val="bottom"/>
            <w:tcBorders>
              <w:bottom w:val="single" w:sz="8" w:color="D5EEEE"/>
            </w:tcBorders>
            <w:shd w:val="clear" w:color="auto" w:fill="D5EEEE"/>
          </w:tcPr>
          <w:p>
            <w:pPr>
              <w:jc w:val="right"/>
              <w:spacing w:after="0" w:line="186" w:lineRule="exact"/>
              <w:rPr>
                <w:sz w:val="20"/>
                <w:szCs w:val="20"/>
                <w:color w:val="auto"/>
              </w:rPr>
            </w:pPr>
            <w:r>
              <w:rPr>
                <w:rFonts w:ascii="Times New Roman" w:cs="Times New Roman" w:eastAsia="Times New Roman" w:hAnsi="Times New Roman"/>
                <w:sz w:val="17"/>
                <w:szCs w:val="17"/>
                <w:color w:val="auto"/>
              </w:rPr>
              <w:t>398</w:t>
            </w:r>
          </w:p>
        </w:tc>
        <w:tc>
          <w:tcPr>
            <w:tcW w:w="300" w:type="dxa"/>
            <w:vAlign w:val="bottom"/>
            <w:tcBorders>
              <w:bottom w:val="single" w:sz="8" w:color="D5EEEE"/>
            </w:tcBorders>
            <w:shd w:val="clear" w:color="auto" w:fill="D5EEEE"/>
          </w:tcPr>
          <w:p>
            <w:pPr>
              <w:spacing w:after="0"/>
              <w:rPr>
                <w:sz w:val="16"/>
                <w:szCs w:val="16"/>
                <w:color w:val="auto"/>
              </w:rPr>
            </w:pPr>
          </w:p>
        </w:tc>
        <w:tc>
          <w:tcPr>
            <w:tcW w:w="20" w:type="dxa"/>
            <w:vAlign w:val="bottom"/>
            <w:tcBorders>
              <w:bottom w:val="single" w:sz="8" w:color="D5EEEE"/>
            </w:tcBorders>
            <w:shd w:val="clear" w:color="auto" w:fill="D5EEEE"/>
          </w:tcPr>
          <w:p>
            <w:pPr>
              <w:spacing w:after="0"/>
              <w:rPr>
                <w:sz w:val="16"/>
                <w:szCs w:val="16"/>
                <w:color w:val="auto"/>
              </w:rPr>
            </w:pPr>
          </w:p>
        </w:tc>
        <w:tc>
          <w:tcPr>
            <w:tcW w:w="1120" w:type="dxa"/>
            <w:vAlign w:val="bottom"/>
            <w:tcBorders>
              <w:bottom w:val="single" w:sz="8" w:color="D5EEEE"/>
            </w:tcBorders>
            <w:shd w:val="clear" w:color="auto" w:fill="D5EEEE"/>
          </w:tcPr>
          <w:p>
            <w:pPr>
              <w:spacing w:after="0"/>
              <w:rPr>
                <w:sz w:val="16"/>
                <w:szCs w:val="16"/>
                <w:color w:val="auto"/>
              </w:rPr>
            </w:pPr>
          </w:p>
        </w:tc>
        <w:tc>
          <w:tcPr>
            <w:tcW w:w="380" w:type="dxa"/>
            <w:vAlign w:val="bottom"/>
            <w:tcBorders>
              <w:bottom w:val="single" w:sz="8" w:color="D5EEEE"/>
            </w:tcBorders>
            <w:shd w:val="clear" w:color="auto" w:fill="D5EEEE"/>
          </w:tcPr>
          <w:p>
            <w:pPr>
              <w:jc w:val="right"/>
              <w:spacing w:after="0" w:line="186" w:lineRule="exact"/>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D5EEEE"/>
            </w:tcBorders>
            <w:shd w:val="clear" w:color="auto" w:fill="D5EEEE"/>
          </w:tcPr>
          <w:p>
            <w:pPr>
              <w:spacing w:after="0"/>
              <w:rPr>
                <w:sz w:val="16"/>
                <w:szCs w:val="16"/>
                <w:color w:val="auto"/>
              </w:rPr>
            </w:pPr>
          </w:p>
        </w:tc>
        <w:tc>
          <w:tcPr>
            <w:tcW w:w="20" w:type="dxa"/>
            <w:vAlign w:val="bottom"/>
            <w:tcBorders>
              <w:bottom w:val="single" w:sz="8" w:color="D5EEEE"/>
            </w:tcBorders>
            <w:shd w:val="clear" w:color="auto" w:fill="D5EEEE"/>
          </w:tcPr>
          <w:p>
            <w:pPr>
              <w:spacing w:after="0"/>
              <w:rPr>
                <w:sz w:val="16"/>
                <w:szCs w:val="16"/>
                <w:color w:val="auto"/>
              </w:rPr>
            </w:pPr>
          </w:p>
        </w:tc>
        <w:tc>
          <w:tcPr>
            <w:tcW w:w="220" w:type="dxa"/>
            <w:vAlign w:val="bottom"/>
            <w:tcBorders>
              <w:bottom w:val="single" w:sz="8" w:color="D5EEEE"/>
            </w:tcBorders>
            <w:shd w:val="clear" w:color="auto" w:fill="D5EEEE"/>
          </w:tcPr>
          <w:p>
            <w:pPr>
              <w:spacing w:after="0"/>
              <w:rPr>
                <w:sz w:val="16"/>
                <w:szCs w:val="16"/>
                <w:color w:val="auto"/>
              </w:rPr>
            </w:pPr>
          </w:p>
        </w:tc>
        <w:tc>
          <w:tcPr>
            <w:tcW w:w="1300" w:type="dxa"/>
            <w:vAlign w:val="bottom"/>
            <w:tcBorders>
              <w:bottom w:val="single" w:sz="8" w:color="D5EEEE"/>
            </w:tcBorders>
            <w:shd w:val="clear" w:color="auto" w:fill="D5EEEE"/>
          </w:tcPr>
          <w:p>
            <w:pPr>
              <w:jc w:val="right"/>
              <w:spacing w:after="0" w:line="186" w:lineRule="exact"/>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D5EEEE"/>
            </w:tcBorders>
            <w:shd w:val="clear" w:color="auto" w:fill="D5EEEE"/>
          </w:tcPr>
          <w:p>
            <w:pPr>
              <w:spacing w:after="0"/>
              <w:rPr>
                <w:sz w:val="16"/>
                <w:szCs w:val="16"/>
                <w:color w:val="auto"/>
              </w:rPr>
            </w:pPr>
          </w:p>
        </w:tc>
        <w:tc>
          <w:tcPr>
            <w:tcW w:w="20" w:type="dxa"/>
            <w:vAlign w:val="bottom"/>
            <w:tcBorders>
              <w:bottom w:val="single" w:sz="8" w:color="D5EEEE"/>
            </w:tcBorders>
            <w:shd w:val="clear" w:color="auto" w:fill="D5EEEE"/>
          </w:tcPr>
          <w:p>
            <w:pPr>
              <w:spacing w:after="0"/>
              <w:rPr>
                <w:sz w:val="16"/>
                <w:szCs w:val="16"/>
                <w:color w:val="auto"/>
              </w:rPr>
            </w:pPr>
          </w:p>
        </w:tc>
        <w:tc>
          <w:tcPr>
            <w:tcW w:w="160" w:type="dxa"/>
            <w:vAlign w:val="bottom"/>
            <w:tcBorders>
              <w:bottom w:val="single" w:sz="8" w:color="D5EEEE"/>
            </w:tcBorders>
            <w:shd w:val="clear" w:color="auto" w:fill="D5EEEE"/>
          </w:tcPr>
          <w:p>
            <w:pPr>
              <w:spacing w:after="0"/>
              <w:rPr>
                <w:sz w:val="16"/>
                <w:szCs w:val="16"/>
                <w:color w:val="auto"/>
              </w:rPr>
            </w:pPr>
          </w:p>
        </w:tc>
        <w:tc>
          <w:tcPr>
            <w:tcW w:w="1400" w:type="dxa"/>
            <w:vAlign w:val="bottom"/>
            <w:tcBorders>
              <w:bottom w:val="single" w:sz="8" w:color="D5EEEE"/>
            </w:tcBorders>
            <w:shd w:val="clear" w:color="auto" w:fill="D5EEEE"/>
          </w:tcPr>
          <w:p>
            <w:pPr>
              <w:jc w:val="right"/>
              <w:ind w:right="56"/>
              <w:spacing w:after="0" w:line="186" w:lineRule="exact"/>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D5EEEE"/>
            </w:tcBorders>
            <w:shd w:val="clear" w:color="auto" w:fill="D5EEEE"/>
          </w:tcPr>
          <w:p>
            <w:pPr>
              <w:spacing w:after="0"/>
              <w:rPr>
                <w:sz w:val="16"/>
                <w:szCs w:val="16"/>
                <w:color w:val="auto"/>
              </w:rPr>
            </w:pPr>
          </w:p>
        </w:tc>
        <w:tc>
          <w:tcPr>
            <w:tcW w:w="20" w:type="dxa"/>
            <w:vAlign w:val="bottom"/>
            <w:tcBorders>
              <w:bottom w:val="single" w:sz="8" w:color="D5EEEE"/>
            </w:tcBorders>
            <w:shd w:val="clear" w:color="auto" w:fill="D5EEEE"/>
          </w:tcPr>
          <w:p>
            <w:pPr>
              <w:spacing w:after="0"/>
              <w:rPr>
                <w:sz w:val="16"/>
                <w:szCs w:val="16"/>
                <w:color w:val="auto"/>
              </w:rPr>
            </w:pPr>
          </w:p>
        </w:tc>
        <w:tc>
          <w:tcPr>
            <w:tcW w:w="200" w:type="dxa"/>
            <w:vAlign w:val="bottom"/>
            <w:tcBorders>
              <w:bottom w:val="single" w:sz="8" w:color="D5EEEE"/>
            </w:tcBorders>
            <w:shd w:val="clear" w:color="auto" w:fill="D5EEEE"/>
          </w:tcPr>
          <w:p>
            <w:pPr>
              <w:spacing w:after="0"/>
              <w:rPr>
                <w:sz w:val="16"/>
                <w:szCs w:val="16"/>
                <w:color w:val="auto"/>
              </w:rPr>
            </w:pPr>
          </w:p>
        </w:tc>
        <w:tc>
          <w:tcPr>
            <w:tcW w:w="1480" w:type="dxa"/>
            <w:vAlign w:val="bottom"/>
            <w:tcBorders>
              <w:bottom w:val="single" w:sz="8" w:color="D5EEEE"/>
            </w:tcBorders>
            <w:shd w:val="clear" w:color="auto" w:fill="D5EEEE"/>
          </w:tcPr>
          <w:p>
            <w:pPr>
              <w:jc w:val="right"/>
              <w:ind w:right="16"/>
              <w:spacing w:after="0" w:line="186" w:lineRule="exact"/>
              <w:rPr>
                <w:sz w:val="20"/>
                <w:szCs w:val="20"/>
                <w:color w:val="auto"/>
              </w:rPr>
            </w:pPr>
            <w:r>
              <w:rPr>
                <w:rFonts w:ascii="Times New Roman" w:cs="Times New Roman" w:eastAsia="Times New Roman" w:hAnsi="Times New Roman"/>
                <w:sz w:val="17"/>
                <w:szCs w:val="17"/>
                <w:color w:val="auto"/>
              </w:rPr>
              <w:t>—</w:t>
            </w:r>
          </w:p>
        </w:tc>
      </w:tr>
      <w:tr>
        <w:trPr>
          <w:trHeight w:val="186"/>
        </w:trPr>
        <w:tc>
          <w:tcPr>
            <w:tcW w:w="4780" w:type="dxa"/>
            <w:vAlign w:val="bottom"/>
            <w:gridSpan w:val="4"/>
          </w:tcPr>
          <w:p>
            <w:pPr>
              <w:spacing w:after="0" w:line="186" w:lineRule="exact"/>
              <w:rPr>
                <w:sz w:val="20"/>
                <w:szCs w:val="20"/>
                <w:color w:val="auto"/>
              </w:rPr>
            </w:pPr>
            <w:r>
              <w:rPr>
                <w:rFonts w:ascii="Times New Roman" w:cs="Times New Roman" w:eastAsia="Times New Roman" w:hAnsi="Times New Roman"/>
                <w:sz w:val="17"/>
                <w:szCs w:val="17"/>
                <w:color w:val="auto"/>
              </w:rPr>
              <w:t>Exercise of stock options</w:t>
            </w:r>
          </w:p>
        </w:tc>
        <w:tc>
          <w:tcPr>
            <w:tcW w:w="1280" w:type="dxa"/>
            <w:vAlign w:val="bottom"/>
          </w:tcPr>
          <w:p>
            <w:pPr>
              <w:jc w:val="right"/>
              <w:spacing w:after="0" w:line="186" w:lineRule="exact"/>
              <w:rPr>
                <w:sz w:val="20"/>
                <w:szCs w:val="20"/>
                <w:color w:val="auto"/>
              </w:rPr>
            </w:pPr>
            <w:r>
              <w:rPr>
                <w:rFonts w:ascii="Times New Roman" w:cs="Times New Roman" w:eastAsia="Times New Roman" w:hAnsi="Times New Roman"/>
                <w:sz w:val="17"/>
                <w:szCs w:val="17"/>
                <w:color w:val="auto"/>
              </w:rPr>
              <w:t>608</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80" w:type="dxa"/>
            <w:vAlign w:val="bottom"/>
          </w:tcPr>
          <w:p>
            <w:pPr>
              <w:jc w:val="right"/>
              <w:spacing w:after="0" w:line="186" w:lineRule="exact"/>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line="186" w:lineRule="exact"/>
              <w:rPr>
                <w:sz w:val="20"/>
                <w:szCs w:val="20"/>
                <w:color w:val="auto"/>
              </w:rPr>
            </w:pPr>
            <w:r>
              <w:rPr>
                <w:rFonts w:ascii="Times New Roman" w:cs="Times New Roman" w:eastAsia="Times New Roman" w:hAnsi="Times New Roman"/>
                <w:sz w:val="17"/>
                <w:szCs w:val="17"/>
                <w:color w:val="auto"/>
              </w:rPr>
              <w:t>5</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right"/>
              <w:ind w:right="56"/>
              <w:spacing w:after="0" w:line="186" w:lineRule="exact"/>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jc w:val="right"/>
              <w:ind w:right="16"/>
              <w:spacing w:after="0" w:line="186" w:lineRule="exact"/>
              <w:rPr>
                <w:sz w:val="20"/>
                <w:szCs w:val="20"/>
                <w:color w:val="auto"/>
              </w:rPr>
            </w:pPr>
            <w:r>
              <w:rPr>
                <w:rFonts w:ascii="Times New Roman" w:cs="Times New Roman" w:eastAsia="Times New Roman" w:hAnsi="Times New Roman"/>
                <w:sz w:val="17"/>
                <w:szCs w:val="17"/>
                <w:color w:val="auto"/>
              </w:rPr>
              <w:t>5</w:t>
            </w:r>
          </w:p>
        </w:tc>
      </w:tr>
      <w:tr>
        <w:trPr>
          <w:trHeight w:val="22"/>
        </w:trPr>
        <w:tc>
          <w:tcPr>
            <w:tcW w:w="4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89"/>
        </w:trPr>
        <w:tc>
          <w:tcPr>
            <w:tcW w:w="4780" w:type="dxa"/>
            <w:vAlign w:val="bottom"/>
            <w:tcBorders>
              <w:bottom w:val="single" w:sz="8" w:color="D5EEEE"/>
            </w:tcBorders>
            <w:gridSpan w:val="4"/>
            <w:shd w:val="clear" w:color="auto" w:fill="D5EEEE"/>
          </w:tcPr>
          <w:p>
            <w:pPr>
              <w:spacing w:after="0" w:line="186" w:lineRule="exact"/>
              <w:rPr>
                <w:sz w:val="20"/>
                <w:szCs w:val="20"/>
                <w:color w:val="auto"/>
              </w:rPr>
            </w:pPr>
            <w:r>
              <w:rPr>
                <w:rFonts w:ascii="Times New Roman" w:cs="Times New Roman" w:eastAsia="Times New Roman" w:hAnsi="Times New Roman"/>
                <w:sz w:val="17"/>
                <w:szCs w:val="17"/>
                <w:color w:val="auto"/>
              </w:rPr>
              <w:t>Stock-based compensation expense</w:t>
            </w:r>
          </w:p>
        </w:tc>
        <w:tc>
          <w:tcPr>
            <w:tcW w:w="1280" w:type="dxa"/>
            <w:vAlign w:val="bottom"/>
            <w:tcBorders>
              <w:bottom w:val="single" w:sz="8" w:color="D5EEEE"/>
            </w:tcBorders>
            <w:shd w:val="clear" w:color="auto" w:fill="D5EEEE"/>
          </w:tcPr>
          <w:p>
            <w:pPr>
              <w:jc w:val="right"/>
              <w:spacing w:after="0" w:line="186" w:lineRule="exact"/>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D5EEEE"/>
            </w:tcBorders>
            <w:shd w:val="clear" w:color="auto" w:fill="D5EEEE"/>
          </w:tcPr>
          <w:p>
            <w:pPr>
              <w:spacing w:after="0"/>
              <w:rPr>
                <w:sz w:val="16"/>
                <w:szCs w:val="16"/>
                <w:color w:val="auto"/>
              </w:rPr>
            </w:pPr>
          </w:p>
        </w:tc>
        <w:tc>
          <w:tcPr>
            <w:tcW w:w="20" w:type="dxa"/>
            <w:vAlign w:val="bottom"/>
            <w:tcBorders>
              <w:bottom w:val="single" w:sz="8" w:color="D5EEEE"/>
            </w:tcBorders>
            <w:shd w:val="clear" w:color="auto" w:fill="D5EEEE"/>
          </w:tcPr>
          <w:p>
            <w:pPr>
              <w:spacing w:after="0"/>
              <w:rPr>
                <w:sz w:val="16"/>
                <w:szCs w:val="16"/>
                <w:color w:val="auto"/>
              </w:rPr>
            </w:pPr>
          </w:p>
        </w:tc>
        <w:tc>
          <w:tcPr>
            <w:tcW w:w="1120" w:type="dxa"/>
            <w:vAlign w:val="bottom"/>
            <w:tcBorders>
              <w:bottom w:val="single" w:sz="8" w:color="D5EEEE"/>
            </w:tcBorders>
            <w:shd w:val="clear" w:color="auto" w:fill="D5EEEE"/>
          </w:tcPr>
          <w:p>
            <w:pPr>
              <w:spacing w:after="0"/>
              <w:rPr>
                <w:sz w:val="16"/>
                <w:szCs w:val="16"/>
                <w:color w:val="auto"/>
              </w:rPr>
            </w:pPr>
          </w:p>
        </w:tc>
        <w:tc>
          <w:tcPr>
            <w:tcW w:w="380" w:type="dxa"/>
            <w:vAlign w:val="bottom"/>
            <w:tcBorders>
              <w:bottom w:val="single" w:sz="8" w:color="D5EEEE"/>
            </w:tcBorders>
            <w:shd w:val="clear" w:color="auto" w:fill="D5EEEE"/>
          </w:tcPr>
          <w:p>
            <w:pPr>
              <w:jc w:val="right"/>
              <w:spacing w:after="0" w:line="186" w:lineRule="exact"/>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D5EEEE"/>
            </w:tcBorders>
            <w:shd w:val="clear" w:color="auto" w:fill="D5EEEE"/>
          </w:tcPr>
          <w:p>
            <w:pPr>
              <w:spacing w:after="0"/>
              <w:rPr>
                <w:sz w:val="16"/>
                <w:szCs w:val="16"/>
                <w:color w:val="auto"/>
              </w:rPr>
            </w:pPr>
          </w:p>
        </w:tc>
        <w:tc>
          <w:tcPr>
            <w:tcW w:w="20" w:type="dxa"/>
            <w:vAlign w:val="bottom"/>
            <w:tcBorders>
              <w:bottom w:val="single" w:sz="8" w:color="D5EEEE"/>
            </w:tcBorders>
            <w:shd w:val="clear" w:color="auto" w:fill="D5EEEE"/>
          </w:tcPr>
          <w:p>
            <w:pPr>
              <w:spacing w:after="0"/>
              <w:rPr>
                <w:sz w:val="16"/>
                <w:szCs w:val="16"/>
                <w:color w:val="auto"/>
              </w:rPr>
            </w:pPr>
          </w:p>
        </w:tc>
        <w:tc>
          <w:tcPr>
            <w:tcW w:w="220" w:type="dxa"/>
            <w:vAlign w:val="bottom"/>
            <w:tcBorders>
              <w:bottom w:val="single" w:sz="8" w:color="D5EEEE"/>
            </w:tcBorders>
            <w:shd w:val="clear" w:color="auto" w:fill="D5EEEE"/>
          </w:tcPr>
          <w:p>
            <w:pPr>
              <w:spacing w:after="0"/>
              <w:rPr>
                <w:sz w:val="16"/>
                <w:szCs w:val="16"/>
                <w:color w:val="auto"/>
              </w:rPr>
            </w:pPr>
          </w:p>
        </w:tc>
        <w:tc>
          <w:tcPr>
            <w:tcW w:w="1300" w:type="dxa"/>
            <w:vAlign w:val="bottom"/>
            <w:tcBorders>
              <w:bottom w:val="single" w:sz="8" w:color="D5EEEE"/>
            </w:tcBorders>
            <w:shd w:val="clear" w:color="auto" w:fill="D5EEEE"/>
          </w:tcPr>
          <w:p>
            <w:pPr>
              <w:jc w:val="right"/>
              <w:spacing w:after="0" w:line="186" w:lineRule="exact"/>
              <w:rPr>
                <w:sz w:val="20"/>
                <w:szCs w:val="20"/>
                <w:color w:val="auto"/>
              </w:rPr>
            </w:pPr>
            <w:r>
              <w:rPr>
                <w:rFonts w:ascii="Times New Roman" w:cs="Times New Roman" w:eastAsia="Times New Roman" w:hAnsi="Times New Roman"/>
                <w:sz w:val="17"/>
                <w:szCs w:val="17"/>
                <w:color w:val="auto"/>
              </w:rPr>
              <w:t>6,434</w:t>
            </w:r>
          </w:p>
        </w:tc>
        <w:tc>
          <w:tcPr>
            <w:tcW w:w="300" w:type="dxa"/>
            <w:vAlign w:val="bottom"/>
            <w:tcBorders>
              <w:bottom w:val="single" w:sz="8" w:color="D5EEEE"/>
            </w:tcBorders>
            <w:shd w:val="clear" w:color="auto" w:fill="D5EEEE"/>
          </w:tcPr>
          <w:p>
            <w:pPr>
              <w:spacing w:after="0"/>
              <w:rPr>
                <w:sz w:val="16"/>
                <w:szCs w:val="16"/>
                <w:color w:val="auto"/>
              </w:rPr>
            </w:pPr>
          </w:p>
        </w:tc>
        <w:tc>
          <w:tcPr>
            <w:tcW w:w="20" w:type="dxa"/>
            <w:vAlign w:val="bottom"/>
            <w:tcBorders>
              <w:bottom w:val="single" w:sz="8" w:color="D5EEEE"/>
            </w:tcBorders>
            <w:shd w:val="clear" w:color="auto" w:fill="D5EEEE"/>
          </w:tcPr>
          <w:p>
            <w:pPr>
              <w:spacing w:after="0"/>
              <w:rPr>
                <w:sz w:val="16"/>
                <w:szCs w:val="16"/>
                <w:color w:val="auto"/>
              </w:rPr>
            </w:pPr>
          </w:p>
        </w:tc>
        <w:tc>
          <w:tcPr>
            <w:tcW w:w="160" w:type="dxa"/>
            <w:vAlign w:val="bottom"/>
            <w:tcBorders>
              <w:bottom w:val="single" w:sz="8" w:color="D5EEEE"/>
            </w:tcBorders>
            <w:shd w:val="clear" w:color="auto" w:fill="D5EEEE"/>
          </w:tcPr>
          <w:p>
            <w:pPr>
              <w:spacing w:after="0"/>
              <w:rPr>
                <w:sz w:val="16"/>
                <w:szCs w:val="16"/>
                <w:color w:val="auto"/>
              </w:rPr>
            </w:pPr>
          </w:p>
        </w:tc>
        <w:tc>
          <w:tcPr>
            <w:tcW w:w="1400" w:type="dxa"/>
            <w:vAlign w:val="bottom"/>
            <w:tcBorders>
              <w:bottom w:val="single" w:sz="8" w:color="D5EEEE"/>
            </w:tcBorders>
            <w:shd w:val="clear" w:color="auto" w:fill="D5EEEE"/>
          </w:tcPr>
          <w:p>
            <w:pPr>
              <w:jc w:val="right"/>
              <w:ind w:right="56"/>
              <w:spacing w:after="0" w:line="186" w:lineRule="exact"/>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D5EEEE"/>
            </w:tcBorders>
            <w:shd w:val="clear" w:color="auto" w:fill="D5EEEE"/>
          </w:tcPr>
          <w:p>
            <w:pPr>
              <w:spacing w:after="0"/>
              <w:rPr>
                <w:sz w:val="16"/>
                <w:szCs w:val="16"/>
                <w:color w:val="auto"/>
              </w:rPr>
            </w:pPr>
          </w:p>
        </w:tc>
        <w:tc>
          <w:tcPr>
            <w:tcW w:w="20" w:type="dxa"/>
            <w:vAlign w:val="bottom"/>
            <w:tcBorders>
              <w:bottom w:val="single" w:sz="8" w:color="D5EEEE"/>
            </w:tcBorders>
            <w:shd w:val="clear" w:color="auto" w:fill="D5EEEE"/>
          </w:tcPr>
          <w:p>
            <w:pPr>
              <w:spacing w:after="0"/>
              <w:rPr>
                <w:sz w:val="16"/>
                <w:szCs w:val="16"/>
                <w:color w:val="auto"/>
              </w:rPr>
            </w:pPr>
          </w:p>
        </w:tc>
        <w:tc>
          <w:tcPr>
            <w:tcW w:w="200" w:type="dxa"/>
            <w:vAlign w:val="bottom"/>
            <w:tcBorders>
              <w:bottom w:val="single" w:sz="8" w:color="D5EEEE"/>
            </w:tcBorders>
            <w:shd w:val="clear" w:color="auto" w:fill="D5EEEE"/>
          </w:tcPr>
          <w:p>
            <w:pPr>
              <w:spacing w:after="0"/>
              <w:rPr>
                <w:sz w:val="16"/>
                <w:szCs w:val="16"/>
                <w:color w:val="auto"/>
              </w:rPr>
            </w:pPr>
          </w:p>
        </w:tc>
        <w:tc>
          <w:tcPr>
            <w:tcW w:w="1480" w:type="dxa"/>
            <w:vAlign w:val="bottom"/>
            <w:tcBorders>
              <w:bottom w:val="single" w:sz="8" w:color="D5EEEE"/>
            </w:tcBorders>
            <w:shd w:val="clear" w:color="auto" w:fill="D5EEEE"/>
          </w:tcPr>
          <w:p>
            <w:pPr>
              <w:jc w:val="right"/>
              <w:ind w:right="16"/>
              <w:spacing w:after="0" w:line="186" w:lineRule="exact"/>
              <w:rPr>
                <w:sz w:val="20"/>
                <w:szCs w:val="20"/>
                <w:color w:val="auto"/>
              </w:rPr>
            </w:pPr>
            <w:r>
              <w:rPr>
                <w:rFonts w:ascii="Times New Roman" w:cs="Times New Roman" w:eastAsia="Times New Roman" w:hAnsi="Times New Roman"/>
                <w:sz w:val="17"/>
                <w:szCs w:val="17"/>
                <w:color w:val="auto"/>
              </w:rPr>
              <w:t>6,434</w:t>
            </w:r>
          </w:p>
        </w:tc>
      </w:tr>
      <w:tr>
        <w:trPr>
          <w:trHeight w:val="186"/>
        </w:trPr>
        <w:tc>
          <w:tcPr>
            <w:tcW w:w="4780" w:type="dxa"/>
            <w:vAlign w:val="bottom"/>
            <w:gridSpan w:val="4"/>
          </w:tcPr>
          <w:p>
            <w:pPr>
              <w:spacing w:after="0" w:line="186" w:lineRule="exact"/>
              <w:rPr>
                <w:sz w:val="20"/>
                <w:szCs w:val="20"/>
                <w:color w:val="auto"/>
              </w:rPr>
            </w:pPr>
            <w:r>
              <w:rPr>
                <w:rFonts w:ascii="Times New Roman" w:cs="Times New Roman" w:eastAsia="Times New Roman" w:hAnsi="Times New Roman"/>
                <w:sz w:val="17"/>
                <w:szCs w:val="17"/>
                <w:color w:val="auto"/>
              </w:rPr>
              <w:t>Net loss</w:t>
            </w:r>
          </w:p>
        </w:tc>
        <w:tc>
          <w:tcPr>
            <w:tcW w:w="1280" w:type="dxa"/>
            <w:vAlign w:val="bottom"/>
          </w:tcPr>
          <w:p>
            <w:pPr>
              <w:jc w:val="right"/>
              <w:spacing w:after="0" w:line="186" w:lineRule="exact"/>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80" w:type="dxa"/>
            <w:vAlign w:val="bottom"/>
          </w:tcPr>
          <w:p>
            <w:pPr>
              <w:jc w:val="right"/>
              <w:spacing w:after="0" w:line="186" w:lineRule="exact"/>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line="186" w:lineRule="exact"/>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right"/>
              <w:spacing w:after="0" w:line="186" w:lineRule="exact"/>
              <w:rPr>
                <w:sz w:val="20"/>
                <w:szCs w:val="20"/>
                <w:color w:val="auto"/>
              </w:rPr>
            </w:pPr>
            <w:r>
              <w:rPr>
                <w:rFonts w:ascii="Times New Roman" w:cs="Times New Roman" w:eastAsia="Times New Roman" w:hAnsi="Times New Roman"/>
                <w:sz w:val="17"/>
                <w:szCs w:val="17"/>
                <w:color w:val="auto"/>
              </w:rPr>
              <w:t>(58,241)</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jc w:val="right"/>
              <w:spacing w:after="0" w:line="186" w:lineRule="exact"/>
              <w:rPr>
                <w:sz w:val="20"/>
                <w:szCs w:val="20"/>
                <w:color w:val="auto"/>
              </w:rPr>
            </w:pPr>
            <w:r>
              <w:rPr>
                <w:rFonts w:ascii="Times New Roman" w:cs="Times New Roman" w:eastAsia="Times New Roman" w:hAnsi="Times New Roman"/>
                <w:sz w:val="17"/>
                <w:szCs w:val="17"/>
                <w:color w:val="auto"/>
              </w:rPr>
              <w:t>(58,241)</w:t>
            </w:r>
          </w:p>
        </w:tc>
      </w:tr>
      <w:tr>
        <w:trPr>
          <w:trHeight w:val="22"/>
        </w:trPr>
        <w:tc>
          <w:tcPr>
            <w:tcW w:w="4720" w:type="dxa"/>
            <w:vAlign w:val="bottom"/>
            <w:tcBorders>
              <w:bottom w:val="single" w:sz="8" w:color="D5EEEE"/>
            </w:tcBorders>
          </w:tcPr>
          <w:p>
            <w:pPr>
              <w:spacing w:after="0" w:line="20" w:lineRule="exact"/>
              <w:rPr>
                <w:sz w:val="1"/>
                <w:szCs w:val="1"/>
                <w:color w:val="auto"/>
              </w:rPr>
            </w:pPr>
          </w:p>
        </w:tc>
        <w:tc>
          <w:tcPr>
            <w:tcW w:w="20" w:type="dxa"/>
            <w:vAlign w:val="bottom"/>
            <w:tcBorders>
              <w:bottom w:val="single" w:sz="8" w:color="D5EEEE"/>
            </w:tcBorders>
          </w:tcPr>
          <w:p>
            <w:pPr>
              <w:spacing w:after="0" w:line="20" w:lineRule="exact"/>
              <w:rPr>
                <w:sz w:val="1"/>
                <w:szCs w:val="1"/>
                <w:color w:val="auto"/>
              </w:rPr>
            </w:pPr>
          </w:p>
        </w:tc>
        <w:tc>
          <w:tcPr>
            <w:tcW w:w="20" w:type="dxa"/>
            <w:vAlign w:val="bottom"/>
            <w:tcBorders>
              <w:bottom w:val="single" w:sz="8" w:color="D5EEEE"/>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D5EEEE"/>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D5EEEE"/>
            </w:tcBorders>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D5EEEE"/>
            </w:tcBorders>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D5EEEE"/>
            </w:tcBorders>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83"/>
        </w:trPr>
        <w:tc>
          <w:tcPr>
            <w:tcW w:w="4760" w:type="dxa"/>
            <w:vAlign w:val="bottom"/>
            <w:tcBorders>
              <w:bottom w:val="single" w:sz="8" w:color="D5EEEE"/>
            </w:tcBorders>
            <w:gridSpan w:val="3"/>
            <w:shd w:val="clear" w:color="auto" w:fill="D5EEEE"/>
          </w:tcPr>
          <w:p>
            <w:pPr>
              <w:spacing w:after="0" w:line="172" w:lineRule="exact"/>
              <w:rPr>
                <w:sz w:val="20"/>
                <w:szCs w:val="20"/>
                <w:color w:val="auto"/>
              </w:rPr>
            </w:pPr>
            <w:r>
              <w:rPr>
                <w:rFonts w:ascii="Times New Roman" w:cs="Times New Roman" w:eastAsia="Times New Roman" w:hAnsi="Times New Roman"/>
                <w:sz w:val="17"/>
                <w:szCs w:val="17"/>
                <w:b w:val="1"/>
                <w:bCs w:val="1"/>
                <w:color w:val="auto"/>
              </w:rPr>
              <w:t>Balance at December 31, 2024</w:t>
            </w:r>
          </w:p>
        </w:tc>
        <w:tc>
          <w:tcPr>
            <w:tcW w:w="20" w:type="dxa"/>
            <w:vAlign w:val="bottom"/>
            <w:tcBorders>
              <w:bottom w:val="single" w:sz="8" w:color="D5EEEE"/>
            </w:tcBorders>
            <w:shd w:val="clear" w:color="auto" w:fill="D5EEEE"/>
          </w:tcPr>
          <w:p>
            <w:pPr>
              <w:spacing w:after="0"/>
              <w:rPr>
                <w:sz w:val="15"/>
                <w:szCs w:val="15"/>
                <w:color w:val="auto"/>
              </w:rPr>
            </w:pPr>
          </w:p>
        </w:tc>
        <w:tc>
          <w:tcPr>
            <w:tcW w:w="1280" w:type="dxa"/>
            <w:vAlign w:val="bottom"/>
            <w:tcBorders>
              <w:bottom w:val="single" w:sz="8" w:color="D5EEEE"/>
            </w:tcBorders>
            <w:shd w:val="clear" w:color="auto" w:fill="D5EEEE"/>
          </w:tcPr>
          <w:p>
            <w:pPr>
              <w:jc w:val="right"/>
              <w:spacing w:after="0" w:line="181" w:lineRule="exact"/>
              <w:rPr>
                <w:sz w:val="20"/>
                <w:szCs w:val="20"/>
                <w:color w:val="auto"/>
              </w:rPr>
            </w:pPr>
            <w:r>
              <w:rPr>
                <w:rFonts w:ascii="Times New Roman" w:cs="Times New Roman" w:eastAsia="Times New Roman" w:hAnsi="Times New Roman"/>
                <w:sz w:val="17"/>
                <w:szCs w:val="17"/>
                <w:color w:val="auto"/>
              </w:rPr>
              <w:t>3,268,299</w:t>
            </w:r>
          </w:p>
        </w:tc>
        <w:tc>
          <w:tcPr>
            <w:tcW w:w="300" w:type="dxa"/>
            <w:vAlign w:val="bottom"/>
            <w:tcBorders>
              <w:bottom w:val="single" w:sz="8" w:color="D5EEEE"/>
            </w:tcBorders>
            <w:shd w:val="clear" w:color="auto" w:fill="D5EEEE"/>
          </w:tcPr>
          <w:p>
            <w:pPr>
              <w:spacing w:after="0"/>
              <w:rPr>
                <w:sz w:val="15"/>
                <w:szCs w:val="15"/>
                <w:color w:val="auto"/>
              </w:rPr>
            </w:pPr>
          </w:p>
        </w:tc>
        <w:tc>
          <w:tcPr>
            <w:tcW w:w="20" w:type="dxa"/>
            <w:vAlign w:val="bottom"/>
            <w:tcBorders>
              <w:bottom w:val="single" w:sz="8" w:color="D5EEEE"/>
            </w:tcBorders>
            <w:shd w:val="clear" w:color="auto" w:fill="D5EEEE"/>
          </w:tcPr>
          <w:p>
            <w:pPr>
              <w:spacing w:after="0"/>
              <w:rPr>
                <w:sz w:val="15"/>
                <w:szCs w:val="15"/>
                <w:color w:val="auto"/>
              </w:rPr>
            </w:pPr>
          </w:p>
        </w:tc>
        <w:tc>
          <w:tcPr>
            <w:tcW w:w="1120" w:type="dxa"/>
            <w:vAlign w:val="bottom"/>
            <w:tcBorders>
              <w:bottom w:val="single" w:sz="8" w:color="D5EEEE"/>
            </w:tcBorders>
            <w:shd w:val="clear" w:color="auto" w:fill="D5EEEE"/>
          </w:tcPr>
          <w:p>
            <w:pPr>
              <w:jc w:val="right"/>
              <w:ind w:right="1001"/>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bottom w:val="single" w:sz="8" w:color="D5EEEE"/>
            </w:tcBorders>
            <w:shd w:val="clear" w:color="auto" w:fill="D5EEEE"/>
          </w:tcPr>
          <w:p>
            <w:pPr>
              <w:jc w:val="right"/>
              <w:spacing w:after="0" w:line="181" w:lineRule="exact"/>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D5EEEE"/>
            </w:tcBorders>
            <w:shd w:val="clear" w:color="auto" w:fill="D5EEEE"/>
          </w:tcPr>
          <w:p>
            <w:pPr>
              <w:spacing w:after="0"/>
              <w:rPr>
                <w:sz w:val="15"/>
                <w:szCs w:val="15"/>
                <w:color w:val="auto"/>
              </w:rPr>
            </w:pPr>
          </w:p>
        </w:tc>
        <w:tc>
          <w:tcPr>
            <w:tcW w:w="20" w:type="dxa"/>
            <w:vAlign w:val="bottom"/>
            <w:tcBorders>
              <w:bottom w:val="single" w:sz="8" w:color="D5EEEE"/>
            </w:tcBorders>
            <w:shd w:val="clear" w:color="auto" w:fill="D5EEEE"/>
          </w:tcPr>
          <w:p>
            <w:pPr>
              <w:spacing w:after="0"/>
              <w:rPr>
                <w:sz w:val="15"/>
                <w:szCs w:val="15"/>
                <w:color w:val="auto"/>
              </w:rPr>
            </w:pPr>
          </w:p>
        </w:tc>
        <w:tc>
          <w:tcPr>
            <w:tcW w:w="220" w:type="dxa"/>
            <w:vAlign w:val="bottom"/>
            <w:tcBorders>
              <w:bottom w:val="single" w:sz="8" w:color="D5EEEE"/>
            </w:tcBorders>
            <w:shd w:val="clear" w:color="auto" w:fill="D5EEEE"/>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D5EEEE"/>
            </w:tcBorders>
            <w:shd w:val="clear" w:color="auto" w:fill="D5EEEE"/>
          </w:tcPr>
          <w:p>
            <w:pPr>
              <w:jc w:val="right"/>
              <w:spacing w:after="0" w:line="181" w:lineRule="exact"/>
              <w:rPr>
                <w:sz w:val="20"/>
                <w:szCs w:val="20"/>
                <w:color w:val="auto"/>
              </w:rPr>
            </w:pPr>
            <w:r>
              <w:rPr>
                <w:rFonts w:ascii="Times New Roman" w:cs="Times New Roman" w:eastAsia="Times New Roman" w:hAnsi="Times New Roman"/>
                <w:sz w:val="17"/>
                <w:szCs w:val="17"/>
                <w:color w:val="auto"/>
              </w:rPr>
              <w:t>401,351</w:t>
            </w:r>
          </w:p>
        </w:tc>
        <w:tc>
          <w:tcPr>
            <w:tcW w:w="300" w:type="dxa"/>
            <w:vAlign w:val="bottom"/>
            <w:tcBorders>
              <w:bottom w:val="single" w:sz="8" w:color="D5EEEE"/>
            </w:tcBorders>
            <w:shd w:val="clear" w:color="auto" w:fill="D5EEEE"/>
          </w:tcPr>
          <w:p>
            <w:pPr>
              <w:spacing w:after="0"/>
              <w:rPr>
                <w:sz w:val="15"/>
                <w:szCs w:val="15"/>
                <w:color w:val="auto"/>
              </w:rPr>
            </w:pPr>
          </w:p>
        </w:tc>
        <w:tc>
          <w:tcPr>
            <w:tcW w:w="20" w:type="dxa"/>
            <w:vAlign w:val="bottom"/>
            <w:tcBorders>
              <w:bottom w:val="single" w:sz="8" w:color="D5EEEE"/>
            </w:tcBorders>
            <w:shd w:val="clear" w:color="auto" w:fill="D5EEEE"/>
          </w:tcPr>
          <w:p>
            <w:pPr>
              <w:spacing w:after="0"/>
              <w:rPr>
                <w:sz w:val="15"/>
                <w:szCs w:val="15"/>
                <w:color w:val="auto"/>
              </w:rPr>
            </w:pPr>
          </w:p>
        </w:tc>
        <w:tc>
          <w:tcPr>
            <w:tcW w:w="160" w:type="dxa"/>
            <w:vAlign w:val="bottom"/>
            <w:tcBorders>
              <w:bottom w:val="single" w:sz="8" w:color="D5EEEE"/>
            </w:tcBorders>
            <w:shd w:val="clear" w:color="auto" w:fill="D5EEEE"/>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bottom w:val="single" w:sz="8" w:color="D5EEEE"/>
            </w:tcBorders>
            <w:shd w:val="clear" w:color="auto" w:fill="D5EEEE"/>
          </w:tcPr>
          <w:p>
            <w:pPr>
              <w:jc w:val="right"/>
              <w:spacing w:after="0" w:line="181" w:lineRule="exact"/>
              <w:rPr>
                <w:sz w:val="20"/>
                <w:szCs w:val="20"/>
                <w:color w:val="auto"/>
              </w:rPr>
            </w:pPr>
            <w:r>
              <w:rPr>
                <w:rFonts w:ascii="Times New Roman" w:cs="Times New Roman" w:eastAsia="Times New Roman" w:hAnsi="Times New Roman"/>
                <w:sz w:val="17"/>
                <w:szCs w:val="17"/>
                <w:color w:val="auto"/>
              </w:rPr>
              <w:t>(383,753)</w:t>
            </w:r>
          </w:p>
        </w:tc>
        <w:tc>
          <w:tcPr>
            <w:tcW w:w="300" w:type="dxa"/>
            <w:vAlign w:val="bottom"/>
            <w:tcBorders>
              <w:bottom w:val="single" w:sz="8" w:color="D5EEEE"/>
            </w:tcBorders>
            <w:shd w:val="clear" w:color="auto" w:fill="D5EEEE"/>
          </w:tcPr>
          <w:p>
            <w:pPr>
              <w:spacing w:after="0"/>
              <w:rPr>
                <w:sz w:val="15"/>
                <w:szCs w:val="15"/>
                <w:color w:val="auto"/>
              </w:rPr>
            </w:pPr>
          </w:p>
        </w:tc>
        <w:tc>
          <w:tcPr>
            <w:tcW w:w="20" w:type="dxa"/>
            <w:vAlign w:val="bottom"/>
            <w:tcBorders>
              <w:bottom w:val="single" w:sz="8" w:color="D5EEEE"/>
            </w:tcBorders>
            <w:shd w:val="clear" w:color="auto" w:fill="D5EEEE"/>
          </w:tcPr>
          <w:p>
            <w:pPr>
              <w:spacing w:after="0"/>
              <w:rPr>
                <w:sz w:val="15"/>
                <w:szCs w:val="15"/>
                <w:color w:val="auto"/>
              </w:rPr>
            </w:pPr>
          </w:p>
        </w:tc>
        <w:tc>
          <w:tcPr>
            <w:tcW w:w="200" w:type="dxa"/>
            <w:vAlign w:val="bottom"/>
            <w:tcBorders>
              <w:bottom w:val="single" w:sz="8" w:color="D5EEEE"/>
            </w:tcBorders>
            <w:shd w:val="clear" w:color="auto" w:fill="D5EEEE"/>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Borders>
              <w:bottom w:val="single" w:sz="8" w:color="D5EEEE"/>
            </w:tcBorders>
            <w:shd w:val="clear" w:color="auto" w:fill="D5EEEE"/>
          </w:tcPr>
          <w:p>
            <w:pPr>
              <w:jc w:val="right"/>
              <w:ind w:right="16"/>
              <w:spacing w:after="0" w:line="181" w:lineRule="exact"/>
              <w:rPr>
                <w:sz w:val="20"/>
                <w:szCs w:val="20"/>
                <w:color w:val="auto"/>
              </w:rPr>
            </w:pPr>
            <w:r>
              <w:rPr>
                <w:rFonts w:ascii="Times New Roman" w:cs="Times New Roman" w:eastAsia="Times New Roman" w:hAnsi="Times New Roman"/>
                <w:sz w:val="17"/>
                <w:szCs w:val="17"/>
                <w:color w:val="auto"/>
              </w:rPr>
              <w:t>17,598</w:t>
            </w:r>
          </w:p>
        </w:tc>
      </w:tr>
      <w:tr>
        <w:trPr>
          <w:trHeight w:val="186"/>
        </w:trPr>
        <w:tc>
          <w:tcPr>
            <w:tcW w:w="4780" w:type="dxa"/>
            <w:vAlign w:val="bottom"/>
            <w:gridSpan w:val="4"/>
          </w:tcPr>
          <w:p>
            <w:pPr>
              <w:spacing w:after="0" w:line="186" w:lineRule="exact"/>
              <w:rPr>
                <w:sz w:val="20"/>
                <w:szCs w:val="20"/>
                <w:color w:val="auto"/>
              </w:rPr>
            </w:pPr>
            <w:r>
              <w:rPr>
                <w:rFonts w:ascii="Times New Roman" w:cs="Times New Roman" w:eastAsia="Times New Roman" w:hAnsi="Times New Roman"/>
                <w:sz w:val="17"/>
                <w:szCs w:val="17"/>
                <w:color w:val="auto"/>
              </w:rPr>
              <w:t>Issuance of prefunded warrants in connection with a follow-on</w:t>
            </w:r>
          </w:p>
        </w:tc>
        <w:tc>
          <w:tcPr>
            <w:tcW w:w="1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1"/>
        </w:trPr>
        <w:tc>
          <w:tcPr>
            <w:tcW w:w="4780" w:type="dxa"/>
            <w:vAlign w:val="bottom"/>
            <w:gridSpan w:val="4"/>
          </w:tcPr>
          <w:p>
            <w:pPr>
              <w:spacing w:after="0" w:line="187" w:lineRule="exact"/>
              <w:rPr>
                <w:sz w:val="20"/>
                <w:szCs w:val="20"/>
                <w:color w:val="auto"/>
              </w:rPr>
            </w:pPr>
            <w:r>
              <w:rPr>
                <w:rFonts w:ascii="Times New Roman" w:cs="Times New Roman" w:eastAsia="Times New Roman" w:hAnsi="Times New Roman"/>
                <w:sz w:val="17"/>
                <w:szCs w:val="17"/>
                <w:color w:val="auto"/>
              </w:rPr>
              <w:t>offering, net of issuance costs</w:t>
            </w: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10,818</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right"/>
              <w:ind w:right="56"/>
              <w:spacing w:after="0" w:line="187" w:lineRule="exact"/>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jc w:val="right"/>
              <w:ind w:right="16"/>
              <w:spacing w:after="0" w:line="187" w:lineRule="exact"/>
              <w:rPr>
                <w:sz w:val="20"/>
                <w:szCs w:val="20"/>
                <w:color w:val="auto"/>
              </w:rPr>
            </w:pPr>
            <w:r>
              <w:rPr>
                <w:rFonts w:ascii="Times New Roman" w:cs="Times New Roman" w:eastAsia="Times New Roman" w:hAnsi="Times New Roman"/>
                <w:sz w:val="17"/>
                <w:szCs w:val="17"/>
                <w:color w:val="auto"/>
              </w:rPr>
              <w:t>10,818</w:t>
            </w:r>
          </w:p>
        </w:tc>
      </w:tr>
      <w:tr>
        <w:trPr>
          <w:trHeight w:val="27"/>
        </w:trPr>
        <w:tc>
          <w:tcPr>
            <w:tcW w:w="47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86"/>
        </w:trPr>
        <w:tc>
          <w:tcPr>
            <w:tcW w:w="4780" w:type="dxa"/>
            <w:vAlign w:val="bottom"/>
            <w:gridSpan w:val="4"/>
            <w:shd w:val="clear" w:color="auto" w:fill="D5EEEE"/>
          </w:tcPr>
          <w:p>
            <w:pPr>
              <w:spacing w:after="0" w:line="186" w:lineRule="exact"/>
              <w:rPr>
                <w:sz w:val="20"/>
                <w:szCs w:val="20"/>
                <w:color w:val="auto"/>
              </w:rPr>
            </w:pPr>
            <w:r>
              <w:rPr>
                <w:rFonts w:ascii="Times New Roman" w:cs="Times New Roman" w:eastAsia="Times New Roman" w:hAnsi="Times New Roman"/>
                <w:sz w:val="17"/>
                <w:szCs w:val="17"/>
                <w:color w:val="auto"/>
              </w:rPr>
              <w:t>Issuance of common stock in connection with the exercise of</w:t>
            </w:r>
          </w:p>
        </w:tc>
        <w:tc>
          <w:tcPr>
            <w:tcW w:w="1280" w:type="dxa"/>
            <w:vAlign w:val="bottom"/>
            <w:shd w:val="clear" w:color="auto" w:fill="D5EEEE"/>
          </w:tcPr>
          <w:p>
            <w:pPr>
              <w:spacing w:after="0"/>
              <w:rPr>
                <w:sz w:val="16"/>
                <w:szCs w:val="16"/>
                <w:color w:val="auto"/>
              </w:rPr>
            </w:pPr>
          </w:p>
        </w:tc>
        <w:tc>
          <w:tcPr>
            <w:tcW w:w="300" w:type="dxa"/>
            <w:vAlign w:val="bottom"/>
            <w:shd w:val="clear" w:color="auto" w:fill="D5EEEE"/>
          </w:tcPr>
          <w:p>
            <w:pPr>
              <w:spacing w:after="0"/>
              <w:rPr>
                <w:sz w:val="16"/>
                <w:szCs w:val="16"/>
                <w:color w:val="auto"/>
              </w:rPr>
            </w:pPr>
          </w:p>
        </w:tc>
        <w:tc>
          <w:tcPr>
            <w:tcW w:w="20" w:type="dxa"/>
            <w:vAlign w:val="bottom"/>
            <w:shd w:val="clear" w:color="auto" w:fill="D5EEEE"/>
          </w:tcPr>
          <w:p>
            <w:pPr>
              <w:spacing w:after="0"/>
              <w:rPr>
                <w:sz w:val="16"/>
                <w:szCs w:val="16"/>
                <w:color w:val="auto"/>
              </w:rPr>
            </w:pPr>
          </w:p>
        </w:tc>
        <w:tc>
          <w:tcPr>
            <w:tcW w:w="1120" w:type="dxa"/>
            <w:vAlign w:val="bottom"/>
            <w:shd w:val="clear" w:color="auto" w:fill="D5EEEE"/>
          </w:tcPr>
          <w:p>
            <w:pPr>
              <w:spacing w:after="0"/>
              <w:rPr>
                <w:sz w:val="16"/>
                <w:szCs w:val="16"/>
                <w:color w:val="auto"/>
              </w:rPr>
            </w:pPr>
          </w:p>
        </w:tc>
        <w:tc>
          <w:tcPr>
            <w:tcW w:w="380" w:type="dxa"/>
            <w:vAlign w:val="bottom"/>
            <w:shd w:val="clear" w:color="auto" w:fill="D5EEEE"/>
          </w:tcPr>
          <w:p>
            <w:pPr>
              <w:spacing w:after="0"/>
              <w:rPr>
                <w:sz w:val="16"/>
                <w:szCs w:val="16"/>
                <w:color w:val="auto"/>
              </w:rPr>
            </w:pPr>
          </w:p>
        </w:tc>
        <w:tc>
          <w:tcPr>
            <w:tcW w:w="300" w:type="dxa"/>
            <w:vAlign w:val="bottom"/>
            <w:shd w:val="clear" w:color="auto" w:fill="D5EEEE"/>
          </w:tcPr>
          <w:p>
            <w:pPr>
              <w:spacing w:after="0"/>
              <w:rPr>
                <w:sz w:val="16"/>
                <w:szCs w:val="16"/>
                <w:color w:val="auto"/>
              </w:rPr>
            </w:pPr>
          </w:p>
        </w:tc>
        <w:tc>
          <w:tcPr>
            <w:tcW w:w="20" w:type="dxa"/>
            <w:vAlign w:val="bottom"/>
            <w:shd w:val="clear" w:color="auto" w:fill="D5EEEE"/>
          </w:tcPr>
          <w:p>
            <w:pPr>
              <w:spacing w:after="0"/>
              <w:rPr>
                <w:sz w:val="16"/>
                <w:szCs w:val="16"/>
                <w:color w:val="auto"/>
              </w:rPr>
            </w:pPr>
          </w:p>
        </w:tc>
        <w:tc>
          <w:tcPr>
            <w:tcW w:w="220" w:type="dxa"/>
            <w:vAlign w:val="bottom"/>
            <w:shd w:val="clear" w:color="auto" w:fill="D5EEEE"/>
          </w:tcPr>
          <w:p>
            <w:pPr>
              <w:spacing w:after="0"/>
              <w:rPr>
                <w:sz w:val="16"/>
                <w:szCs w:val="16"/>
                <w:color w:val="auto"/>
              </w:rPr>
            </w:pPr>
          </w:p>
        </w:tc>
        <w:tc>
          <w:tcPr>
            <w:tcW w:w="1300" w:type="dxa"/>
            <w:vAlign w:val="bottom"/>
            <w:shd w:val="clear" w:color="auto" w:fill="D5EEEE"/>
          </w:tcPr>
          <w:p>
            <w:pPr>
              <w:spacing w:after="0"/>
              <w:rPr>
                <w:sz w:val="16"/>
                <w:szCs w:val="16"/>
                <w:color w:val="auto"/>
              </w:rPr>
            </w:pPr>
          </w:p>
        </w:tc>
        <w:tc>
          <w:tcPr>
            <w:tcW w:w="300" w:type="dxa"/>
            <w:vAlign w:val="bottom"/>
            <w:shd w:val="clear" w:color="auto" w:fill="D5EEEE"/>
          </w:tcPr>
          <w:p>
            <w:pPr>
              <w:spacing w:after="0"/>
              <w:rPr>
                <w:sz w:val="16"/>
                <w:szCs w:val="16"/>
                <w:color w:val="auto"/>
              </w:rPr>
            </w:pPr>
          </w:p>
        </w:tc>
        <w:tc>
          <w:tcPr>
            <w:tcW w:w="20" w:type="dxa"/>
            <w:vAlign w:val="bottom"/>
            <w:shd w:val="clear" w:color="auto" w:fill="D5EEEE"/>
          </w:tcPr>
          <w:p>
            <w:pPr>
              <w:spacing w:after="0"/>
              <w:rPr>
                <w:sz w:val="16"/>
                <w:szCs w:val="16"/>
                <w:color w:val="auto"/>
              </w:rPr>
            </w:pPr>
          </w:p>
        </w:tc>
        <w:tc>
          <w:tcPr>
            <w:tcW w:w="160" w:type="dxa"/>
            <w:vAlign w:val="bottom"/>
            <w:shd w:val="clear" w:color="auto" w:fill="D5EEEE"/>
          </w:tcPr>
          <w:p>
            <w:pPr>
              <w:spacing w:after="0"/>
              <w:rPr>
                <w:sz w:val="16"/>
                <w:szCs w:val="16"/>
                <w:color w:val="auto"/>
              </w:rPr>
            </w:pPr>
          </w:p>
        </w:tc>
        <w:tc>
          <w:tcPr>
            <w:tcW w:w="1400" w:type="dxa"/>
            <w:vAlign w:val="bottom"/>
            <w:shd w:val="clear" w:color="auto" w:fill="D5EEEE"/>
          </w:tcPr>
          <w:p>
            <w:pPr>
              <w:spacing w:after="0"/>
              <w:rPr>
                <w:sz w:val="16"/>
                <w:szCs w:val="16"/>
                <w:color w:val="auto"/>
              </w:rPr>
            </w:pPr>
          </w:p>
        </w:tc>
        <w:tc>
          <w:tcPr>
            <w:tcW w:w="300" w:type="dxa"/>
            <w:vAlign w:val="bottom"/>
            <w:shd w:val="clear" w:color="auto" w:fill="D5EEEE"/>
          </w:tcPr>
          <w:p>
            <w:pPr>
              <w:spacing w:after="0"/>
              <w:rPr>
                <w:sz w:val="16"/>
                <w:szCs w:val="16"/>
                <w:color w:val="auto"/>
              </w:rPr>
            </w:pPr>
          </w:p>
        </w:tc>
        <w:tc>
          <w:tcPr>
            <w:tcW w:w="20" w:type="dxa"/>
            <w:vAlign w:val="bottom"/>
            <w:shd w:val="clear" w:color="auto" w:fill="D5EEEE"/>
          </w:tcPr>
          <w:p>
            <w:pPr>
              <w:spacing w:after="0"/>
              <w:rPr>
                <w:sz w:val="16"/>
                <w:szCs w:val="16"/>
                <w:color w:val="auto"/>
              </w:rPr>
            </w:pPr>
          </w:p>
        </w:tc>
        <w:tc>
          <w:tcPr>
            <w:tcW w:w="200" w:type="dxa"/>
            <w:vAlign w:val="bottom"/>
            <w:shd w:val="clear" w:color="auto" w:fill="D5EEEE"/>
          </w:tcPr>
          <w:p>
            <w:pPr>
              <w:spacing w:after="0"/>
              <w:rPr>
                <w:sz w:val="16"/>
                <w:szCs w:val="16"/>
                <w:color w:val="auto"/>
              </w:rPr>
            </w:pPr>
          </w:p>
        </w:tc>
        <w:tc>
          <w:tcPr>
            <w:tcW w:w="1480" w:type="dxa"/>
            <w:vAlign w:val="bottom"/>
            <w:shd w:val="clear" w:color="auto" w:fill="D5EEEE"/>
          </w:tcPr>
          <w:p>
            <w:pPr>
              <w:spacing w:after="0"/>
              <w:rPr>
                <w:sz w:val="16"/>
                <w:szCs w:val="16"/>
                <w:color w:val="auto"/>
              </w:rPr>
            </w:pPr>
          </w:p>
        </w:tc>
      </w:tr>
      <w:tr>
        <w:trPr>
          <w:trHeight w:val="198"/>
        </w:trPr>
        <w:tc>
          <w:tcPr>
            <w:tcW w:w="4780" w:type="dxa"/>
            <w:vAlign w:val="bottom"/>
            <w:tcBorders>
              <w:bottom w:val="single" w:sz="8" w:color="D5EEEE"/>
            </w:tcBorders>
            <w:gridSpan w:val="4"/>
            <w:shd w:val="clear" w:color="auto" w:fill="D5EEEE"/>
          </w:tcPr>
          <w:p>
            <w:pPr>
              <w:spacing w:after="0" w:line="187" w:lineRule="exact"/>
              <w:rPr>
                <w:sz w:val="20"/>
                <w:szCs w:val="20"/>
                <w:color w:val="auto"/>
              </w:rPr>
            </w:pPr>
            <w:r>
              <w:rPr>
                <w:rFonts w:ascii="Times New Roman" w:cs="Times New Roman" w:eastAsia="Times New Roman" w:hAnsi="Times New Roman"/>
                <w:sz w:val="17"/>
                <w:szCs w:val="17"/>
                <w:color w:val="auto"/>
              </w:rPr>
              <w:t>prefunded warrants</w:t>
            </w:r>
          </w:p>
        </w:tc>
        <w:tc>
          <w:tcPr>
            <w:tcW w:w="1280" w:type="dxa"/>
            <w:vAlign w:val="bottom"/>
            <w:tcBorders>
              <w:bottom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15"/>
                <w:szCs w:val="15"/>
                <w:color w:val="auto"/>
              </w:rPr>
              <w:t>524,033</w:t>
            </w:r>
          </w:p>
        </w:tc>
        <w:tc>
          <w:tcPr>
            <w:tcW w:w="300" w:type="dxa"/>
            <w:vAlign w:val="bottom"/>
            <w:tcBorders>
              <w:bottom w:val="single" w:sz="8" w:color="D5EEEE"/>
            </w:tcBorders>
            <w:shd w:val="clear" w:color="auto" w:fill="D5EEEE"/>
          </w:tcPr>
          <w:p>
            <w:pPr>
              <w:spacing w:after="0"/>
              <w:rPr>
                <w:sz w:val="17"/>
                <w:szCs w:val="17"/>
                <w:color w:val="auto"/>
              </w:rPr>
            </w:pPr>
          </w:p>
        </w:tc>
        <w:tc>
          <w:tcPr>
            <w:tcW w:w="20" w:type="dxa"/>
            <w:vAlign w:val="bottom"/>
            <w:tcBorders>
              <w:bottom w:val="single" w:sz="8" w:color="D5EEEE"/>
            </w:tcBorders>
            <w:shd w:val="clear" w:color="auto" w:fill="D5EEEE"/>
          </w:tcPr>
          <w:p>
            <w:pPr>
              <w:spacing w:after="0"/>
              <w:rPr>
                <w:sz w:val="17"/>
                <w:szCs w:val="17"/>
                <w:color w:val="auto"/>
              </w:rPr>
            </w:pPr>
          </w:p>
        </w:tc>
        <w:tc>
          <w:tcPr>
            <w:tcW w:w="1120" w:type="dxa"/>
            <w:vAlign w:val="bottom"/>
            <w:tcBorders>
              <w:bottom w:val="single" w:sz="8" w:color="D5EEEE"/>
            </w:tcBorders>
            <w:shd w:val="clear" w:color="auto" w:fill="D5EEEE"/>
          </w:tcPr>
          <w:p>
            <w:pPr>
              <w:spacing w:after="0"/>
              <w:rPr>
                <w:sz w:val="17"/>
                <w:szCs w:val="17"/>
                <w:color w:val="auto"/>
              </w:rPr>
            </w:pPr>
          </w:p>
        </w:tc>
        <w:tc>
          <w:tcPr>
            <w:tcW w:w="380" w:type="dxa"/>
            <w:vAlign w:val="bottom"/>
            <w:tcBorders>
              <w:bottom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Borders>
              <w:bottom w:val="single" w:sz="8" w:color="D5EEEE"/>
            </w:tcBorders>
            <w:shd w:val="clear" w:color="auto" w:fill="D5EEEE"/>
          </w:tcPr>
          <w:p>
            <w:pPr>
              <w:spacing w:after="0"/>
              <w:rPr>
                <w:sz w:val="17"/>
                <w:szCs w:val="17"/>
                <w:color w:val="auto"/>
              </w:rPr>
            </w:pPr>
          </w:p>
        </w:tc>
        <w:tc>
          <w:tcPr>
            <w:tcW w:w="20" w:type="dxa"/>
            <w:vAlign w:val="bottom"/>
            <w:tcBorders>
              <w:bottom w:val="single" w:sz="8" w:color="D5EEEE"/>
            </w:tcBorders>
            <w:shd w:val="clear" w:color="auto" w:fill="D5EEEE"/>
          </w:tcPr>
          <w:p>
            <w:pPr>
              <w:spacing w:after="0"/>
              <w:rPr>
                <w:sz w:val="17"/>
                <w:szCs w:val="17"/>
                <w:color w:val="auto"/>
              </w:rPr>
            </w:pPr>
          </w:p>
        </w:tc>
        <w:tc>
          <w:tcPr>
            <w:tcW w:w="220" w:type="dxa"/>
            <w:vAlign w:val="bottom"/>
            <w:tcBorders>
              <w:bottom w:val="single" w:sz="8" w:color="D5EEEE"/>
            </w:tcBorders>
            <w:shd w:val="clear" w:color="auto" w:fill="D5EEEE"/>
          </w:tcPr>
          <w:p>
            <w:pPr>
              <w:spacing w:after="0"/>
              <w:rPr>
                <w:sz w:val="17"/>
                <w:szCs w:val="17"/>
                <w:color w:val="auto"/>
              </w:rPr>
            </w:pPr>
          </w:p>
        </w:tc>
        <w:tc>
          <w:tcPr>
            <w:tcW w:w="1300" w:type="dxa"/>
            <w:vAlign w:val="bottom"/>
            <w:tcBorders>
              <w:bottom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300" w:type="dxa"/>
            <w:vAlign w:val="bottom"/>
            <w:tcBorders>
              <w:bottom w:val="single" w:sz="8" w:color="D5EEEE"/>
            </w:tcBorders>
            <w:shd w:val="clear" w:color="auto" w:fill="D5EEEE"/>
          </w:tcPr>
          <w:p>
            <w:pPr>
              <w:spacing w:after="0"/>
              <w:rPr>
                <w:sz w:val="17"/>
                <w:szCs w:val="17"/>
                <w:color w:val="auto"/>
              </w:rPr>
            </w:pPr>
          </w:p>
        </w:tc>
        <w:tc>
          <w:tcPr>
            <w:tcW w:w="20" w:type="dxa"/>
            <w:vAlign w:val="bottom"/>
            <w:tcBorders>
              <w:bottom w:val="single" w:sz="8" w:color="D5EEEE"/>
            </w:tcBorders>
            <w:shd w:val="clear" w:color="auto" w:fill="D5EEEE"/>
          </w:tcPr>
          <w:p>
            <w:pPr>
              <w:spacing w:after="0"/>
              <w:rPr>
                <w:sz w:val="17"/>
                <w:szCs w:val="17"/>
                <w:color w:val="auto"/>
              </w:rPr>
            </w:pPr>
          </w:p>
        </w:tc>
        <w:tc>
          <w:tcPr>
            <w:tcW w:w="160" w:type="dxa"/>
            <w:vAlign w:val="bottom"/>
            <w:tcBorders>
              <w:bottom w:val="single" w:sz="8" w:color="D5EEEE"/>
            </w:tcBorders>
            <w:shd w:val="clear" w:color="auto" w:fill="D5EEEE"/>
          </w:tcPr>
          <w:p>
            <w:pPr>
              <w:spacing w:after="0"/>
              <w:rPr>
                <w:sz w:val="17"/>
                <w:szCs w:val="17"/>
                <w:color w:val="auto"/>
              </w:rPr>
            </w:pPr>
          </w:p>
        </w:tc>
        <w:tc>
          <w:tcPr>
            <w:tcW w:w="1400" w:type="dxa"/>
            <w:vAlign w:val="bottom"/>
            <w:tcBorders>
              <w:bottom w:val="single" w:sz="8" w:color="D5EEEE"/>
            </w:tcBorders>
            <w:shd w:val="clear" w:color="auto" w:fill="D5EEEE"/>
          </w:tcPr>
          <w:p>
            <w:pPr>
              <w:jc w:val="right"/>
              <w:ind w:right="56"/>
              <w:spacing w:after="0" w:line="187" w:lineRule="exact"/>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D5EEEE"/>
            </w:tcBorders>
            <w:shd w:val="clear" w:color="auto" w:fill="D5EEEE"/>
          </w:tcPr>
          <w:p>
            <w:pPr>
              <w:spacing w:after="0"/>
              <w:rPr>
                <w:sz w:val="17"/>
                <w:szCs w:val="17"/>
                <w:color w:val="auto"/>
              </w:rPr>
            </w:pPr>
          </w:p>
        </w:tc>
        <w:tc>
          <w:tcPr>
            <w:tcW w:w="20" w:type="dxa"/>
            <w:vAlign w:val="bottom"/>
            <w:tcBorders>
              <w:bottom w:val="single" w:sz="8" w:color="D5EEEE"/>
            </w:tcBorders>
            <w:shd w:val="clear" w:color="auto" w:fill="D5EEEE"/>
          </w:tcPr>
          <w:p>
            <w:pPr>
              <w:spacing w:after="0"/>
              <w:rPr>
                <w:sz w:val="17"/>
                <w:szCs w:val="17"/>
                <w:color w:val="auto"/>
              </w:rPr>
            </w:pPr>
          </w:p>
        </w:tc>
        <w:tc>
          <w:tcPr>
            <w:tcW w:w="200" w:type="dxa"/>
            <w:vAlign w:val="bottom"/>
            <w:tcBorders>
              <w:bottom w:val="single" w:sz="8" w:color="D5EEEE"/>
            </w:tcBorders>
            <w:shd w:val="clear" w:color="auto" w:fill="D5EEEE"/>
          </w:tcPr>
          <w:p>
            <w:pPr>
              <w:spacing w:after="0"/>
              <w:rPr>
                <w:sz w:val="17"/>
                <w:szCs w:val="17"/>
                <w:color w:val="auto"/>
              </w:rPr>
            </w:pPr>
          </w:p>
        </w:tc>
        <w:tc>
          <w:tcPr>
            <w:tcW w:w="1480" w:type="dxa"/>
            <w:vAlign w:val="bottom"/>
            <w:tcBorders>
              <w:bottom w:val="single" w:sz="8" w:color="D5EEEE"/>
            </w:tcBorders>
            <w:shd w:val="clear" w:color="auto" w:fill="D5EEEE"/>
          </w:tcPr>
          <w:p>
            <w:pPr>
              <w:jc w:val="right"/>
              <w:ind w:right="16"/>
              <w:spacing w:after="0" w:line="187" w:lineRule="exact"/>
              <w:rPr>
                <w:sz w:val="20"/>
                <w:szCs w:val="20"/>
                <w:color w:val="auto"/>
              </w:rPr>
            </w:pPr>
            <w:r>
              <w:rPr>
                <w:rFonts w:ascii="Times New Roman" w:cs="Times New Roman" w:eastAsia="Times New Roman" w:hAnsi="Times New Roman"/>
                <w:sz w:val="17"/>
                <w:szCs w:val="17"/>
                <w:color w:val="auto"/>
              </w:rPr>
              <w:t>1</w:t>
            </w:r>
          </w:p>
        </w:tc>
      </w:tr>
      <w:tr>
        <w:trPr>
          <w:trHeight w:val="186"/>
        </w:trPr>
        <w:tc>
          <w:tcPr>
            <w:tcW w:w="4780" w:type="dxa"/>
            <w:vAlign w:val="bottom"/>
            <w:gridSpan w:val="4"/>
          </w:tcPr>
          <w:p>
            <w:pPr>
              <w:spacing w:after="0" w:line="186" w:lineRule="exact"/>
              <w:rPr>
                <w:sz w:val="20"/>
                <w:szCs w:val="20"/>
                <w:color w:val="auto"/>
              </w:rPr>
            </w:pPr>
            <w:r>
              <w:rPr>
                <w:rFonts w:ascii="Times New Roman" w:cs="Times New Roman" w:eastAsia="Times New Roman" w:hAnsi="Times New Roman"/>
                <w:sz w:val="17"/>
                <w:szCs w:val="17"/>
                <w:color w:val="auto"/>
              </w:rPr>
              <w:t>Issuance of common stock and prefunded warrants in</w:t>
            </w:r>
          </w:p>
        </w:tc>
        <w:tc>
          <w:tcPr>
            <w:tcW w:w="1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87"/>
        </w:trPr>
        <w:tc>
          <w:tcPr>
            <w:tcW w:w="4780" w:type="dxa"/>
            <w:vAlign w:val="bottom"/>
            <w:gridSpan w:val="4"/>
          </w:tcPr>
          <w:p>
            <w:pPr>
              <w:spacing w:after="0" w:line="187" w:lineRule="exact"/>
              <w:rPr>
                <w:sz w:val="20"/>
                <w:szCs w:val="20"/>
                <w:color w:val="auto"/>
              </w:rPr>
            </w:pPr>
            <w:r>
              <w:rPr>
                <w:rFonts w:ascii="Times New Roman" w:cs="Times New Roman" w:eastAsia="Times New Roman" w:hAnsi="Times New Roman"/>
                <w:sz w:val="17"/>
                <w:szCs w:val="17"/>
                <w:color w:val="auto"/>
              </w:rPr>
              <w:t>connection with the exercise of Series B warrants, net of</w:t>
            </w:r>
          </w:p>
        </w:tc>
        <w:tc>
          <w:tcPr>
            <w:tcW w:w="1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9"/>
        </w:trPr>
        <w:tc>
          <w:tcPr>
            <w:tcW w:w="47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issuance costs</w:t>
            </w: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300,200</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26,945</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26,945</w:t>
            </w:r>
          </w:p>
        </w:tc>
      </w:tr>
      <w:tr>
        <w:trPr>
          <w:trHeight w:val="27"/>
        </w:trPr>
        <w:tc>
          <w:tcPr>
            <w:tcW w:w="47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86"/>
        </w:trPr>
        <w:tc>
          <w:tcPr>
            <w:tcW w:w="4780" w:type="dxa"/>
            <w:vAlign w:val="bottom"/>
            <w:gridSpan w:val="4"/>
            <w:shd w:val="clear" w:color="auto" w:fill="D5EEEE"/>
          </w:tcPr>
          <w:p>
            <w:pPr>
              <w:spacing w:after="0" w:line="186" w:lineRule="exact"/>
              <w:rPr>
                <w:sz w:val="20"/>
                <w:szCs w:val="20"/>
                <w:color w:val="auto"/>
              </w:rPr>
            </w:pPr>
            <w:r>
              <w:rPr>
                <w:rFonts w:ascii="Times New Roman" w:cs="Times New Roman" w:eastAsia="Times New Roman" w:hAnsi="Times New Roman"/>
                <w:sz w:val="17"/>
                <w:szCs w:val="17"/>
                <w:color w:val="auto"/>
              </w:rPr>
              <w:t>Conversion of Series B common stock warrant liabilities to</w:t>
            </w:r>
          </w:p>
        </w:tc>
        <w:tc>
          <w:tcPr>
            <w:tcW w:w="1280" w:type="dxa"/>
            <w:vAlign w:val="bottom"/>
            <w:shd w:val="clear" w:color="auto" w:fill="D5EEEE"/>
          </w:tcPr>
          <w:p>
            <w:pPr>
              <w:spacing w:after="0"/>
              <w:rPr>
                <w:sz w:val="16"/>
                <w:szCs w:val="16"/>
                <w:color w:val="auto"/>
              </w:rPr>
            </w:pPr>
          </w:p>
        </w:tc>
        <w:tc>
          <w:tcPr>
            <w:tcW w:w="300" w:type="dxa"/>
            <w:vAlign w:val="bottom"/>
            <w:shd w:val="clear" w:color="auto" w:fill="D5EEEE"/>
          </w:tcPr>
          <w:p>
            <w:pPr>
              <w:spacing w:after="0"/>
              <w:rPr>
                <w:sz w:val="16"/>
                <w:szCs w:val="16"/>
                <w:color w:val="auto"/>
              </w:rPr>
            </w:pPr>
          </w:p>
        </w:tc>
        <w:tc>
          <w:tcPr>
            <w:tcW w:w="20" w:type="dxa"/>
            <w:vAlign w:val="bottom"/>
            <w:shd w:val="clear" w:color="auto" w:fill="D5EEEE"/>
          </w:tcPr>
          <w:p>
            <w:pPr>
              <w:spacing w:after="0"/>
              <w:rPr>
                <w:sz w:val="16"/>
                <w:szCs w:val="16"/>
                <w:color w:val="auto"/>
              </w:rPr>
            </w:pPr>
          </w:p>
        </w:tc>
        <w:tc>
          <w:tcPr>
            <w:tcW w:w="1120" w:type="dxa"/>
            <w:vAlign w:val="bottom"/>
            <w:shd w:val="clear" w:color="auto" w:fill="D5EEEE"/>
          </w:tcPr>
          <w:p>
            <w:pPr>
              <w:spacing w:after="0"/>
              <w:rPr>
                <w:sz w:val="16"/>
                <w:szCs w:val="16"/>
                <w:color w:val="auto"/>
              </w:rPr>
            </w:pPr>
          </w:p>
        </w:tc>
        <w:tc>
          <w:tcPr>
            <w:tcW w:w="380" w:type="dxa"/>
            <w:vAlign w:val="bottom"/>
            <w:shd w:val="clear" w:color="auto" w:fill="D5EEEE"/>
          </w:tcPr>
          <w:p>
            <w:pPr>
              <w:spacing w:after="0"/>
              <w:rPr>
                <w:sz w:val="16"/>
                <w:szCs w:val="16"/>
                <w:color w:val="auto"/>
              </w:rPr>
            </w:pPr>
          </w:p>
        </w:tc>
        <w:tc>
          <w:tcPr>
            <w:tcW w:w="300" w:type="dxa"/>
            <w:vAlign w:val="bottom"/>
            <w:shd w:val="clear" w:color="auto" w:fill="D5EEEE"/>
          </w:tcPr>
          <w:p>
            <w:pPr>
              <w:spacing w:after="0"/>
              <w:rPr>
                <w:sz w:val="16"/>
                <w:szCs w:val="16"/>
                <w:color w:val="auto"/>
              </w:rPr>
            </w:pPr>
          </w:p>
        </w:tc>
        <w:tc>
          <w:tcPr>
            <w:tcW w:w="20" w:type="dxa"/>
            <w:vAlign w:val="bottom"/>
            <w:shd w:val="clear" w:color="auto" w:fill="D5EEEE"/>
          </w:tcPr>
          <w:p>
            <w:pPr>
              <w:spacing w:after="0"/>
              <w:rPr>
                <w:sz w:val="16"/>
                <w:szCs w:val="16"/>
                <w:color w:val="auto"/>
              </w:rPr>
            </w:pPr>
          </w:p>
        </w:tc>
        <w:tc>
          <w:tcPr>
            <w:tcW w:w="220" w:type="dxa"/>
            <w:vAlign w:val="bottom"/>
            <w:shd w:val="clear" w:color="auto" w:fill="D5EEEE"/>
          </w:tcPr>
          <w:p>
            <w:pPr>
              <w:spacing w:after="0"/>
              <w:rPr>
                <w:sz w:val="16"/>
                <w:szCs w:val="16"/>
                <w:color w:val="auto"/>
              </w:rPr>
            </w:pPr>
          </w:p>
        </w:tc>
        <w:tc>
          <w:tcPr>
            <w:tcW w:w="1300" w:type="dxa"/>
            <w:vAlign w:val="bottom"/>
            <w:shd w:val="clear" w:color="auto" w:fill="D5EEEE"/>
          </w:tcPr>
          <w:p>
            <w:pPr>
              <w:spacing w:after="0"/>
              <w:rPr>
                <w:sz w:val="16"/>
                <w:szCs w:val="16"/>
                <w:color w:val="auto"/>
              </w:rPr>
            </w:pPr>
          </w:p>
        </w:tc>
        <w:tc>
          <w:tcPr>
            <w:tcW w:w="300" w:type="dxa"/>
            <w:vAlign w:val="bottom"/>
            <w:shd w:val="clear" w:color="auto" w:fill="D5EEEE"/>
          </w:tcPr>
          <w:p>
            <w:pPr>
              <w:spacing w:after="0"/>
              <w:rPr>
                <w:sz w:val="16"/>
                <w:szCs w:val="16"/>
                <w:color w:val="auto"/>
              </w:rPr>
            </w:pPr>
          </w:p>
        </w:tc>
        <w:tc>
          <w:tcPr>
            <w:tcW w:w="20" w:type="dxa"/>
            <w:vAlign w:val="bottom"/>
            <w:shd w:val="clear" w:color="auto" w:fill="D5EEEE"/>
          </w:tcPr>
          <w:p>
            <w:pPr>
              <w:spacing w:after="0"/>
              <w:rPr>
                <w:sz w:val="16"/>
                <w:szCs w:val="16"/>
                <w:color w:val="auto"/>
              </w:rPr>
            </w:pPr>
          </w:p>
        </w:tc>
        <w:tc>
          <w:tcPr>
            <w:tcW w:w="160" w:type="dxa"/>
            <w:vAlign w:val="bottom"/>
            <w:shd w:val="clear" w:color="auto" w:fill="D5EEEE"/>
          </w:tcPr>
          <w:p>
            <w:pPr>
              <w:spacing w:after="0"/>
              <w:rPr>
                <w:sz w:val="16"/>
                <w:szCs w:val="16"/>
                <w:color w:val="auto"/>
              </w:rPr>
            </w:pPr>
          </w:p>
        </w:tc>
        <w:tc>
          <w:tcPr>
            <w:tcW w:w="1400" w:type="dxa"/>
            <w:vAlign w:val="bottom"/>
            <w:shd w:val="clear" w:color="auto" w:fill="D5EEEE"/>
          </w:tcPr>
          <w:p>
            <w:pPr>
              <w:spacing w:after="0"/>
              <w:rPr>
                <w:sz w:val="16"/>
                <w:szCs w:val="16"/>
                <w:color w:val="auto"/>
              </w:rPr>
            </w:pPr>
          </w:p>
        </w:tc>
        <w:tc>
          <w:tcPr>
            <w:tcW w:w="300" w:type="dxa"/>
            <w:vAlign w:val="bottom"/>
            <w:shd w:val="clear" w:color="auto" w:fill="D5EEEE"/>
          </w:tcPr>
          <w:p>
            <w:pPr>
              <w:spacing w:after="0"/>
              <w:rPr>
                <w:sz w:val="16"/>
                <w:szCs w:val="16"/>
                <w:color w:val="auto"/>
              </w:rPr>
            </w:pPr>
          </w:p>
        </w:tc>
        <w:tc>
          <w:tcPr>
            <w:tcW w:w="20" w:type="dxa"/>
            <w:vAlign w:val="bottom"/>
            <w:shd w:val="clear" w:color="auto" w:fill="D5EEEE"/>
          </w:tcPr>
          <w:p>
            <w:pPr>
              <w:spacing w:after="0"/>
              <w:rPr>
                <w:sz w:val="16"/>
                <w:szCs w:val="16"/>
                <w:color w:val="auto"/>
              </w:rPr>
            </w:pPr>
          </w:p>
        </w:tc>
        <w:tc>
          <w:tcPr>
            <w:tcW w:w="200" w:type="dxa"/>
            <w:vAlign w:val="bottom"/>
            <w:shd w:val="clear" w:color="auto" w:fill="D5EEEE"/>
          </w:tcPr>
          <w:p>
            <w:pPr>
              <w:spacing w:after="0"/>
              <w:rPr>
                <w:sz w:val="16"/>
                <w:szCs w:val="16"/>
                <w:color w:val="auto"/>
              </w:rPr>
            </w:pPr>
          </w:p>
        </w:tc>
        <w:tc>
          <w:tcPr>
            <w:tcW w:w="1480" w:type="dxa"/>
            <w:vAlign w:val="bottom"/>
            <w:shd w:val="clear" w:color="auto" w:fill="D5EEEE"/>
          </w:tcPr>
          <w:p>
            <w:pPr>
              <w:spacing w:after="0"/>
              <w:rPr>
                <w:sz w:val="16"/>
                <w:szCs w:val="16"/>
                <w:color w:val="auto"/>
              </w:rPr>
            </w:pPr>
          </w:p>
        </w:tc>
      </w:tr>
      <w:tr>
        <w:trPr>
          <w:trHeight w:val="198"/>
        </w:trPr>
        <w:tc>
          <w:tcPr>
            <w:tcW w:w="4780" w:type="dxa"/>
            <w:vAlign w:val="bottom"/>
            <w:tcBorders>
              <w:bottom w:val="single" w:sz="8" w:color="D5EEEE"/>
            </w:tcBorders>
            <w:gridSpan w:val="4"/>
            <w:shd w:val="clear" w:color="auto" w:fill="D5EEEE"/>
          </w:tcPr>
          <w:p>
            <w:pPr>
              <w:spacing w:after="0" w:line="187" w:lineRule="exact"/>
              <w:rPr>
                <w:sz w:val="20"/>
                <w:szCs w:val="20"/>
                <w:color w:val="auto"/>
              </w:rPr>
            </w:pPr>
            <w:r>
              <w:rPr>
                <w:rFonts w:ascii="Times New Roman" w:cs="Times New Roman" w:eastAsia="Times New Roman" w:hAnsi="Times New Roman"/>
                <w:sz w:val="17"/>
                <w:szCs w:val="17"/>
                <w:color w:val="auto"/>
              </w:rPr>
              <w:t>equity</w:t>
            </w:r>
          </w:p>
        </w:tc>
        <w:tc>
          <w:tcPr>
            <w:tcW w:w="1280" w:type="dxa"/>
            <w:vAlign w:val="bottom"/>
            <w:tcBorders>
              <w:bottom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Borders>
              <w:bottom w:val="single" w:sz="8" w:color="D5EEEE"/>
            </w:tcBorders>
            <w:shd w:val="clear" w:color="auto" w:fill="D5EEEE"/>
          </w:tcPr>
          <w:p>
            <w:pPr>
              <w:spacing w:after="0"/>
              <w:rPr>
                <w:sz w:val="17"/>
                <w:szCs w:val="17"/>
                <w:color w:val="auto"/>
              </w:rPr>
            </w:pPr>
          </w:p>
        </w:tc>
        <w:tc>
          <w:tcPr>
            <w:tcW w:w="20" w:type="dxa"/>
            <w:vAlign w:val="bottom"/>
            <w:tcBorders>
              <w:bottom w:val="single" w:sz="8" w:color="D5EEEE"/>
            </w:tcBorders>
            <w:shd w:val="clear" w:color="auto" w:fill="D5EEEE"/>
          </w:tcPr>
          <w:p>
            <w:pPr>
              <w:spacing w:after="0"/>
              <w:rPr>
                <w:sz w:val="17"/>
                <w:szCs w:val="17"/>
                <w:color w:val="auto"/>
              </w:rPr>
            </w:pPr>
          </w:p>
        </w:tc>
        <w:tc>
          <w:tcPr>
            <w:tcW w:w="1120" w:type="dxa"/>
            <w:vAlign w:val="bottom"/>
            <w:tcBorders>
              <w:bottom w:val="single" w:sz="8" w:color="D5EEEE"/>
            </w:tcBorders>
            <w:shd w:val="clear" w:color="auto" w:fill="D5EEEE"/>
          </w:tcPr>
          <w:p>
            <w:pPr>
              <w:spacing w:after="0"/>
              <w:rPr>
                <w:sz w:val="17"/>
                <w:szCs w:val="17"/>
                <w:color w:val="auto"/>
              </w:rPr>
            </w:pPr>
          </w:p>
        </w:tc>
        <w:tc>
          <w:tcPr>
            <w:tcW w:w="380" w:type="dxa"/>
            <w:vAlign w:val="bottom"/>
            <w:tcBorders>
              <w:bottom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Borders>
              <w:bottom w:val="single" w:sz="8" w:color="D5EEEE"/>
            </w:tcBorders>
            <w:shd w:val="clear" w:color="auto" w:fill="D5EEEE"/>
          </w:tcPr>
          <w:p>
            <w:pPr>
              <w:spacing w:after="0"/>
              <w:rPr>
                <w:sz w:val="17"/>
                <w:szCs w:val="17"/>
                <w:color w:val="auto"/>
              </w:rPr>
            </w:pPr>
          </w:p>
        </w:tc>
        <w:tc>
          <w:tcPr>
            <w:tcW w:w="20" w:type="dxa"/>
            <w:vAlign w:val="bottom"/>
            <w:tcBorders>
              <w:bottom w:val="single" w:sz="8" w:color="D5EEEE"/>
            </w:tcBorders>
            <w:shd w:val="clear" w:color="auto" w:fill="D5EEEE"/>
          </w:tcPr>
          <w:p>
            <w:pPr>
              <w:spacing w:after="0"/>
              <w:rPr>
                <w:sz w:val="17"/>
                <w:szCs w:val="17"/>
                <w:color w:val="auto"/>
              </w:rPr>
            </w:pPr>
          </w:p>
        </w:tc>
        <w:tc>
          <w:tcPr>
            <w:tcW w:w="220" w:type="dxa"/>
            <w:vAlign w:val="bottom"/>
            <w:tcBorders>
              <w:bottom w:val="single" w:sz="8" w:color="D5EEEE"/>
            </w:tcBorders>
            <w:shd w:val="clear" w:color="auto" w:fill="D5EEEE"/>
          </w:tcPr>
          <w:p>
            <w:pPr>
              <w:spacing w:after="0"/>
              <w:rPr>
                <w:sz w:val="17"/>
                <w:szCs w:val="17"/>
                <w:color w:val="auto"/>
              </w:rPr>
            </w:pPr>
          </w:p>
        </w:tc>
        <w:tc>
          <w:tcPr>
            <w:tcW w:w="1300" w:type="dxa"/>
            <w:vAlign w:val="bottom"/>
            <w:tcBorders>
              <w:bottom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15"/>
                <w:szCs w:val="15"/>
                <w:color w:val="auto"/>
              </w:rPr>
              <w:t>3,095</w:t>
            </w:r>
          </w:p>
        </w:tc>
        <w:tc>
          <w:tcPr>
            <w:tcW w:w="300" w:type="dxa"/>
            <w:vAlign w:val="bottom"/>
            <w:tcBorders>
              <w:bottom w:val="single" w:sz="8" w:color="D5EEEE"/>
            </w:tcBorders>
            <w:shd w:val="clear" w:color="auto" w:fill="D5EEEE"/>
          </w:tcPr>
          <w:p>
            <w:pPr>
              <w:spacing w:after="0"/>
              <w:rPr>
                <w:sz w:val="17"/>
                <w:szCs w:val="17"/>
                <w:color w:val="auto"/>
              </w:rPr>
            </w:pPr>
          </w:p>
        </w:tc>
        <w:tc>
          <w:tcPr>
            <w:tcW w:w="20" w:type="dxa"/>
            <w:vAlign w:val="bottom"/>
            <w:tcBorders>
              <w:bottom w:val="single" w:sz="8" w:color="D5EEEE"/>
            </w:tcBorders>
            <w:shd w:val="clear" w:color="auto" w:fill="D5EEEE"/>
          </w:tcPr>
          <w:p>
            <w:pPr>
              <w:spacing w:after="0"/>
              <w:rPr>
                <w:sz w:val="17"/>
                <w:szCs w:val="17"/>
                <w:color w:val="auto"/>
              </w:rPr>
            </w:pPr>
          </w:p>
        </w:tc>
        <w:tc>
          <w:tcPr>
            <w:tcW w:w="160" w:type="dxa"/>
            <w:vAlign w:val="bottom"/>
            <w:tcBorders>
              <w:bottom w:val="single" w:sz="8" w:color="D5EEEE"/>
            </w:tcBorders>
            <w:shd w:val="clear" w:color="auto" w:fill="D5EEEE"/>
          </w:tcPr>
          <w:p>
            <w:pPr>
              <w:spacing w:after="0"/>
              <w:rPr>
                <w:sz w:val="17"/>
                <w:szCs w:val="17"/>
                <w:color w:val="auto"/>
              </w:rPr>
            </w:pPr>
          </w:p>
        </w:tc>
        <w:tc>
          <w:tcPr>
            <w:tcW w:w="1400" w:type="dxa"/>
            <w:vAlign w:val="bottom"/>
            <w:tcBorders>
              <w:bottom w:val="single" w:sz="8" w:color="D5EEEE"/>
            </w:tcBorders>
            <w:shd w:val="clear" w:color="auto" w:fill="D5EEEE"/>
          </w:tcPr>
          <w:p>
            <w:pPr>
              <w:jc w:val="right"/>
              <w:ind w:right="56"/>
              <w:spacing w:after="0" w:line="187" w:lineRule="exact"/>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D5EEEE"/>
            </w:tcBorders>
            <w:shd w:val="clear" w:color="auto" w:fill="D5EEEE"/>
          </w:tcPr>
          <w:p>
            <w:pPr>
              <w:spacing w:after="0"/>
              <w:rPr>
                <w:sz w:val="17"/>
                <w:szCs w:val="17"/>
                <w:color w:val="auto"/>
              </w:rPr>
            </w:pPr>
          </w:p>
        </w:tc>
        <w:tc>
          <w:tcPr>
            <w:tcW w:w="20" w:type="dxa"/>
            <w:vAlign w:val="bottom"/>
            <w:tcBorders>
              <w:bottom w:val="single" w:sz="8" w:color="D5EEEE"/>
            </w:tcBorders>
            <w:shd w:val="clear" w:color="auto" w:fill="D5EEEE"/>
          </w:tcPr>
          <w:p>
            <w:pPr>
              <w:spacing w:after="0"/>
              <w:rPr>
                <w:sz w:val="17"/>
                <w:szCs w:val="17"/>
                <w:color w:val="auto"/>
              </w:rPr>
            </w:pPr>
          </w:p>
        </w:tc>
        <w:tc>
          <w:tcPr>
            <w:tcW w:w="200" w:type="dxa"/>
            <w:vAlign w:val="bottom"/>
            <w:tcBorders>
              <w:bottom w:val="single" w:sz="8" w:color="D5EEEE"/>
            </w:tcBorders>
            <w:shd w:val="clear" w:color="auto" w:fill="D5EEEE"/>
          </w:tcPr>
          <w:p>
            <w:pPr>
              <w:spacing w:after="0"/>
              <w:rPr>
                <w:sz w:val="17"/>
                <w:szCs w:val="17"/>
                <w:color w:val="auto"/>
              </w:rPr>
            </w:pPr>
          </w:p>
        </w:tc>
        <w:tc>
          <w:tcPr>
            <w:tcW w:w="1480" w:type="dxa"/>
            <w:vAlign w:val="bottom"/>
            <w:tcBorders>
              <w:bottom w:val="single" w:sz="8" w:color="D5EEEE"/>
            </w:tcBorders>
            <w:shd w:val="clear" w:color="auto" w:fill="D5EEEE"/>
          </w:tcPr>
          <w:p>
            <w:pPr>
              <w:jc w:val="right"/>
              <w:ind w:right="16"/>
              <w:spacing w:after="0" w:line="187" w:lineRule="exact"/>
              <w:rPr>
                <w:sz w:val="20"/>
                <w:szCs w:val="20"/>
                <w:color w:val="auto"/>
              </w:rPr>
            </w:pPr>
            <w:r>
              <w:rPr>
                <w:rFonts w:ascii="Times New Roman" w:cs="Times New Roman" w:eastAsia="Times New Roman" w:hAnsi="Times New Roman"/>
                <w:sz w:val="17"/>
                <w:szCs w:val="17"/>
                <w:color w:val="auto"/>
              </w:rPr>
              <w:t>3,095</w:t>
            </w:r>
          </w:p>
        </w:tc>
      </w:tr>
      <w:tr>
        <w:trPr>
          <w:trHeight w:val="186"/>
        </w:trPr>
        <w:tc>
          <w:tcPr>
            <w:tcW w:w="4780" w:type="dxa"/>
            <w:vAlign w:val="bottom"/>
            <w:gridSpan w:val="4"/>
          </w:tcPr>
          <w:p>
            <w:pPr>
              <w:spacing w:after="0" w:line="186" w:lineRule="exact"/>
              <w:rPr>
                <w:sz w:val="20"/>
                <w:szCs w:val="20"/>
                <w:color w:val="auto"/>
              </w:rPr>
            </w:pPr>
            <w:r>
              <w:rPr>
                <w:rFonts w:ascii="Times New Roman" w:cs="Times New Roman" w:eastAsia="Times New Roman" w:hAnsi="Times New Roman"/>
                <w:sz w:val="17"/>
                <w:szCs w:val="17"/>
                <w:color w:val="auto"/>
              </w:rPr>
              <w:t>Issuance of common stock in connection with the AbbVie stock</w:t>
            </w:r>
          </w:p>
        </w:tc>
        <w:tc>
          <w:tcPr>
            <w:tcW w:w="1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87"/>
        </w:trPr>
        <w:tc>
          <w:tcPr>
            <w:tcW w:w="4780" w:type="dxa"/>
            <w:vAlign w:val="bottom"/>
            <w:gridSpan w:val="4"/>
          </w:tcPr>
          <w:p>
            <w:pPr>
              <w:spacing w:after="0" w:line="187" w:lineRule="exact"/>
              <w:rPr>
                <w:sz w:val="20"/>
                <w:szCs w:val="20"/>
                <w:color w:val="auto"/>
              </w:rPr>
            </w:pPr>
            <w:r>
              <w:rPr>
                <w:rFonts w:ascii="Times New Roman" w:cs="Times New Roman" w:eastAsia="Times New Roman" w:hAnsi="Times New Roman"/>
                <w:sz w:val="17"/>
                <w:szCs w:val="17"/>
                <w:color w:val="auto"/>
              </w:rPr>
              <w:t>purchase agreement, net of issuance costs</w:t>
            </w:r>
          </w:p>
        </w:tc>
        <w:tc>
          <w:tcPr>
            <w:tcW w:w="1280" w:type="dxa"/>
            <w:vAlign w:val="bottom"/>
          </w:tcPr>
          <w:p>
            <w:pPr>
              <w:jc w:val="right"/>
              <w:spacing w:after="0" w:line="187" w:lineRule="exact"/>
              <w:rPr>
                <w:sz w:val="20"/>
                <w:szCs w:val="20"/>
                <w:color w:val="auto"/>
              </w:rPr>
            </w:pPr>
            <w:r>
              <w:rPr>
                <w:rFonts w:ascii="Times New Roman" w:cs="Times New Roman" w:eastAsia="Times New Roman" w:hAnsi="Times New Roman"/>
                <w:sz w:val="17"/>
                <w:szCs w:val="17"/>
                <w:color w:val="auto"/>
              </w:rPr>
              <w:t>310,559</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80" w:type="dxa"/>
            <w:vAlign w:val="bottom"/>
          </w:tcPr>
          <w:p>
            <w:pPr>
              <w:jc w:val="right"/>
              <w:spacing w:after="0" w:line="187" w:lineRule="exact"/>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line="187" w:lineRule="exact"/>
              <w:rPr>
                <w:sz w:val="20"/>
                <w:szCs w:val="20"/>
                <w:color w:val="auto"/>
              </w:rPr>
            </w:pPr>
            <w:r>
              <w:rPr>
                <w:rFonts w:ascii="Times New Roman" w:cs="Times New Roman" w:eastAsia="Times New Roman" w:hAnsi="Times New Roman"/>
                <w:sz w:val="17"/>
                <w:szCs w:val="17"/>
                <w:color w:val="auto"/>
              </w:rPr>
              <w:t>2,810</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right"/>
              <w:ind w:right="56"/>
              <w:spacing w:after="0" w:line="187" w:lineRule="exact"/>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jc w:val="right"/>
              <w:ind w:right="16"/>
              <w:spacing w:after="0" w:line="187" w:lineRule="exact"/>
              <w:rPr>
                <w:sz w:val="20"/>
                <w:szCs w:val="20"/>
                <w:color w:val="auto"/>
              </w:rPr>
            </w:pPr>
            <w:r>
              <w:rPr>
                <w:rFonts w:ascii="Times New Roman" w:cs="Times New Roman" w:eastAsia="Times New Roman" w:hAnsi="Times New Roman"/>
                <w:sz w:val="17"/>
                <w:szCs w:val="17"/>
                <w:color w:val="auto"/>
              </w:rPr>
              <w:t>2,810</w:t>
            </w:r>
          </w:p>
        </w:tc>
      </w:tr>
      <w:tr>
        <w:trPr>
          <w:trHeight w:val="31"/>
        </w:trPr>
        <w:tc>
          <w:tcPr>
            <w:tcW w:w="47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86"/>
        </w:trPr>
        <w:tc>
          <w:tcPr>
            <w:tcW w:w="4780" w:type="dxa"/>
            <w:vAlign w:val="bottom"/>
            <w:gridSpan w:val="4"/>
            <w:shd w:val="clear" w:color="auto" w:fill="D5EEEE"/>
          </w:tcPr>
          <w:p>
            <w:pPr>
              <w:spacing w:after="0" w:line="186" w:lineRule="exact"/>
              <w:rPr>
                <w:sz w:val="20"/>
                <w:szCs w:val="20"/>
                <w:color w:val="auto"/>
              </w:rPr>
            </w:pPr>
            <w:r>
              <w:rPr>
                <w:rFonts w:ascii="Times New Roman" w:cs="Times New Roman" w:eastAsia="Times New Roman" w:hAnsi="Times New Roman"/>
                <w:sz w:val="17"/>
                <w:szCs w:val="17"/>
                <w:color w:val="auto"/>
              </w:rPr>
              <w:t>Issuance of common stock in connection with at-the-market</w:t>
            </w:r>
          </w:p>
        </w:tc>
        <w:tc>
          <w:tcPr>
            <w:tcW w:w="1280" w:type="dxa"/>
            <w:vAlign w:val="bottom"/>
            <w:shd w:val="clear" w:color="auto" w:fill="D5EEEE"/>
          </w:tcPr>
          <w:p>
            <w:pPr>
              <w:spacing w:after="0"/>
              <w:rPr>
                <w:sz w:val="16"/>
                <w:szCs w:val="16"/>
                <w:color w:val="auto"/>
              </w:rPr>
            </w:pPr>
          </w:p>
        </w:tc>
        <w:tc>
          <w:tcPr>
            <w:tcW w:w="300" w:type="dxa"/>
            <w:vAlign w:val="bottom"/>
            <w:shd w:val="clear" w:color="auto" w:fill="D5EEEE"/>
          </w:tcPr>
          <w:p>
            <w:pPr>
              <w:spacing w:after="0"/>
              <w:rPr>
                <w:sz w:val="16"/>
                <w:szCs w:val="16"/>
                <w:color w:val="auto"/>
              </w:rPr>
            </w:pPr>
          </w:p>
        </w:tc>
        <w:tc>
          <w:tcPr>
            <w:tcW w:w="20" w:type="dxa"/>
            <w:vAlign w:val="bottom"/>
            <w:shd w:val="clear" w:color="auto" w:fill="D5EEEE"/>
          </w:tcPr>
          <w:p>
            <w:pPr>
              <w:spacing w:after="0"/>
              <w:rPr>
                <w:sz w:val="16"/>
                <w:szCs w:val="16"/>
                <w:color w:val="auto"/>
              </w:rPr>
            </w:pPr>
          </w:p>
        </w:tc>
        <w:tc>
          <w:tcPr>
            <w:tcW w:w="1120" w:type="dxa"/>
            <w:vAlign w:val="bottom"/>
            <w:shd w:val="clear" w:color="auto" w:fill="D5EEEE"/>
          </w:tcPr>
          <w:p>
            <w:pPr>
              <w:spacing w:after="0"/>
              <w:rPr>
                <w:sz w:val="16"/>
                <w:szCs w:val="16"/>
                <w:color w:val="auto"/>
              </w:rPr>
            </w:pPr>
          </w:p>
        </w:tc>
        <w:tc>
          <w:tcPr>
            <w:tcW w:w="380" w:type="dxa"/>
            <w:vAlign w:val="bottom"/>
            <w:shd w:val="clear" w:color="auto" w:fill="D5EEEE"/>
          </w:tcPr>
          <w:p>
            <w:pPr>
              <w:spacing w:after="0"/>
              <w:rPr>
                <w:sz w:val="16"/>
                <w:szCs w:val="16"/>
                <w:color w:val="auto"/>
              </w:rPr>
            </w:pPr>
          </w:p>
        </w:tc>
        <w:tc>
          <w:tcPr>
            <w:tcW w:w="300" w:type="dxa"/>
            <w:vAlign w:val="bottom"/>
            <w:shd w:val="clear" w:color="auto" w:fill="D5EEEE"/>
          </w:tcPr>
          <w:p>
            <w:pPr>
              <w:spacing w:after="0"/>
              <w:rPr>
                <w:sz w:val="16"/>
                <w:szCs w:val="16"/>
                <w:color w:val="auto"/>
              </w:rPr>
            </w:pPr>
          </w:p>
        </w:tc>
        <w:tc>
          <w:tcPr>
            <w:tcW w:w="20" w:type="dxa"/>
            <w:vAlign w:val="bottom"/>
            <w:shd w:val="clear" w:color="auto" w:fill="D5EEEE"/>
          </w:tcPr>
          <w:p>
            <w:pPr>
              <w:spacing w:after="0"/>
              <w:rPr>
                <w:sz w:val="16"/>
                <w:szCs w:val="16"/>
                <w:color w:val="auto"/>
              </w:rPr>
            </w:pPr>
          </w:p>
        </w:tc>
        <w:tc>
          <w:tcPr>
            <w:tcW w:w="220" w:type="dxa"/>
            <w:vAlign w:val="bottom"/>
            <w:shd w:val="clear" w:color="auto" w:fill="D5EEEE"/>
          </w:tcPr>
          <w:p>
            <w:pPr>
              <w:spacing w:after="0"/>
              <w:rPr>
                <w:sz w:val="16"/>
                <w:szCs w:val="16"/>
                <w:color w:val="auto"/>
              </w:rPr>
            </w:pPr>
          </w:p>
        </w:tc>
        <w:tc>
          <w:tcPr>
            <w:tcW w:w="1300" w:type="dxa"/>
            <w:vAlign w:val="bottom"/>
            <w:shd w:val="clear" w:color="auto" w:fill="D5EEEE"/>
          </w:tcPr>
          <w:p>
            <w:pPr>
              <w:spacing w:after="0"/>
              <w:rPr>
                <w:sz w:val="16"/>
                <w:szCs w:val="16"/>
                <w:color w:val="auto"/>
              </w:rPr>
            </w:pPr>
          </w:p>
        </w:tc>
        <w:tc>
          <w:tcPr>
            <w:tcW w:w="300" w:type="dxa"/>
            <w:vAlign w:val="bottom"/>
            <w:shd w:val="clear" w:color="auto" w:fill="D5EEEE"/>
          </w:tcPr>
          <w:p>
            <w:pPr>
              <w:spacing w:after="0"/>
              <w:rPr>
                <w:sz w:val="16"/>
                <w:szCs w:val="16"/>
                <w:color w:val="auto"/>
              </w:rPr>
            </w:pPr>
          </w:p>
        </w:tc>
        <w:tc>
          <w:tcPr>
            <w:tcW w:w="20" w:type="dxa"/>
            <w:vAlign w:val="bottom"/>
            <w:shd w:val="clear" w:color="auto" w:fill="D5EEEE"/>
          </w:tcPr>
          <w:p>
            <w:pPr>
              <w:spacing w:after="0"/>
              <w:rPr>
                <w:sz w:val="16"/>
                <w:szCs w:val="16"/>
                <w:color w:val="auto"/>
              </w:rPr>
            </w:pPr>
          </w:p>
        </w:tc>
        <w:tc>
          <w:tcPr>
            <w:tcW w:w="160" w:type="dxa"/>
            <w:vAlign w:val="bottom"/>
            <w:shd w:val="clear" w:color="auto" w:fill="D5EEEE"/>
          </w:tcPr>
          <w:p>
            <w:pPr>
              <w:spacing w:after="0"/>
              <w:rPr>
                <w:sz w:val="16"/>
                <w:szCs w:val="16"/>
                <w:color w:val="auto"/>
              </w:rPr>
            </w:pPr>
          </w:p>
        </w:tc>
        <w:tc>
          <w:tcPr>
            <w:tcW w:w="1400" w:type="dxa"/>
            <w:vAlign w:val="bottom"/>
            <w:shd w:val="clear" w:color="auto" w:fill="D5EEEE"/>
          </w:tcPr>
          <w:p>
            <w:pPr>
              <w:spacing w:after="0"/>
              <w:rPr>
                <w:sz w:val="16"/>
                <w:szCs w:val="16"/>
                <w:color w:val="auto"/>
              </w:rPr>
            </w:pPr>
          </w:p>
        </w:tc>
        <w:tc>
          <w:tcPr>
            <w:tcW w:w="300" w:type="dxa"/>
            <w:vAlign w:val="bottom"/>
            <w:shd w:val="clear" w:color="auto" w:fill="D5EEEE"/>
          </w:tcPr>
          <w:p>
            <w:pPr>
              <w:spacing w:after="0"/>
              <w:rPr>
                <w:sz w:val="16"/>
                <w:szCs w:val="16"/>
                <w:color w:val="auto"/>
              </w:rPr>
            </w:pPr>
          </w:p>
        </w:tc>
        <w:tc>
          <w:tcPr>
            <w:tcW w:w="20" w:type="dxa"/>
            <w:vAlign w:val="bottom"/>
            <w:shd w:val="clear" w:color="auto" w:fill="D5EEEE"/>
          </w:tcPr>
          <w:p>
            <w:pPr>
              <w:spacing w:after="0"/>
              <w:rPr>
                <w:sz w:val="16"/>
                <w:szCs w:val="16"/>
                <w:color w:val="auto"/>
              </w:rPr>
            </w:pPr>
          </w:p>
        </w:tc>
        <w:tc>
          <w:tcPr>
            <w:tcW w:w="200" w:type="dxa"/>
            <w:vAlign w:val="bottom"/>
            <w:shd w:val="clear" w:color="auto" w:fill="D5EEEE"/>
          </w:tcPr>
          <w:p>
            <w:pPr>
              <w:spacing w:after="0"/>
              <w:rPr>
                <w:sz w:val="16"/>
                <w:szCs w:val="16"/>
                <w:color w:val="auto"/>
              </w:rPr>
            </w:pPr>
          </w:p>
        </w:tc>
        <w:tc>
          <w:tcPr>
            <w:tcW w:w="1480" w:type="dxa"/>
            <w:vAlign w:val="bottom"/>
            <w:shd w:val="clear" w:color="auto" w:fill="D5EEEE"/>
          </w:tcPr>
          <w:p>
            <w:pPr>
              <w:spacing w:after="0"/>
              <w:rPr>
                <w:sz w:val="16"/>
                <w:szCs w:val="16"/>
                <w:color w:val="auto"/>
              </w:rPr>
            </w:pPr>
          </w:p>
        </w:tc>
      </w:tr>
      <w:tr>
        <w:trPr>
          <w:trHeight w:val="198"/>
        </w:trPr>
        <w:tc>
          <w:tcPr>
            <w:tcW w:w="4780" w:type="dxa"/>
            <w:vAlign w:val="bottom"/>
            <w:tcBorders>
              <w:bottom w:val="single" w:sz="8" w:color="D5EEEE"/>
            </w:tcBorders>
            <w:gridSpan w:val="4"/>
            <w:shd w:val="clear" w:color="auto" w:fill="D5EEEE"/>
          </w:tcPr>
          <w:p>
            <w:pPr>
              <w:spacing w:after="0" w:line="187" w:lineRule="exact"/>
              <w:rPr>
                <w:sz w:val="20"/>
                <w:szCs w:val="20"/>
                <w:color w:val="auto"/>
              </w:rPr>
            </w:pPr>
            <w:r>
              <w:rPr>
                <w:rFonts w:ascii="Times New Roman" w:cs="Times New Roman" w:eastAsia="Times New Roman" w:hAnsi="Times New Roman"/>
                <w:sz w:val="17"/>
                <w:szCs w:val="17"/>
                <w:color w:val="auto"/>
              </w:rPr>
              <w:t>offerings, net of issuance costs</w:t>
            </w:r>
          </w:p>
        </w:tc>
        <w:tc>
          <w:tcPr>
            <w:tcW w:w="1280" w:type="dxa"/>
            <w:vAlign w:val="bottom"/>
            <w:tcBorders>
              <w:bottom w:val="single" w:sz="8" w:color="D5EEEE"/>
            </w:tcBorders>
            <w:shd w:val="clear" w:color="auto" w:fill="D5EEEE"/>
          </w:tcPr>
          <w:p>
            <w:pPr>
              <w:jc w:val="right"/>
              <w:spacing w:after="0" w:line="187" w:lineRule="exact"/>
              <w:rPr>
                <w:sz w:val="20"/>
                <w:szCs w:val="20"/>
                <w:color w:val="auto"/>
              </w:rPr>
            </w:pPr>
            <w:r>
              <w:rPr>
                <w:rFonts w:ascii="Times New Roman" w:cs="Times New Roman" w:eastAsia="Times New Roman" w:hAnsi="Times New Roman"/>
                <w:sz w:val="17"/>
                <w:szCs w:val="17"/>
                <w:color w:val="auto"/>
              </w:rPr>
              <w:t>110,747</w:t>
            </w:r>
          </w:p>
        </w:tc>
        <w:tc>
          <w:tcPr>
            <w:tcW w:w="300" w:type="dxa"/>
            <w:vAlign w:val="bottom"/>
            <w:tcBorders>
              <w:bottom w:val="single" w:sz="8" w:color="D5EEEE"/>
            </w:tcBorders>
            <w:shd w:val="clear" w:color="auto" w:fill="D5EEEE"/>
          </w:tcPr>
          <w:p>
            <w:pPr>
              <w:spacing w:after="0"/>
              <w:rPr>
                <w:sz w:val="17"/>
                <w:szCs w:val="17"/>
                <w:color w:val="auto"/>
              </w:rPr>
            </w:pPr>
          </w:p>
        </w:tc>
        <w:tc>
          <w:tcPr>
            <w:tcW w:w="20" w:type="dxa"/>
            <w:vAlign w:val="bottom"/>
            <w:tcBorders>
              <w:bottom w:val="single" w:sz="8" w:color="D5EEEE"/>
            </w:tcBorders>
            <w:shd w:val="clear" w:color="auto" w:fill="D5EEEE"/>
          </w:tcPr>
          <w:p>
            <w:pPr>
              <w:spacing w:after="0"/>
              <w:rPr>
                <w:sz w:val="17"/>
                <w:szCs w:val="17"/>
                <w:color w:val="auto"/>
              </w:rPr>
            </w:pPr>
          </w:p>
        </w:tc>
        <w:tc>
          <w:tcPr>
            <w:tcW w:w="1120" w:type="dxa"/>
            <w:vAlign w:val="bottom"/>
            <w:tcBorders>
              <w:bottom w:val="single" w:sz="8" w:color="D5EEEE"/>
            </w:tcBorders>
            <w:shd w:val="clear" w:color="auto" w:fill="D5EEEE"/>
          </w:tcPr>
          <w:p>
            <w:pPr>
              <w:spacing w:after="0"/>
              <w:rPr>
                <w:sz w:val="17"/>
                <w:szCs w:val="17"/>
                <w:color w:val="auto"/>
              </w:rPr>
            </w:pPr>
          </w:p>
        </w:tc>
        <w:tc>
          <w:tcPr>
            <w:tcW w:w="380" w:type="dxa"/>
            <w:vAlign w:val="bottom"/>
            <w:tcBorders>
              <w:bottom w:val="single" w:sz="8" w:color="D5EEEE"/>
            </w:tcBorders>
            <w:shd w:val="clear" w:color="auto" w:fill="D5EEEE"/>
          </w:tcPr>
          <w:p>
            <w:pPr>
              <w:jc w:val="right"/>
              <w:spacing w:after="0" w:line="187" w:lineRule="exact"/>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D5EEEE"/>
            </w:tcBorders>
            <w:shd w:val="clear" w:color="auto" w:fill="D5EEEE"/>
          </w:tcPr>
          <w:p>
            <w:pPr>
              <w:spacing w:after="0"/>
              <w:rPr>
                <w:sz w:val="17"/>
                <w:szCs w:val="17"/>
                <w:color w:val="auto"/>
              </w:rPr>
            </w:pPr>
          </w:p>
        </w:tc>
        <w:tc>
          <w:tcPr>
            <w:tcW w:w="20" w:type="dxa"/>
            <w:vAlign w:val="bottom"/>
            <w:tcBorders>
              <w:bottom w:val="single" w:sz="8" w:color="D5EEEE"/>
            </w:tcBorders>
            <w:shd w:val="clear" w:color="auto" w:fill="D5EEEE"/>
          </w:tcPr>
          <w:p>
            <w:pPr>
              <w:spacing w:after="0"/>
              <w:rPr>
                <w:sz w:val="17"/>
                <w:szCs w:val="17"/>
                <w:color w:val="auto"/>
              </w:rPr>
            </w:pPr>
          </w:p>
        </w:tc>
        <w:tc>
          <w:tcPr>
            <w:tcW w:w="220" w:type="dxa"/>
            <w:vAlign w:val="bottom"/>
            <w:tcBorders>
              <w:bottom w:val="single" w:sz="8" w:color="D5EEEE"/>
            </w:tcBorders>
            <w:shd w:val="clear" w:color="auto" w:fill="D5EEEE"/>
          </w:tcPr>
          <w:p>
            <w:pPr>
              <w:spacing w:after="0"/>
              <w:rPr>
                <w:sz w:val="17"/>
                <w:szCs w:val="17"/>
                <w:color w:val="auto"/>
              </w:rPr>
            </w:pPr>
          </w:p>
        </w:tc>
        <w:tc>
          <w:tcPr>
            <w:tcW w:w="1300" w:type="dxa"/>
            <w:vAlign w:val="bottom"/>
            <w:tcBorders>
              <w:bottom w:val="single" w:sz="8" w:color="D5EEEE"/>
            </w:tcBorders>
            <w:shd w:val="clear" w:color="auto" w:fill="D5EEEE"/>
          </w:tcPr>
          <w:p>
            <w:pPr>
              <w:jc w:val="right"/>
              <w:spacing w:after="0" w:line="187" w:lineRule="exact"/>
              <w:rPr>
                <w:sz w:val="20"/>
                <w:szCs w:val="20"/>
                <w:color w:val="auto"/>
              </w:rPr>
            </w:pPr>
            <w:r>
              <w:rPr>
                <w:rFonts w:ascii="Times New Roman" w:cs="Times New Roman" w:eastAsia="Times New Roman" w:hAnsi="Times New Roman"/>
                <w:sz w:val="17"/>
                <w:szCs w:val="17"/>
                <w:color w:val="auto"/>
              </w:rPr>
              <w:t>2,017</w:t>
            </w:r>
          </w:p>
        </w:tc>
        <w:tc>
          <w:tcPr>
            <w:tcW w:w="300" w:type="dxa"/>
            <w:vAlign w:val="bottom"/>
            <w:tcBorders>
              <w:bottom w:val="single" w:sz="8" w:color="D5EEEE"/>
            </w:tcBorders>
            <w:shd w:val="clear" w:color="auto" w:fill="D5EEEE"/>
          </w:tcPr>
          <w:p>
            <w:pPr>
              <w:spacing w:after="0"/>
              <w:rPr>
                <w:sz w:val="17"/>
                <w:szCs w:val="17"/>
                <w:color w:val="auto"/>
              </w:rPr>
            </w:pPr>
          </w:p>
        </w:tc>
        <w:tc>
          <w:tcPr>
            <w:tcW w:w="20" w:type="dxa"/>
            <w:vAlign w:val="bottom"/>
            <w:tcBorders>
              <w:bottom w:val="single" w:sz="8" w:color="D5EEEE"/>
            </w:tcBorders>
            <w:shd w:val="clear" w:color="auto" w:fill="D5EEEE"/>
          </w:tcPr>
          <w:p>
            <w:pPr>
              <w:spacing w:after="0"/>
              <w:rPr>
                <w:sz w:val="17"/>
                <w:szCs w:val="17"/>
                <w:color w:val="auto"/>
              </w:rPr>
            </w:pPr>
          </w:p>
        </w:tc>
        <w:tc>
          <w:tcPr>
            <w:tcW w:w="160" w:type="dxa"/>
            <w:vAlign w:val="bottom"/>
            <w:tcBorders>
              <w:bottom w:val="single" w:sz="8" w:color="D5EEEE"/>
            </w:tcBorders>
            <w:shd w:val="clear" w:color="auto" w:fill="D5EEEE"/>
          </w:tcPr>
          <w:p>
            <w:pPr>
              <w:spacing w:after="0"/>
              <w:rPr>
                <w:sz w:val="17"/>
                <w:szCs w:val="17"/>
                <w:color w:val="auto"/>
              </w:rPr>
            </w:pPr>
          </w:p>
        </w:tc>
        <w:tc>
          <w:tcPr>
            <w:tcW w:w="1400" w:type="dxa"/>
            <w:vAlign w:val="bottom"/>
            <w:tcBorders>
              <w:bottom w:val="single" w:sz="8" w:color="D5EEEE"/>
            </w:tcBorders>
            <w:shd w:val="clear" w:color="auto" w:fill="D5EEEE"/>
          </w:tcPr>
          <w:p>
            <w:pPr>
              <w:jc w:val="right"/>
              <w:ind w:right="56"/>
              <w:spacing w:after="0" w:line="187" w:lineRule="exact"/>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D5EEEE"/>
            </w:tcBorders>
            <w:shd w:val="clear" w:color="auto" w:fill="D5EEEE"/>
          </w:tcPr>
          <w:p>
            <w:pPr>
              <w:spacing w:after="0"/>
              <w:rPr>
                <w:sz w:val="17"/>
                <w:szCs w:val="17"/>
                <w:color w:val="auto"/>
              </w:rPr>
            </w:pPr>
          </w:p>
        </w:tc>
        <w:tc>
          <w:tcPr>
            <w:tcW w:w="20" w:type="dxa"/>
            <w:vAlign w:val="bottom"/>
            <w:tcBorders>
              <w:bottom w:val="single" w:sz="8" w:color="D5EEEE"/>
            </w:tcBorders>
            <w:shd w:val="clear" w:color="auto" w:fill="D5EEEE"/>
          </w:tcPr>
          <w:p>
            <w:pPr>
              <w:spacing w:after="0"/>
              <w:rPr>
                <w:sz w:val="17"/>
                <w:szCs w:val="17"/>
                <w:color w:val="auto"/>
              </w:rPr>
            </w:pPr>
          </w:p>
        </w:tc>
        <w:tc>
          <w:tcPr>
            <w:tcW w:w="200" w:type="dxa"/>
            <w:vAlign w:val="bottom"/>
            <w:tcBorders>
              <w:bottom w:val="single" w:sz="8" w:color="D5EEEE"/>
            </w:tcBorders>
            <w:shd w:val="clear" w:color="auto" w:fill="D5EEEE"/>
          </w:tcPr>
          <w:p>
            <w:pPr>
              <w:spacing w:after="0"/>
              <w:rPr>
                <w:sz w:val="17"/>
                <w:szCs w:val="17"/>
                <w:color w:val="auto"/>
              </w:rPr>
            </w:pPr>
          </w:p>
        </w:tc>
        <w:tc>
          <w:tcPr>
            <w:tcW w:w="1480" w:type="dxa"/>
            <w:vAlign w:val="bottom"/>
            <w:tcBorders>
              <w:bottom w:val="single" w:sz="8" w:color="D5EEEE"/>
            </w:tcBorders>
            <w:shd w:val="clear" w:color="auto" w:fill="D5EEEE"/>
          </w:tcPr>
          <w:p>
            <w:pPr>
              <w:jc w:val="right"/>
              <w:ind w:right="16"/>
              <w:spacing w:after="0" w:line="187" w:lineRule="exact"/>
              <w:rPr>
                <w:sz w:val="20"/>
                <w:szCs w:val="20"/>
                <w:color w:val="auto"/>
              </w:rPr>
            </w:pPr>
            <w:r>
              <w:rPr>
                <w:rFonts w:ascii="Times New Roman" w:cs="Times New Roman" w:eastAsia="Times New Roman" w:hAnsi="Times New Roman"/>
                <w:sz w:val="17"/>
                <w:szCs w:val="17"/>
                <w:color w:val="auto"/>
              </w:rPr>
              <w:t>2,017</w:t>
            </w:r>
          </w:p>
        </w:tc>
      </w:tr>
      <w:tr>
        <w:trPr>
          <w:trHeight w:val="186"/>
        </w:trPr>
        <w:tc>
          <w:tcPr>
            <w:tcW w:w="4780" w:type="dxa"/>
            <w:vAlign w:val="bottom"/>
            <w:gridSpan w:val="4"/>
          </w:tcPr>
          <w:p>
            <w:pPr>
              <w:spacing w:after="0" w:line="186" w:lineRule="exact"/>
              <w:rPr>
                <w:sz w:val="20"/>
                <w:szCs w:val="20"/>
                <w:color w:val="auto"/>
              </w:rPr>
            </w:pPr>
            <w:r>
              <w:rPr>
                <w:rFonts w:ascii="Times New Roman" w:cs="Times New Roman" w:eastAsia="Times New Roman" w:hAnsi="Times New Roman"/>
                <w:sz w:val="17"/>
                <w:szCs w:val="17"/>
                <w:color w:val="auto"/>
              </w:rPr>
              <w:t>Issuance of common stock under employee stock purchase plan</w:t>
            </w: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7,508</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80" w:type="dxa"/>
            <w:vAlign w:val="bottom"/>
          </w:tcPr>
          <w:p>
            <w:pPr>
              <w:jc w:val="right"/>
              <w:spacing w:after="0" w:line="186" w:lineRule="exact"/>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line="186" w:lineRule="exact"/>
              <w:rPr>
                <w:sz w:val="20"/>
                <w:szCs w:val="20"/>
                <w:color w:val="auto"/>
              </w:rPr>
            </w:pPr>
            <w:r>
              <w:rPr>
                <w:rFonts w:ascii="Times New Roman" w:cs="Times New Roman" w:eastAsia="Times New Roman" w:hAnsi="Times New Roman"/>
                <w:sz w:val="17"/>
                <w:szCs w:val="17"/>
                <w:color w:val="auto"/>
              </w:rPr>
              <w:t>76</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right"/>
              <w:ind w:right="56"/>
              <w:spacing w:after="0" w:line="186" w:lineRule="exact"/>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jc w:val="right"/>
              <w:ind w:right="16"/>
              <w:spacing w:after="0" w:line="186" w:lineRule="exact"/>
              <w:rPr>
                <w:sz w:val="20"/>
                <w:szCs w:val="20"/>
                <w:color w:val="auto"/>
              </w:rPr>
            </w:pPr>
            <w:r>
              <w:rPr>
                <w:rFonts w:ascii="Times New Roman" w:cs="Times New Roman" w:eastAsia="Times New Roman" w:hAnsi="Times New Roman"/>
                <w:sz w:val="17"/>
                <w:szCs w:val="17"/>
                <w:color w:val="auto"/>
              </w:rPr>
              <w:t>76</w:t>
            </w:r>
          </w:p>
        </w:tc>
      </w:tr>
      <w:tr>
        <w:trPr>
          <w:trHeight w:val="22"/>
        </w:trPr>
        <w:tc>
          <w:tcPr>
            <w:tcW w:w="4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89"/>
        </w:trPr>
        <w:tc>
          <w:tcPr>
            <w:tcW w:w="4780" w:type="dxa"/>
            <w:vAlign w:val="bottom"/>
            <w:tcBorders>
              <w:bottom w:val="single" w:sz="8" w:color="D5EEEE"/>
            </w:tcBorders>
            <w:gridSpan w:val="4"/>
            <w:shd w:val="clear" w:color="auto" w:fill="D5EEEE"/>
          </w:tcPr>
          <w:p>
            <w:pPr>
              <w:spacing w:after="0" w:line="186" w:lineRule="exact"/>
              <w:rPr>
                <w:sz w:val="20"/>
                <w:szCs w:val="20"/>
                <w:color w:val="auto"/>
              </w:rPr>
            </w:pPr>
            <w:r>
              <w:rPr>
                <w:rFonts w:ascii="Times New Roman" w:cs="Times New Roman" w:eastAsia="Times New Roman" w:hAnsi="Times New Roman"/>
                <w:sz w:val="17"/>
                <w:szCs w:val="17"/>
                <w:color w:val="auto"/>
              </w:rPr>
              <w:t>Vesting of restricted common stock</w:t>
            </w:r>
          </w:p>
        </w:tc>
        <w:tc>
          <w:tcPr>
            <w:tcW w:w="1280" w:type="dxa"/>
            <w:vAlign w:val="bottom"/>
            <w:tcBorders>
              <w:bottom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15"/>
                <w:szCs w:val="15"/>
                <w:color w:val="auto"/>
              </w:rPr>
              <w:t>7,952</w:t>
            </w:r>
          </w:p>
        </w:tc>
        <w:tc>
          <w:tcPr>
            <w:tcW w:w="300" w:type="dxa"/>
            <w:vAlign w:val="bottom"/>
            <w:tcBorders>
              <w:bottom w:val="single" w:sz="8" w:color="D5EEEE"/>
            </w:tcBorders>
            <w:shd w:val="clear" w:color="auto" w:fill="D5EEEE"/>
          </w:tcPr>
          <w:p>
            <w:pPr>
              <w:spacing w:after="0"/>
              <w:rPr>
                <w:sz w:val="16"/>
                <w:szCs w:val="16"/>
                <w:color w:val="auto"/>
              </w:rPr>
            </w:pPr>
          </w:p>
        </w:tc>
        <w:tc>
          <w:tcPr>
            <w:tcW w:w="20" w:type="dxa"/>
            <w:vAlign w:val="bottom"/>
            <w:tcBorders>
              <w:bottom w:val="single" w:sz="8" w:color="D5EEEE"/>
            </w:tcBorders>
            <w:shd w:val="clear" w:color="auto" w:fill="D5EEEE"/>
          </w:tcPr>
          <w:p>
            <w:pPr>
              <w:spacing w:after="0"/>
              <w:rPr>
                <w:sz w:val="16"/>
                <w:szCs w:val="16"/>
                <w:color w:val="auto"/>
              </w:rPr>
            </w:pPr>
          </w:p>
        </w:tc>
        <w:tc>
          <w:tcPr>
            <w:tcW w:w="1120" w:type="dxa"/>
            <w:vAlign w:val="bottom"/>
            <w:tcBorders>
              <w:bottom w:val="single" w:sz="8" w:color="D5EEEE"/>
            </w:tcBorders>
            <w:shd w:val="clear" w:color="auto" w:fill="D5EEEE"/>
          </w:tcPr>
          <w:p>
            <w:pPr>
              <w:spacing w:after="0"/>
              <w:rPr>
                <w:sz w:val="16"/>
                <w:szCs w:val="16"/>
                <w:color w:val="auto"/>
              </w:rPr>
            </w:pPr>
          </w:p>
        </w:tc>
        <w:tc>
          <w:tcPr>
            <w:tcW w:w="380" w:type="dxa"/>
            <w:vAlign w:val="bottom"/>
            <w:tcBorders>
              <w:bottom w:val="single" w:sz="8" w:color="D5EEEE"/>
            </w:tcBorders>
            <w:shd w:val="clear" w:color="auto" w:fill="D5EEEE"/>
          </w:tcPr>
          <w:p>
            <w:pPr>
              <w:jc w:val="right"/>
              <w:spacing w:after="0" w:line="186" w:lineRule="exact"/>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D5EEEE"/>
            </w:tcBorders>
            <w:shd w:val="clear" w:color="auto" w:fill="D5EEEE"/>
          </w:tcPr>
          <w:p>
            <w:pPr>
              <w:spacing w:after="0"/>
              <w:rPr>
                <w:sz w:val="16"/>
                <w:szCs w:val="16"/>
                <w:color w:val="auto"/>
              </w:rPr>
            </w:pPr>
          </w:p>
        </w:tc>
        <w:tc>
          <w:tcPr>
            <w:tcW w:w="20" w:type="dxa"/>
            <w:vAlign w:val="bottom"/>
            <w:tcBorders>
              <w:bottom w:val="single" w:sz="8" w:color="D5EEEE"/>
            </w:tcBorders>
            <w:shd w:val="clear" w:color="auto" w:fill="D5EEEE"/>
          </w:tcPr>
          <w:p>
            <w:pPr>
              <w:spacing w:after="0"/>
              <w:rPr>
                <w:sz w:val="16"/>
                <w:szCs w:val="16"/>
                <w:color w:val="auto"/>
              </w:rPr>
            </w:pPr>
          </w:p>
        </w:tc>
        <w:tc>
          <w:tcPr>
            <w:tcW w:w="220" w:type="dxa"/>
            <w:vAlign w:val="bottom"/>
            <w:tcBorders>
              <w:bottom w:val="single" w:sz="8" w:color="D5EEEE"/>
            </w:tcBorders>
            <w:shd w:val="clear" w:color="auto" w:fill="D5EEEE"/>
          </w:tcPr>
          <w:p>
            <w:pPr>
              <w:spacing w:after="0"/>
              <w:rPr>
                <w:sz w:val="16"/>
                <w:szCs w:val="16"/>
                <w:color w:val="auto"/>
              </w:rPr>
            </w:pPr>
          </w:p>
        </w:tc>
        <w:tc>
          <w:tcPr>
            <w:tcW w:w="1300" w:type="dxa"/>
            <w:vAlign w:val="bottom"/>
            <w:tcBorders>
              <w:bottom w:val="single" w:sz="8" w:color="D5EEEE"/>
            </w:tcBorders>
            <w:shd w:val="clear" w:color="auto" w:fill="D5EEEE"/>
          </w:tcPr>
          <w:p>
            <w:pPr>
              <w:jc w:val="right"/>
              <w:spacing w:after="0" w:line="186" w:lineRule="exact"/>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D5EEEE"/>
            </w:tcBorders>
            <w:shd w:val="clear" w:color="auto" w:fill="D5EEEE"/>
          </w:tcPr>
          <w:p>
            <w:pPr>
              <w:spacing w:after="0"/>
              <w:rPr>
                <w:sz w:val="16"/>
                <w:szCs w:val="16"/>
                <w:color w:val="auto"/>
              </w:rPr>
            </w:pPr>
          </w:p>
        </w:tc>
        <w:tc>
          <w:tcPr>
            <w:tcW w:w="20" w:type="dxa"/>
            <w:vAlign w:val="bottom"/>
            <w:tcBorders>
              <w:bottom w:val="single" w:sz="8" w:color="D5EEEE"/>
            </w:tcBorders>
            <w:shd w:val="clear" w:color="auto" w:fill="D5EEEE"/>
          </w:tcPr>
          <w:p>
            <w:pPr>
              <w:spacing w:after="0"/>
              <w:rPr>
                <w:sz w:val="16"/>
                <w:szCs w:val="16"/>
                <w:color w:val="auto"/>
              </w:rPr>
            </w:pPr>
          </w:p>
        </w:tc>
        <w:tc>
          <w:tcPr>
            <w:tcW w:w="160" w:type="dxa"/>
            <w:vAlign w:val="bottom"/>
            <w:tcBorders>
              <w:bottom w:val="single" w:sz="8" w:color="D5EEEE"/>
            </w:tcBorders>
            <w:shd w:val="clear" w:color="auto" w:fill="D5EEEE"/>
          </w:tcPr>
          <w:p>
            <w:pPr>
              <w:spacing w:after="0"/>
              <w:rPr>
                <w:sz w:val="16"/>
                <w:szCs w:val="16"/>
                <w:color w:val="auto"/>
              </w:rPr>
            </w:pPr>
          </w:p>
        </w:tc>
        <w:tc>
          <w:tcPr>
            <w:tcW w:w="1400" w:type="dxa"/>
            <w:vAlign w:val="bottom"/>
            <w:tcBorders>
              <w:bottom w:val="single" w:sz="8" w:color="D5EEEE"/>
            </w:tcBorders>
            <w:shd w:val="clear" w:color="auto" w:fill="D5EEEE"/>
          </w:tcPr>
          <w:p>
            <w:pPr>
              <w:jc w:val="right"/>
              <w:ind w:right="56"/>
              <w:spacing w:after="0" w:line="186" w:lineRule="exact"/>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D5EEEE"/>
            </w:tcBorders>
            <w:shd w:val="clear" w:color="auto" w:fill="D5EEEE"/>
          </w:tcPr>
          <w:p>
            <w:pPr>
              <w:spacing w:after="0"/>
              <w:rPr>
                <w:sz w:val="16"/>
                <w:szCs w:val="16"/>
                <w:color w:val="auto"/>
              </w:rPr>
            </w:pPr>
          </w:p>
        </w:tc>
        <w:tc>
          <w:tcPr>
            <w:tcW w:w="20" w:type="dxa"/>
            <w:vAlign w:val="bottom"/>
            <w:tcBorders>
              <w:bottom w:val="single" w:sz="8" w:color="D5EEEE"/>
            </w:tcBorders>
            <w:shd w:val="clear" w:color="auto" w:fill="D5EEEE"/>
          </w:tcPr>
          <w:p>
            <w:pPr>
              <w:spacing w:after="0"/>
              <w:rPr>
                <w:sz w:val="16"/>
                <w:szCs w:val="16"/>
                <w:color w:val="auto"/>
              </w:rPr>
            </w:pPr>
          </w:p>
        </w:tc>
        <w:tc>
          <w:tcPr>
            <w:tcW w:w="200" w:type="dxa"/>
            <w:vAlign w:val="bottom"/>
            <w:tcBorders>
              <w:bottom w:val="single" w:sz="8" w:color="D5EEEE"/>
            </w:tcBorders>
            <w:shd w:val="clear" w:color="auto" w:fill="D5EEEE"/>
          </w:tcPr>
          <w:p>
            <w:pPr>
              <w:spacing w:after="0"/>
              <w:rPr>
                <w:sz w:val="16"/>
                <w:szCs w:val="16"/>
                <w:color w:val="auto"/>
              </w:rPr>
            </w:pPr>
          </w:p>
        </w:tc>
        <w:tc>
          <w:tcPr>
            <w:tcW w:w="1480" w:type="dxa"/>
            <w:vAlign w:val="bottom"/>
            <w:tcBorders>
              <w:bottom w:val="single" w:sz="8" w:color="D5EEEE"/>
            </w:tcBorders>
            <w:shd w:val="clear" w:color="auto" w:fill="D5EEEE"/>
          </w:tcPr>
          <w:p>
            <w:pPr>
              <w:jc w:val="right"/>
              <w:ind w:right="16"/>
              <w:spacing w:after="0" w:line="186" w:lineRule="exact"/>
              <w:rPr>
                <w:sz w:val="20"/>
                <w:szCs w:val="20"/>
                <w:color w:val="auto"/>
              </w:rPr>
            </w:pPr>
            <w:r>
              <w:rPr>
                <w:rFonts w:ascii="Times New Roman" w:cs="Times New Roman" w:eastAsia="Times New Roman" w:hAnsi="Times New Roman"/>
                <w:sz w:val="17"/>
                <w:szCs w:val="17"/>
                <w:color w:val="auto"/>
              </w:rPr>
              <w:t>—</w:t>
            </w:r>
          </w:p>
        </w:tc>
      </w:tr>
      <w:tr>
        <w:trPr>
          <w:trHeight w:val="186"/>
        </w:trPr>
        <w:tc>
          <w:tcPr>
            <w:tcW w:w="4780" w:type="dxa"/>
            <w:vAlign w:val="bottom"/>
            <w:gridSpan w:val="4"/>
          </w:tcPr>
          <w:p>
            <w:pPr>
              <w:spacing w:after="0" w:line="186" w:lineRule="exact"/>
              <w:rPr>
                <w:sz w:val="20"/>
                <w:szCs w:val="20"/>
                <w:color w:val="auto"/>
              </w:rPr>
            </w:pPr>
            <w:r>
              <w:rPr>
                <w:rFonts w:ascii="Times New Roman" w:cs="Times New Roman" w:eastAsia="Times New Roman" w:hAnsi="Times New Roman"/>
                <w:sz w:val="17"/>
                <w:szCs w:val="17"/>
                <w:color w:val="auto"/>
              </w:rPr>
              <w:t>Exercise of stock options</w:t>
            </w: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1,343</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80" w:type="dxa"/>
            <w:vAlign w:val="bottom"/>
          </w:tcPr>
          <w:p>
            <w:pPr>
              <w:jc w:val="right"/>
              <w:spacing w:after="0" w:line="186" w:lineRule="exact"/>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line="186" w:lineRule="exact"/>
              <w:rPr>
                <w:sz w:val="20"/>
                <w:szCs w:val="20"/>
                <w:color w:val="auto"/>
              </w:rPr>
            </w:pPr>
            <w:r>
              <w:rPr>
                <w:rFonts w:ascii="Times New Roman" w:cs="Times New Roman" w:eastAsia="Times New Roman" w:hAnsi="Times New Roman"/>
                <w:sz w:val="17"/>
                <w:szCs w:val="17"/>
                <w:color w:val="auto"/>
              </w:rPr>
              <w:t>10</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right"/>
              <w:ind w:right="56"/>
              <w:spacing w:after="0" w:line="186" w:lineRule="exact"/>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jc w:val="right"/>
              <w:ind w:right="16"/>
              <w:spacing w:after="0" w:line="186" w:lineRule="exact"/>
              <w:rPr>
                <w:sz w:val="20"/>
                <w:szCs w:val="20"/>
                <w:color w:val="auto"/>
              </w:rPr>
            </w:pPr>
            <w:r>
              <w:rPr>
                <w:rFonts w:ascii="Times New Roman" w:cs="Times New Roman" w:eastAsia="Times New Roman" w:hAnsi="Times New Roman"/>
                <w:sz w:val="17"/>
                <w:szCs w:val="17"/>
                <w:color w:val="auto"/>
              </w:rPr>
              <w:t>10</w:t>
            </w:r>
          </w:p>
        </w:tc>
      </w:tr>
      <w:tr>
        <w:trPr>
          <w:trHeight w:val="22"/>
        </w:trPr>
        <w:tc>
          <w:tcPr>
            <w:tcW w:w="4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89"/>
        </w:trPr>
        <w:tc>
          <w:tcPr>
            <w:tcW w:w="4780" w:type="dxa"/>
            <w:vAlign w:val="bottom"/>
            <w:tcBorders>
              <w:bottom w:val="single" w:sz="8" w:color="D5EEEE"/>
            </w:tcBorders>
            <w:gridSpan w:val="4"/>
            <w:shd w:val="clear" w:color="auto" w:fill="D5EEEE"/>
          </w:tcPr>
          <w:p>
            <w:pPr>
              <w:spacing w:after="0" w:line="186" w:lineRule="exact"/>
              <w:rPr>
                <w:sz w:val="20"/>
                <w:szCs w:val="20"/>
                <w:color w:val="auto"/>
              </w:rPr>
            </w:pPr>
            <w:r>
              <w:rPr>
                <w:rFonts w:ascii="Times New Roman" w:cs="Times New Roman" w:eastAsia="Times New Roman" w:hAnsi="Times New Roman"/>
                <w:sz w:val="17"/>
                <w:szCs w:val="17"/>
                <w:color w:val="auto"/>
              </w:rPr>
              <w:t>Stock-based compensation expense</w:t>
            </w:r>
          </w:p>
        </w:tc>
        <w:tc>
          <w:tcPr>
            <w:tcW w:w="1280" w:type="dxa"/>
            <w:vAlign w:val="bottom"/>
            <w:tcBorders>
              <w:bottom w:val="single" w:sz="8" w:color="D5EEEE"/>
            </w:tcBorders>
            <w:shd w:val="clear" w:color="auto" w:fill="D5EEEE"/>
          </w:tcPr>
          <w:p>
            <w:pPr>
              <w:jc w:val="right"/>
              <w:spacing w:after="0" w:line="186" w:lineRule="exact"/>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D5EEEE"/>
            </w:tcBorders>
            <w:shd w:val="clear" w:color="auto" w:fill="D5EEEE"/>
          </w:tcPr>
          <w:p>
            <w:pPr>
              <w:spacing w:after="0"/>
              <w:rPr>
                <w:sz w:val="16"/>
                <w:szCs w:val="16"/>
                <w:color w:val="auto"/>
              </w:rPr>
            </w:pPr>
          </w:p>
        </w:tc>
        <w:tc>
          <w:tcPr>
            <w:tcW w:w="20" w:type="dxa"/>
            <w:vAlign w:val="bottom"/>
            <w:tcBorders>
              <w:bottom w:val="single" w:sz="8" w:color="D5EEEE"/>
            </w:tcBorders>
            <w:shd w:val="clear" w:color="auto" w:fill="D5EEEE"/>
          </w:tcPr>
          <w:p>
            <w:pPr>
              <w:spacing w:after="0"/>
              <w:rPr>
                <w:sz w:val="16"/>
                <w:szCs w:val="16"/>
                <w:color w:val="auto"/>
              </w:rPr>
            </w:pPr>
          </w:p>
        </w:tc>
        <w:tc>
          <w:tcPr>
            <w:tcW w:w="1120" w:type="dxa"/>
            <w:vAlign w:val="bottom"/>
            <w:tcBorders>
              <w:bottom w:val="single" w:sz="8" w:color="D5EEEE"/>
            </w:tcBorders>
            <w:shd w:val="clear" w:color="auto" w:fill="D5EEEE"/>
          </w:tcPr>
          <w:p>
            <w:pPr>
              <w:spacing w:after="0"/>
              <w:rPr>
                <w:sz w:val="16"/>
                <w:szCs w:val="16"/>
                <w:color w:val="auto"/>
              </w:rPr>
            </w:pPr>
          </w:p>
        </w:tc>
        <w:tc>
          <w:tcPr>
            <w:tcW w:w="380" w:type="dxa"/>
            <w:vAlign w:val="bottom"/>
            <w:tcBorders>
              <w:bottom w:val="single" w:sz="8" w:color="D5EEEE"/>
            </w:tcBorders>
            <w:shd w:val="clear" w:color="auto" w:fill="D5EEEE"/>
          </w:tcPr>
          <w:p>
            <w:pPr>
              <w:jc w:val="right"/>
              <w:spacing w:after="0" w:line="186" w:lineRule="exact"/>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D5EEEE"/>
            </w:tcBorders>
            <w:shd w:val="clear" w:color="auto" w:fill="D5EEEE"/>
          </w:tcPr>
          <w:p>
            <w:pPr>
              <w:spacing w:after="0"/>
              <w:rPr>
                <w:sz w:val="16"/>
                <w:szCs w:val="16"/>
                <w:color w:val="auto"/>
              </w:rPr>
            </w:pPr>
          </w:p>
        </w:tc>
        <w:tc>
          <w:tcPr>
            <w:tcW w:w="20" w:type="dxa"/>
            <w:vAlign w:val="bottom"/>
            <w:tcBorders>
              <w:bottom w:val="single" w:sz="8" w:color="D5EEEE"/>
            </w:tcBorders>
            <w:shd w:val="clear" w:color="auto" w:fill="D5EEEE"/>
          </w:tcPr>
          <w:p>
            <w:pPr>
              <w:spacing w:after="0"/>
              <w:rPr>
                <w:sz w:val="16"/>
                <w:szCs w:val="16"/>
                <w:color w:val="auto"/>
              </w:rPr>
            </w:pPr>
          </w:p>
        </w:tc>
        <w:tc>
          <w:tcPr>
            <w:tcW w:w="220" w:type="dxa"/>
            <w:vAlign w:val="bottom"/>
            <w:tcBorders>
              <w:bottom w:val="single" w:sz="8" w:color="D5EEEE"/>
            </w:tcBorders>
            <w:shd w:val="clear" w:color="auto" w:fill="D5EEEE"/>
          </w:tcPr>
          <w:p>
            <w:pPr>
              <w:spacing w:after="0"/>
              <w:rPr>
                <w:sz w:val="16"/>
                <w:szCs w:val="16"/>
                <w:color w:val="auto"/>
              </w:rPr>
            </w:pPr>
          </w:p>
        </w:tc>
        <w:tc>
          <w:tcPr>
            <w:tcW w:w="1300" w:type="dxa"/>
            <w:vAlign w:val="bottom"/>
            <w:tcBorders>
              <w:bottom w:val="single" w:sz="8" w:color="D5EEEE"/>
            </w:tcBorders>
            <w:shd w:val="clear" w:color="auto" w:fill="D5EEEE"/>
          </w:tcPr>
          <w:p>
            <w:pPr>
              <w:jc w:val="right"/>
              <w:spacing w:after="0" w:line="186" w:lineRule="exact"/>
              <w:rPr>
                <w:sz w:val="20"/>
                <w:szCs w:val="20"/>
                <w:color w:val="auto"/>
              </w:rPr>
            </w:pPr>
            <w:r>
              <w:rPr>
                <w:rFonts w:ascii="Times New Roman" w:cs="Times New Roman" w:eastAsia="Times New Roman" w:hAnsi="Times New Roman"/>
                <w:sz w:val="17"/>
                <w:szCs w:val="17"/>
                <w:color w:val="auto"/>
              </w:rPr>
              <w:t>6,939</w:t>
            </w:r>
          </w:p>
        </w:tc>
        <w:tc>
          <w:tcPr>
            <w:tcW w:w="300" w:type="dxa"/>
            <w:vAlign w:val="bottom"/>
            <w:tcBorders>
              <w:bottom w:val="single" w:sz="8" w:color="D5EEEE"/>
            </w:tcBorders>
            <w:shd w:val="clear" w:color="auto" w:fill="D5EEEE"/>
          </w:tcPr>
          <w:p>
            <w:pPr>
              <w:spacing w:after="0"/>
              <w:rPr>
                <w:sz w:val="16"/>
                <w:szCs w:val="16"/>
                <w:color w:val="auto"/>
              </w:rPr>
            </w:pPr>
          </w:p>
        </w:tc>
        <w:tc>
          <w:tcPr>
            <w:tcW w:w="20" w:type="dxa"/>
            <w:vAlign w:val="bottom"/>
            <w:tcBorders>
              <w:bottom w:val="single" w:sz="8" w:color="D5EEEE"/>
            </w:tcBorders>
            <w:shd w:val="clear" w:color="auto" w:fill="D5EEEE"/>
          </w:tcPr>
          <w:p>
            <w:pPr>
              <w:spacing w:after="0"/>
              <w:rPr>
                <w:sz w:val="16"/>
                <w:szCs w:val="16"/>
                <w:color w:val="auto"/>
              </w:rPr>
            </w:pPr>
          </w:p>
        </w:tc>
        <w:tc>
          <w:tcPr>
            <w:tcW w:w="160" w:type="dxa"/>
            <w:vAlign w:val="bottom"/>
            <w:tcBorders>
              <w:bottom w:val="single" w:sz="8" w:color="D5EEEE"/>
            </w:tcBorders>
            <w:shd w:val="clear" w:color="auto" w:fill="D5EEEE"/>
          </w:tcPr>
          <w:p>
            <w:pPr>
              <w:spacing w:after="0"/>
              <w:rPr>
                <w:sz w:val="16"/>
                <w:szCs w:val="16"/>
                <w:color w:val="auto"/>
              </w:rPr>
            </w:pPr>
          </w:p>
        </w:tc>
        <w:tc>
          <w:tcPr>
            <w:tcW w:w="1400" w:type="dxa"/>
            <w:vAlign w:val="bottom"/>
            <w:tcBorders>
              <w:bottom w:val="single" w:sz="8" w:color="D5EEEE"/>
            </w:tcBorders>
            <w:shd w:val="clear" w:color="auto" w:fill="D5EEEE"/>
          </w:tcPr>
          <w:p>
            <w:pPr>
              <w:jc w:val="right"/>
              <w:ind w:right="56"/>
              <w:spacing w:after="0" w:line="186" w:lineRule="exact"/>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D5EEEE"/>
            </w:tcBorders>
            <w:shd w:val="clear" w:color="auto" w:fill="D5EEEE"/>
          </w:tcPr>
          <w:p>
            <w:pPr>
              <w:spacing w:after="0"/>
              <w:rPr>
                <w:sz w:val="16"/>
                <w:szCs w:val="16"/>
                <w:color w:val="auto"/>
              </w:rPr>
            </w:pPr>
          </w:p>
        </w:tc>
        <w:tc>
          <w:tcPr>
            <w:tcW w:w="20" w:type="dxa"/>
            <w:vAlign w:val="bottom"/>
            <w:tcBorders>
              <w:bottom w:val="single" w:sz="8" w:color="D5EEEE"/>
            </w:tcBorders>
            <w:shd w:val="clear" w:color="auto" w:fill="D5EEEE"/>
          </w:tcPr>
          <w:p>
            <w:pPr>
              <w:spacing w:after="0"/>
              <w:rPr>
                <w:sz w:val="16"/>
                <w:szCs w:val="16"/>
                <w:color w:val="auto"/>
              </w:rPr>
            </w:pPr>
          </w:p>
        </w:tc>
        <w:tc>
          <w:tcPr>
            <w:tcW w:w="200" w:type="dxa"/>
            <w:vAlign w:val="bottom"/>
            <w:tcBorders>
              <w:bottom w:val="single" w:sz="8" w:color="D5EEEE"/>
            </w:tcBorders>
            <w:shd w:val="clear" w:color="auto" w:fill="D5EEEE"/>
          </w:tcPr>
          <w:p>
            <w:pPr>
              <w:spacing w:after="0"/>
              <w:rPr>
                <w:sz w:val="16"/>
                <w:szCs w:val="16"/>
                <w:color w:val="auto"/>
              </w:rPr>
            </w:pPr>
          </w:p>
        </w:tc>
        <w:tc>
          <w:tcPr>
            <w:tcW w:w="1480" w:type="dxa"/>
            <w:vAlign w:val="bottom"/>
            <w:tcBorders>
              <w:bottom w:val="single" w:sz="8" w:color="D5EEEE"/>
            </w:tcBorders>
            <w:shd w:val="clear" w:color="auto" w:fill="D5EEEE"/>
          </w:tcPr>
          <w:p>
            <w:pPr>
              <w:jc w:val="right"/>
              <w:ind w:right="16"/>
              <w:spacing w:after="0" w:line="186" w:lineRule="exact"/>
              <w:rPr>
                <w:sz w:val="20"/>
                <w:szCs w:val="20"/>
                <w:color w:val="auto"/>
              </w:rPr>
            </w:pPr>
            <w:r>
              <w:rPr>
                <w:rFonts w:ascii="Times New Roman" w:cs="Times New Roman" w:eastAsia="Times New Roman" w:hAnsi="Times New Roman"/>
                <w:sz w:val="17"/>
                <w:szCs w:val="17"/>
                <w:color w:val="auto"/>
              </w:rPr>
              <w:t>6,939</w:t>
            </w:r>
          </w:p>
        </w:tc>
      </w:tr>
      <w:tr>
        <w:trPr>
          <w:trHeight w:val="186"/>
        </w:trPr>
        <w:tc>
          <w:tcPr>
            <w:tcW w:w="4780" w:type="dxa"/>
            <w:vAlign w:val="bottom"/>
            <w:gridSpan w:val="4"/>
          </w:tcPr>
          <w:p>
            <w:pPr>
              <w:spacing w:after="0" w:line="186" w:lineRule="exact"/>
              <w:rPr>
                <w:sz w:val="20"/>
                <w:szCs w:val="20"/>
                <w:color w:val="auto"/>
              </w:rPr>
            </w:pPr>
            <w:r>
              <w:rPr>
                <w:rFonts w:ascii="Times New Roman" w:cs="Times New Roman" w:eastAsia="Times New Roman" w:hAnsi="Times New Roman"/>
                <w:sz w:val="17"/>
                <w:szCs w:val="17"/>
                <w:color w:val="auto"/>
              </w:rPr>
              <w:t>Net loss</w:t>
            </w:r>
          </w:p>
        </w:tc>
        <w:tc>
          <w:tcPr>
            <w:tcW w:w="1280" w:type="dxa"/>
            <w:vAlign w:val="bottom"/>
          </w:tcPr>
          <w:p>
            <w:pPr>
              <w:jc w:val="right"/>
              <w:spacing w:after="0" w:line="186" w:lineRule="exact"/>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80" w:type="dxa"/>
            <w:vAlign w:val="bottom"/>
          </w:tcPr>
          <w:p>
            <w:pPr>
              <w:jc w:val="right"/>
              <w:spacing w:after="0" w:line="186" w:lineRule="exact"/>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line="186" w:lineRule="exact"/>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right"/>
              <w:spacing w:after="0" w:line="186" w:lineRule="exact"/>
              <w:rPr>
                <w:sz w:val="20"/>
                <w:szCs w:val="20"/>
                <w:color w:val="auto"/>
              </w:rPr>
            </w:pPr>
            <w:r>
              <w:rPr>
                <w:rFonts w:ascii="Times New Roman" w:cs="Times New Roman" w:eastAsia="Times New Roman" w:hAnsi="Times New Roman"/>
                <w:sz w:val="17"/>
                <w:szCs w:val="17"/>
                <w:color w:val="auto"/>
              </w:rPr>
              <w:t>(35,036)</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jc w:val="right"/>
              <w:spacing w:after="0" w:line="186" w:lineRule="exact"/>
              <w:rPr>
                <w:sz w:val="20"/>
                <w:szCs w:val="20"/>
                <w:color w:val="auto"/>
              </w:rPr>
            </w:pPr>
            <w:r>
              <w:rPr>
                <w:rFonts w:ascii="Times New Roman" w:cs="Times New Roman" w:eastAsia="Times New Roman" w:hAnsi="Times New Roman"/>
                <w:sz w:val="17"/>
                <w:szCs w:val="17"/>
                <w:color w:val="auto"/>
              </w:rPr>
              <w:t>(35,036)</w:t>
            </w:r>
          </w:p>
        </w:tc>
      </w:tr>
      <w:tr>
        <w:trPr>
          <w:trHeight w:val="22"/>
        </w:trPr>
        <w:tc>
          <w:tcPr>
            <w:tcW w:w="4720" w:type="dxa"/>
            <w:vAlign w:val="bottom"/>
            <w:tcBorders>
              <w:bottom w:val="single" w:sz="8" w:color="D5EEEE"/>
            </w:tcBorders>
          </w:tcPr>
          <w:p>
            <w:pPr>
              <w:spacing w:after="0" w:line="20" w:lineRule="exact"/>
              <w:rPr>
                <w:sz w:val="1"/>
                <w:szCs w:val="1"/>
                <w:color w:val="auto"/>
              </w:rPr>
            </w:pPr>
          </w:p>
        </w:tc>
        <w:tc>
          <w:tcPr>
            <w:tcW w:w="20" w:type="dxa"/>
            <w:vAlign w:val="bottom"/>
            <w:tcBorders>
              <w:bottom w:val="single" w:sz="8" w:color="D5EEEE"/>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D5EEEE"/>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D5EEEE"/>
            </w:tcBorders>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D5EEEE"/>
            </w:tcBorders>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D5EEEE"/>
            </w:tcBorders>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28"/>
        </w:trPr>
        <w:tc>
          <w:tcPr>
            <w:tcW w:w="4740" w:type="dxa"/>
            <w:vAlign w:val="bottom"/>
            <w:tcBorders>
              <w:bottom w:val="single" w:sz="8" w:color="D5EEEE"/>
            </w:tcBorders>
            <w:gridSpan w:val="2"/>
            <w:shd w:val="clear" w:color="auto" w:fill="D5EEEE"/>
          </w:tcPr>
          <w:p>
            <w:pPr>
              <w:spacing w:after="0" w:line="172" w:lineRule="exact"/>
              <w:rPr>
                <w:sz w:val="20"/>
                <w:szCs w:val="20"/>
                <w:color w:val="auto"/>
              </w:rPr>
            </w:pPr>
            <w:r>
              <w:rPr>
                <w:rFonts w:ascii="Times New Roman" w:cs="Times New Roman" w:eastAsia="Times New Roman" w:hAnsi="Times New Roman"/>
                <w:sz w:val="17"/>
                <w:szCs w:val="17"/>
                <w:b w:val="1"/>
                <w:bCs w:val="1"/>
                <w:color w:val="auto"/>
              </w:rPr>
              <w:t>Balance at December 31, 2025</w:t>
            </w:r>
          </w:p>
        </w:tc>
        <w:tc>
          <w:tcPr>
            <w:tcW w:w="40" w:type="dxa"/>
            <w:vAlign w:val="bottom"/>
            <w:tcBorders>
              <w:bottom w:val="single" w:sz="8" w:color="D5EEEE"/>
            </w:tcBorders>
            <w:gridSpan w:val="2"/>
            <w:shd w:val="clear" w:color="auto" w:fill="D5EEEE"/>
          </w:tcPr>
          <w:p>
            <w:pPr>
              <w:spacing w:after="0"/>
              <w:rPr>
                <w:sz w:val="19"/>
                <w:szCs w:val="19"/>
                <w:color w:val="auto"/>
              </w:rPr>
            </w:pPr>
          </w:p>
        </w:tc>
        <w:tc>
          <w:tcPr>
            <w:tcW w:w="1280" w:type="dxa"/>
            <w:vAlign w:val="bottom"/>
            <w:tcBorders>
              <w:bottom w:val="single" w:sz="8" w:color="D5EEEE"/>
            </w:tcBorders>
            <w:shd w:val="clear" w:color="auto" w:fill="D5EEEE"/>
          </w:tcPr>
          <w:p>
            <w:pPr>
              <w:jc w:val="right"/>
              <w:spacing w:after="0" w:line="181" w:lineRule="exact"/>
              <w:rPr>
                <w:sz w:val="20"/>
                <w:szCs w:val="20"/>
                <w:color w:val="auto"/>
              </w:rPr>
            </w:pPr>
            <w:r>
              <w:rPr>
                <w:rFonts w:ascii="Times New Roman" w:cs="Times New Roman" w:eastAsia="Times New Roman" w:hAnsi="Times New Roman"/>
                <w:sz w:val="17"/>
                <w:szCs w:val="17"/>
                <w:color w:val="auto"/>
              </w:rPr>
              <w:t>4,530,641</w:t>
            </w:r>
          </w:p>
        </w:tc>
        <w:tc>
          <w:tcPr>
            <w:tcW w:w="300" w:type="dxa"/>
            <w:vAlign w:val="bottom"/>
            <w:tcBorders>
              <w:bottom w:val="single" w:sz="8" w:color="D5EEEE"/>
            </w:tcBorders>
            <w:shd w:val="clear" w:color="auto" w:fill="D5EEEE"/>
          </w:tcPr>
          <w:p>
            <w:pPr>
              <w:spacing w:after="0"/>
              <w:rPr>
                <w:sz w:val="19"/>
                <w:szCs w:val="19"/>
                <w:color w:val="auto"/>
              </w:rPr>
            </w:pPr>
          </w:p>
        </w:tc>
        <w:tc>
          <w:tcPr>
            <w:tcW w:w="20" w:type="dxa"/>
            <w:vAlign w:val="bottom"/>
            <w:tcBorders>
              <w:bottom w:val="single" w:sz="8" w:color="D5EEEE"/>
            </w:tcBorders>
            <w:shd w:val="clear" w:color="auto" w:fill="D5EEEE"/>
          </w:tcPr>
          <w:p>
            <w:pPr>
              <w:spacing w:after="0"/>
              <w:rPr>
                <w:sz w:val="19"/>
                <w:szCs w:val="19"/>
                <w:color w:val="auto"/>
              </w:rPr>
            </w:pPr>
          </w:p>
        </w:tc>
        <w:tc>
          <w:tcPr>
            <w:tcW w:w="1120" w:type="dxa"/>
            <w:vAlign w:val="bottom"/>
            <w:tcBorders>
              <w:bottom w:val="single" w:sz="8" w:color="D5EEEE"/>
            </w:tcBorders>
            <w:shd w:val="clear" w:color="auto" w:fill="D5EEEE"/>
          </w:tcPr>
          <w:p>
            <w:pPr>
              <w:jc w:val="right"/>
              <w:ind w:right="1001"/>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bottom w:val="single" w:sz="8" w:color="D5EEEE"/>
            </w:tcBorders>
            <w:shd w:val="clear" w:color="auto" w:fill="D5EEEE"/>
          </w:tcPr>
          <w:p>
            <w:pPr>
              <w:jc w:val="right"/>
              <w:spacing w:after="0" w:line="181" w:lineRule="exact"/>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D5EEEE"/>
            </w:tcBorders>
            <w:shd w:val="clear" w:color="auto" w:fill="D5EEEE"/>
          </w:tcPr>
          <w:p>
            <w:pPr>
              <w:spacing w:after="0"/>
              <w:rPr>
                <w:sz w:val="19"/>
                <w:szCs w:val="19"/>
                <w:color w:val="auto"/>
              </w:rPr>
            </w:pPr>
          </w:p>
        </w:tc>
        <w:tc>
          <w:tcPr>
            <w:tcW w:w="20" w:type="dxa"/>
            <w:vAlign w:val="bottom"/>
            <w:tcBorders>
              <w:bottom w:val="single" w:sz="8" w:color="D5EEEE"/>
            </w:tcBorders>
            <w:shd w:val="clear" w:color="auto" w:fill="D5EEEE"/>
          </w:tcPr>
          <w:p>
            <w:pPr>
              <w:spacing w:after="0"/>
              <w:rPr>
                <w:sz w:val="19"/>
                <w:szCs w:val="19"/>
                <w:color w:val="auto"/>
              </w:rPr>
            </w:pPr>
          </w:p>
        </w:tc>
        <w:tc>
          <w:tcPr>
            <w:tcW w:w="220" w:type="dxa"/>
            <w:vAlign w:val="bottom"/>
            <w:tcBorders>
              <w:bottom w:val="single" w:sz="8" w:color="D5EEEE"/>
            </w:tcBorders>
            <w:shd w:val="clear" w:color="auto" w:fill="D5EEEE"/>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D5EEEE"/>
            </w:tcBorders>
            <w:shd w:val="clear" w:color="auto" w:fill="D5EEEE"/>
          </w:tcPr>
          <w:p>
            <w:pPr>
              <w:jc w:val="right"/>
              <w:spacing w:after="0" w:line="181" w:lineRule="exact"/>
              <w:rPr>
                <w:sz w:val="20"/>
                <w:szCs w:val="20"/>
                <w:color w:val="auto"/>
              </w:rPr>
            </w:pPr>
            <w:r>
              <w:rPr>
                <w:rFonts w:ascii="Times New Roman" w:cs="Times New Roman" w:eastAsia="Times New Roman" w:hAnsi="Times New Roman"/>
                <w:sz w:val="17"/>
                <w:szCs w:val="17"/>
                <w:color w:val="auto"/>
              </w:rPr>
              <w:t>454,062</w:t>
            </w:r>
          </w:p>
        </w:tc>
        <w:tc>
          <w:tcPr>
            <w:tcW w:w="300" w:type="dxa"/>
            <w:vAlign w:val="bottom"/>
            <w:tcBorders>
              <w:bottom w:val="single" w:sz="8" w:color="D5EEEE"/>
            </w:tcBorders>
            <w:shd w:val="clear" w:color="auto" w:fill="D5EEEE"/>
          </w:tcPr>
          <w:p>
            <w:pPr>
              <w:spacing w:after="0"/>
              <w:rPr>
                <w:sz w:val="19"/>
                <w:szCs w:val="19"/>
                <w:color w:val="auto"/>
              </w:rPr>
            </w:pPr>
          </w:p>
        </w:tc>
        <w:tc>
          <w:tcPr>
            <w:tcW w:w="20" w:type="dxa"/>
            <w:vAlign w:val="bottom"/>
            <w:tcBorders>
              <w:bottom w:val="single" w:sz="8" w:color="D5EEEE"/>
            </w:tcBorders>
            <w:shd w:val="clear" w:color="auto" w:fill="D5EEEE"/>
          </w:tcPr>
          <w:p>
            <w:pPr>
              <w:spacing w:after="0"/>
              <w:rPr>
                <w:sz w:val="19"/>
                <w:szCs w:val="19"/>
                <w:color w:val="auto"/>
              </w:rPr>
            </w:pPr>
          </w:p>
        </w:tc>
        <w:tc>
          <w:tcPr>
            <w:tcW w:w="160" w:type="dxa"/>
            <w:vAlign w:val="bottom"/>
            <w:tcBorders>
              <w:bottom w:val="single" w:sz="8" w:color="D5EEEE"/>
            </w:tcBorders>
            <w:shd w:val="clear" w:color="auto" w:fill="D5EEEE"/>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bottom w:val="single" w:sz="8" w:color="D5EEEE"/>
            </w:tcBorders>
            <w:shd w:val="clear" w:color="auto" w:fill="D5EEEE"/>
          </w:tcPr>
          <w:p>
            <w:pPr>
              <w:jc w:val="right"/>
              <w:spacing w:after="0" w:line="181" w:lineRule="exact"/>
              <w:rPr>
                <w:sz w:val="20"/>
                <w:szCs w:val="20"/>
                <w:color w:val="auto"/>
              </w:rPr>
            </w:pPr>
            <w:r>
              <w:rPr>
                <w:rFonts w:ascii="Times New Roman" w:cs="Times New Roman" w:eastAsia="Times New Roman" w:hAnsi="Times New Roman"/>
                <w:sz w:val="17"/>
                <w:szCs w:val="17"/>
                <w:color w:val="auto"/>
              </w:rPr>
              <w:t>(418,789)</w:t>
            </w:r>
          </w:p>
        </w:tc>
        <w:tc>
          <w:tcPr>
            <w:tcW w:w="300" w:type="dxa"/>
            <w:vAlign w:val="bottom"/>
            <w:tcBorders>
              <w:bottom w:val="single" w:sz="8" w:color="D5EEEE"/>
            </w:tcBorders>
            <w:shd w:val="clear" w:color="auto" w:fill="D5EEEE"/>
          </w:tcPr>
          <w:p>
            <w:pPr>
              <w:spacing w:after="0"/>
              <w:rPr>
                <w:sz w:val="19"/>
                <w:szCs w:val="19"/>
                <w:color w:val="auto"/>
              </w:rPr>
            </w:pPr>
          </w:p>
        </w:tc>
        <w:tc>
          <w:tcPr>
            <w:tcW w:w="20" w:type="dxa"/>
            <w:vAlign w:val="bottom"/>
            <w:tcBorders>
              <w:bottom w:val="single" w:sz="8" w:color="D5EEEE"/>
            </w:tcBorders>
            <w:shd w:val="clear" w:color="auto" w:fill="D5EEEE"/>
          </w:tcPr>
          <w:p>
            <w:pPr>
              <w:spacing w:after="0"/>
              <w:rPr>
                <w:sz w:val="19"/>
                <w:szCs w:val="19"/>
                <w:color w:val="auto"/>
              </w:rPr>
            </w:pPr>
          </w:p>
        </w:tc>
        <w:tc>
          <w:tcPr>
            <w:tcW w:w="200" w:type="dxa"/>
            <w:vAlign w:val="bottom"/>
            <w:tcBorders>
              <w:bottom w:val="single" w:sz="8" w:color="D5EEEE"/>
            </w:tcBorders>
            <w:shd w:val="clear" w:color="auto" w:fill="D5EEEE"/>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Borders>
              <w:bottom w:val="single" w:sz="8" w:color="D5EEEE"/>
            </w:tcBorders>
            <w:shd w:val="clear" w:color="auto" w:fill="D5EEEE"/>
          </w:tcPr>
          <w:p>
            <w:pPr>
              <w:jc w:val="right"/>
              <w:ind w:right="16"/>
              <w:spacing w:after="0" w:line="181" w:lineRule="exact"/>
              <w:rPr>
                <w:sz w:val="20"/>
                <w:szCs w:val="20"/>
                <w:color w:val="auto"/>
              </w:rPr>
            </w:pPr>
            <w:r>
              <w:rPr>
                <w:rFonts w:ascii="Times New Roman" w:cs="Times New Roman" w:eastAsia="Times New Roman" w:hAnsi="Times New Roman"/>
                <w:sz w:val="17"/>
                <w:szCs w:val="17"/>
                <w:color w:val="auto"/>
              </w:rPr>
              <w:t>35,273</w:t>
            </w:r>
          </w:p>
        </w:tc>
      </w:tr>
      <w:tr>
        <w:trPr>
          <w:trHeight w:val="20"/>
        </w:trPr>
        <w:tc>
          <w:tcPr>
            <w:tcW w:w="4720" w:type="dxa"/>
            <w:vAlign w:val="bottom"/>
            <w:tcBorders>
              <w:top w:val="single" w:sz="8" w:color="D5EEEE"/>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D5EEEE"/>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D5EEEE"/>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D5EEEE"/>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D5EEEE"/>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2973070</wp:posOffset>
            </wp:positionH>
            <wp:positionV relativeFrom="paragraph">
              <wp:posOffset>-4217670</wp:posOffset>
            </wp:positionV>
            <wp:extent cx="2052320" cy="36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3">
                      <a:extLst>
                        <a:ext uri="{28A0092B-C50C-407E-A947-70E740481C1C}"/>
                      </a:extLst>
                    </a:blip>
                    <a:srcRect/>
                    <a:stretch>
                      <a:fillRect/>
                    </a:stretch>
                  </pic:blipFill>
                  <pic:spPr bwMode="auto">
                    <a:xfrm>
                      <a:off x="0" y="0"/>
                      <a:ext cx="2052320" cy="36195"/>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The accompanying notes are an integral part of these consolidated financial statements.</w:t>
      </w:r>
    </w:p>
    <w:p>
      <w:pPr>
        <w:sectPr>
          <w:pgSz w:w="15840" w:h="12240" w:orient="landscape"/>
          <w:cols w:equalWidth="0" w:num="1">
            <w:col w:w="13600"/>
          </w:cols>
          <w:pgMar w:left="1120" w:top="1201" w:right="1120" w:bottom="4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F-5</w:t>
      </w:r>
    </w:p>
    <w:p>
      <w:pPr>
        <w:sectPr>
          <w:pgSz w:w="15840" w:h="12240" w:orient="landscape"/>
          <w:cols w:equalWidth="0" w:num="1">
            <w:col w:w="13600"/>
          </w:cols>
          <w:pgMar w:left="1120" w:top="1201" w:right="1120" w:bottom="490" w:gutter="0" w:footer="0" w:header="0"/>
          <w:type w:val="continuous"/>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9"/>
          <w:szCs w:val="19"/>
          <w:b w:val="1"/>
          <w:bCs w:val="1"/>
          <w:color w:val="auto"/>
        </w:rPr>
        <w:t>XILIO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CONSOLIDATED STATEMENTS OF CASH FLOWS</w:t>
      </w:r>
    </w:p>
    <w:p>
      <w:pPr>
        <w:jc w:val="center"/>
        <w:spacing w:after="0" w:line="238" w:lineRule="auto"/>
        <w:rPr>
          <w:sz w:val="20"/>
          <w:szCs w:val="20"/>
          <w:color w:val="auto"/>
        </w:rPr>
      </w:pPr>
      <w:r>
        <w:rPr>
          <w:rFonts w:ascii="Times New Roman" w:cs="Times New Roman" w:eastAsia="Times New Roman" w:hAnsi="Times New Roman"/>
          <w:sz w:val="19"/>
          <w:szCs w:val="19"/>
          <w:b w:val="1"/>
          <w:bCs w:val="1"/>
          <w:color w:val="auto"/>
        </w:rPr>
        <w:t>(In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00" w:type="dxa"/>
            <w:vAlign w:val="bottom"/>
            <w:gridSpan w:val="5"/>
          </w:tcPr>
          <w:p>
            <w:pPr>
              <w:jc w:val="right"/>
              <w:ind w:right="58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0" w:type="dxa"/>
            <w:vAlign w:val="bottom"/>
          </w:tcPr>
          <w:p>
            <w:pPr>
              <w:spacing w:after="0"/>
              <w:rPr>
                <w:sz w:val="1"/>
                <w:szCs w:val="1"/>
                <w:color w:val="auto"/>
              </w:rPr>
            </w:pPr>
          </w:p>
        </w:tc>
      </w:tr>
      <w:tr>
        <w:trPr>
          <w:trHeight w:val="181"/>
        </w:trPr>
        <w:tc>
          <w:tcPr>
            <w:tcW w:w="7280" w:type="dxa"/>
            <w:vAlign w:val="bottom"/>
            <w:tcBorders>
              <w:bottom w:val="single" w:sz="8" w:color="D5EEEE"/>
            </w:tcBorders>
          </w:tcPr>
          <w:p>
            <w:pPr>
              <w:spacing w:after="0"/>
              <w:rPr>
                <w:sz w:val="15"/>
                <w:szCs w:val="15"/>
                <w:color w:val="auto"/>
              </w:rPr>
            </w:pPr>
          </w:p>
        </w:tc>
        <w:tc>
          <w:tcPr>
            <w:tcW w:w="140" w:type="dxa"/>
            <w:vAlign w:val="bottom"/>
            <w:tcBorders>
              <w:bottom w:val="single" w:sz="8" w:color="D5EEEE"/>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5"/>
                <w:szCs w:val="15"/>
                <w:b w:val="1"/>
                <w:bCs w:val="1"/>
                <w:color w:val="auto"/>
              </w:rPr>
              <w:t>2025</w:t>
            </w:r>
          </w:p>
        </w:tc>
        <w:tc>
          <w:tcPr>
            <w:tcW w:w="180" w:type="dxa"/>
            <w:vAlign w:val="bottom"/>
            <w:tcBorders>
              <w:bottom w:val="single" w:sz="8" w:color="D5EEEE"/>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5"/>
                <w:szCs w:val="15"/>
                <w:b w:val="1"/>
                <w:bCs w:val="1"/>
                <w:color w:val="auto"/>
              </w:rPr>
              <w:t>2024</w:t>
            </w:r>
          </w:p>
        </w:tc>
        <w:tc>
          <w:tcPr>
            <w:tcW w:w="8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280" w:type="dxa"/>
            <w:vAlign w:val="bottom"/>
            <w:shd w:val="clear" w:color="auto" w:fill="D5EEEE"/>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140" w:type="dxa"/>
            <w:vAlign w:val="bottom"/>
            <w:shd w:val="clear" w:color="auto" w:fill="D5EEEE"/>
          </w:tcPr>
          <w:p>
            <w:pPr>
              <w:spacing w:after="0"/>
              <w:rPr>
                <w:sz w:val="17"/>
                <w:szCs w:val="17"/>
                <w:color w:val="auto"/>
              </w:rPr>
            </w:pPr>
          </w:p>
        </w:tc>
        <w:tc>
          <w:tcPr>
            <w:tcW w:w="280" w:type="dxa"/>
            <w:vAlign w:val="bottom"/>
            <w:shd w:val="clear" w:color="auto" w:fill="D5EEEE"/>
          </w:tcPr>
          <w:p>
            <w:pPr>
              <w:spacing w:after="0"/>
              <w:rPr>
                <w:sz w:val="17"/>
                <w:szCs w:val="17"/>
                <w:color w:val="auto"/>
              </w:rPr>
            </w:pPr>
          </w:p>
        </w:tc>
        <w:tc>
          <w:tcPr>
            <w:tcW w:w="1040" w:type="dxa"/>
            <w:vAlign w:val="bottom"/>
            <w:shd w:val="clear" w:color="auto" w:fill="D5EEEE"/>
          </w:tcPr>
          <w:p>
            <w:pPr>
              <w:spacing w:after="0"/>
              <w:rPr>
                <w:sz w:val="17"/>
                <w:szCs w:val="17"/>
                <w:color w:val="auto"/>
              </w:rPr>
            </w:pPr>
          </w:p>
        </w:tc>
        <w:tc>
          <w:tcPr>
            <w:tcW w:w="180" w:type="dxa"/>
            <w:vAlign w:val="bottom"/>
            <w:shd w:val="clear" w:color="auto" w:fill="D5EEEE"/>
          </w:tcPr>
          <w:p>
            <w:pPr>
              <w:spacing w:after="0"/>
              <w:rPr>
                <w:sz w:val="17"/>
                <w:szCs w:val="17"/>
                <w:color w:val="auto"/>
              </w:rPr>
            </w:pPr>
          </w:p>
        </w:tc>
        <w:tc>
          <w:tcPr>
            <w:tcW w:w="260" w:type="dxa"/>
            <w:vAlign w:val="bottom"/>
            <w:shd w:val="clear" w:color="auto" w:fill="D5EEEE"/>
          </w:tcPr>
          <w:p>
            <w:pPr>
              <w:spacing w:after="0"/>
              <w:rPr>
                <w:sz w:val="17"/>
                <w:szCs w:val="17"/>
                <w:color w:val="auto"/>
              </w:rPr>
            </w:pPr>
          </w:p>
        </w:tc>
        <w:tc>
          <w:tcPr>
            <w:tcW w:w="940" w:type="dxa"/>
            <w:vAlign w:val="bottom"/>
            <w:shd w:val="clear" w:color="auto" w:fill="D5EEEE"/>
          </w:tcPr>
          <w:p>
            <w:pPr>
              <w:spacing w:after="0"/>
              <w:rPr>
                <w:sz w:val="17"/>
                <w:szCs w:val="17"/>
                <w:color w:val="auto"/>
              </w:rPr>
            </w:pPr>
          </w:p>
        </w:tc>
        <w:tc>
          <w:tcPr>
            <w:tcW w:w="80" w:type="dxa"/>
            <w:vAlign w:val="bottom"/>
            <w:shd w:val="clear" w:color="auto" w:fill="D5EEE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28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420" w:type="dxa"/>
            <w:vAlign w:val="bottom"/>
            <w:gridSpan w:val="2"/>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(35,036)</w:t>
            </w:r>
          </w:p>
        </w:tc>
        <w:tc>
          <w:tcPr>
            <w:tcW w:w="44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(58,241)</w:t>
            </w:r>
          </w:p>
        </w:tc>
        <w:tc>
          <w:tcPr>
            <w:tcW w:w="0" w:type="dxa"/>
            <w:vAlign w:val="bottom"/>
          </w:tcPr>
          <w:p>
            <w:pPr>
              <w:spacing w:after="0"/>
              <w:rPr>
                <w:sz w:val="1"/>
                <w:szCs w:val="1"/>
                <w:color w:val="auto"/>
              </w:rPr>
            </w:pPr>
          </w:p>
        </w:tc>
      </w:tr>
      <w:tr>
        <w:trPr>
          <w:trHeight w:val="209"/>
        </w:trPr>
        <w:tc>
          <w:tcPr>
            <w:tcW w:w="7280" w:type="dxa"/>
            <w:vAlign w:val="bottom"/>
            <w:shd w:val="clear" w:color="auto" w:fill="D5EEEE"/>
          </w:tcPr>
          <w:p>
            <w:pPr>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140" w:type="dxa"/>
            <w:vAlign w:val="bottom"/>
            <w:shd w:val="clear" w:color="auto" w:fill="D5EEEE"/>
          </w:tcPr>
          <w:p>
            <w:pPr>
              <w:spacing w:after="0"/>
              <w:rPr>
                <w:sz w:val="18"/>
                <w:szCs w:val="18"/>
                <w:color w:val="auto"/>
              </w:rPr>
            </w:pPr>
          </w:p>
        </w:tc>
        <w:tc>
          <w:tcPr>
            <w:tcW w:w="280" w:type="dxa"/>
            <w:vAlign w:val="bottom"/>
            <w:shd w:val="clear" w:color="auto" w:fill="D5EEEE"/>
          </w:tcPr>
          <w:p>
            <w:pPr>
              <w:spacing w:after="0"/>
              <w:rPr>
                <w:sz w:val="18"/>
                <w:szCs w:val="18"/>
                <w:color w:val="auto"/>
              </w:rPr>
            </w:pPr>
          </w:p>
        </w:tc>
        <w:tc>
          <w:tcPr>
            <w:tcW w:w="1040" w:type="dxa"/>
            <w:vAlign w:val="bottom"/>
            <w:shd w:val="clear" w:color="auto" w:fill="D5EEEE"/>
          </w:tcPr>
          <w:p>
            <w:pPr>
              <w:spacing w:after="0"/>
              <w:rPr>
                <w:sz w:val="18"/>
                <w:szCs w:val="18"/>
                <w:color w:val="auto"/>
              </w:rPr>
            </w:pPr>
          </w:p>
        </w:tc>
        <w:tc>
          <w:tcPr>
            <w:tcW w:w="180" w:type="dxa"/>
            <w:vAlign w:val="bottom"/>
            <w:shd w:val="clear" w:color="auto" w:fill="D5EEEE"/>
          </w:tcPr>
          <w:p>
            <w:pPr>
              <w:spacing w:after="0"/>
              <w:rPr>
                <w:sz w:val="18"/>
                <w:szCs w:val="18"/>
                <w:color w:val="auto"/>
              </w:rPr>
            </w:pPr>
          </w:p>
        </w:tc>
        <w:tc>
          <w:tcPr>
            <w:tcW w:w="260" w:type="dxa"/>
            <w:vAlign w:val="bottom"/>
            <w:shd w:val="clear" w:color="auto" w:fill="D5EEEE"/>
          </w:tcPr>
          <w:p>
            <w:pPr>
              <w:spacing w:after="0"/>
              <w:rPr>
                <w:sz w:val="18"/>
                <w:szCs w:val="18"/>
                <w:color w:val="auto"/>
              </w:rPr>
            </w:pPr>
          </w:p>
        </w:tc>
        <w:tc>
          <w:tcPr>
            <w:tcW w:w="940" w:type="dxa"/>
            <w:vAlign w:val="bottom"/>
            <w:shd w:val="clear" w:color="auto" w:fill="D5EEEE"/>
          </w:tcPr>
          <w:p>
            <w:pPr>
              <w:spacing w:after="0"/>
              <w:rPr>
                <w:sz w:val="18"/>
                <w:szCs w:val="18"/>
                <w:color w:val="auto"/>
              </w:rPr>
            </w:pPr>
          </w:p>
        </w:tc>
        <w:tc>
          <w:tcPr>
            <w:tcW w:w="80" w:type="dxa"/>
            <w:vAlign w:val="bottom"/>
            <w:shd w:val="clear" w:color="auto" w:fill="D5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2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1,541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80" w:type="dxa"/>
            <w:vAlign w:val="bottom"/>
            <w:shd w:val="clear" w:color="auto" w:fill="D5EEEE"/>
          </w:tcPr>
          <w:p>
            <w:pPr>
              <w:ind w:left="10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40" w:type="dxa"/>
            <w:vAlign w:val="bottom"/>
            <w:shd w:val="clear" w:color="auto" w:fill="D5EEEE"/>
          </w:tcPr>
          <w:p>
            <w:pPr>
              <w:spacing w:after="0"/>
              <w:rPr>
                <w:sz w:val="18"/>
                <w:szCs w:val="18"/>
                <w:color w:val="auto"/>
              </w:rPr>
            </w:pPr>
          </w:p>
        </w:tc>
        <w:tc>
          <w:tcPr>
            <w:tcW w:w="280" w:type="dxa"/>
            <w:vAlign w:val="bottom"/>
            <w:shd w:val="clear" w:color="auto" w:fill="D5EEEE"/>
          </w:tcPr>
          <w:p>
            <w:pPr>
              <w:spacing w:after="0"/>
              <w:rPr>
                <w:sz w:val="18"/>
                <w:szCs w:val="18"/>
                <w:color w:val="auto"/>
              </w:rPr>
            </w:pPr>
          </w:p>
        </w:tc>
        <w:tc>
          <w:tcPr>
            <w:tcW w:w="1040" w:type="dxa"/>
            <w:vAlign w:val="bottom"/>
            <w:shd w:val="clear" w:color="auto" w:fill="D5EEEE"/>
          </w:tcPr>
          <w:p>
            <w:pPr>
              <w:jc w:val="right"/>
              <w:ind w:right="36"/>
              <w:spacing w:after="0"/>
              <w:rPr>
                <w:sz w:val="20"/>
                <w:szCs w:val="20"/>
                <w:color w:val="auto"/>
              </w:rPr>
            </w:pPr>
            <w:r>
              <w:rPr>
                <w:rFonts w:ascii="Times New Roman" w:cs="Times New Roman" w:eastAsia="Times New Roman" w:hAnsi="Times New Roman"/>
                <w:sz w:val="17"/>
                <w:szCs w:val="17"/>
                <w:color w:val="auto"/>
              </w:rPr>
              <w:t>6,939</w:t>
            </w:r>
          </w:p>
        </w:tc>
        <w:tc>
          <w:tcPr>
            <w:tcW w:w="180" w:type="dxa"/>
            <w:vAlign w:val="bottom"/>
            <w:shd w:val="clear" w:color="auto" w:fill="D5EEEE"/>
          </w:tcPr>
          <w:p>
            <w:pPr>
              <w:spacing w:after="0"/>
              <w:rPr>
                <w:sz w:val="18"/>
                <w:szCs w:val="18"/>
                <w:color w:val="auto"/>
              </w:rPr>
            </w:pPr>
          </w:p>
        </w:tc>
        <w:tc>
          <w:tcPr>
            <w:tcW w:w="260" w:type="dxa"/>
            <w:vAlign w:val="bottom"/>
            <w:shd w:val="clear" w:color="auto" w:fill="D5EEEE"/>
          </w:tcPr>
          <w:p>
            <w:pPr>
              <w:spacing w:after="0"/>
              <w:rPr>
                <w:sz w:val="18"/>
                <w:szCs w:val="18"/>
                <w:color w:val="auto"/>
              </w:rPr>
            </w:pPr>
          </w:p>
        </w:tc>
        <w:tc>
          <w:tcPr>
            <w:tcW w:w="9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rPr>
              <w:t>6,434</w:t>
            </w:r>
          </w:p>
        </w:tc>
        <w:tc>
          <w:tcPr>
            <w:tcW w:w="80" w:type="dxa"/>
            <w:vAlign w:val="bottom"/>
            <w:shd w:val="clear" w:color="auto" w:fill="D5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2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Change in fair value of common stock warrant liabilities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(5,845)</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9"/>
        </w:trPr>
        <w:tc>
          <w:tcPr>
            <w:tcW w:w="7280" w:type="dxa"/>
            <w:vAlign w:val="bottom"/>
            <w:shd w:val="clear" w:color="auto" w:fill="D5EEEE"/>
          </w:tcPr>
          <w:p>
            <w:pPr>
              <w:ind w:left="100"/>
              <w:spacing w:after="0"/>
              <w:rPr>
                <w:sz w:val="20"/>
                <w:szCs w:val="20"/>
                <w:color w:val="auto"/>
              </w:rPr>
            </w:pPr>
            <w:r>
              <w:rPr>
                <w:rFonts w:ascii="Times New Roman" w:cs="Times New Roman" w:eastAsia="Times New Roman" w:hAnsi="Times New Roman"/>
                <w:sz w:val="17"/>
                <w:szCs w:val="17"/>
                <w:color w:val="auto"/>
              </w:rPr>
              <w:t>Issuance costs allocated to common stock warrant liabilities</w:t>
            </w:r>
          </w:p>
        </w:tc>
        <w:tc>
          <w:tcPr>
            <w:tcW w:w="140" w:type="dxa"/>
            <w:vAlign w:val="bottom"/>
            <w:shd w:val="clear" w:color="auto" w:fill="D5EEEE"/>
          </w:tcPr>
          <w:p>
            <w:pPr>
              <w:spacing w:after="0"/>
              <w:rPr>
                <w:sz w:val="18"/>
                <w:szCs w:val="18"/>
                <w:color w:val="auto"/>
              </w:rPr>
            </w:pPr>
          </w:p>
        </w:tc>
        <w:tc>
          <w:tcPr>
            <w:tcW w:w="280" w:type="dxa"/>
            <w:vAlign w:val="bottom"/>
            <w:shd w:val="clear" w:color="auto" w:fill="D5EEEE"/>
          </w:tcPr>
          <w:p>
            <w:pPr>
              <w:spacing w:after="0"/>
              <w:rPr>
                <w:sz w:val="18"/>
                <w:szCs w:val="18"/>
                <w:color w:val="auto"/>
              </w:rPr>
            </w:pPr>
          </w:p>
        </w:tc>
        <w:tc>
          <w:tcPr>
            <w:tcW w:w="1040" w:type="dxa"/>
            <w:vAlign w:val="bottom"/>
            <w:shd w:val="clear" w:color="auto" w:fill="D5EEEE"/>
          </w:tcPr>
          <w:p>
            <w:pPr>
              <w:jc w:val="right"/>
              <w:ind w:right="36"/>
              <w:spacing w:after="0"/>
              <w:rPr>
                <w:sz w:val="20"/>
                <w:szCs w:val="20"/>
                <w:color w:val="auto"/>
              </w:rPr>
            </w:pPr>
            <w:r>
              <w:rPr>
                <w:rFonts w:ascii="Times New Roman" w:cs="Times New Roman" w:eastAsia="Times New Roman" w:hAnsi="Times New Roman"/>
                <w:sz w:val="17"/>
                <w:szCs w:val="17"/>
                <w:color w:val="auto"/>
              </w:rPr>
              <w:t>2,284</w:t>
            </w:r>
          </w:p>
        </w:tc>
        <w:tc>
          <w:tcPr>
            <w:tcW w:w="180" w:type="dxa"/>
            <w:vAlign w:val="bottom"/>
            <w:shd w:val="clear" w:color="auto" w:fill="D5EEEE"/>
          </w:tcPr>
          <w:p>
            <w:pPr>
              <w:spacing w:after="0"/>
              <w:rPr>
                <w:sz w:val="18"/>
                <w:szCs w:val="18"/>
                <w:color w:val="auto"/>
              </w:rPr>
            </w:pPr>
          </w:p>
        </w:tc>
        <w:tc>
          <w:tcPr>
            <w:tcW w:w="260" w:type="dxa"/>
            <w:vAlign w:val="bottom"/>
            <w:shd w:val="clear" w:color="auto" w:fill="D5EEEE"/>
          </w:tcPr>
          <w:p>
            <w:pPr>
              <w:spacing w:after="0"/>
              <w:rPr>
                <w:sz w:val="18"/>
                <w:szCs w:val="18"/>
                <w:color w:val="auto"/>
              </w:rPr>
            </w:pPr>
          </w:p>
        </w:tc>
        <w:tc>
          <w:tcPr>
            <w:tcW w:w="1020" w:type="dxa"/>
            <w:vAlign w:val="bottom"/>
            <w:gridSpan w:val="2"/>
            <w:shd w:val="clear" w:color="auto" w:fill="D5EEEE"/>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8"/>
        </w:trPr>
        <w:tc>
          <w:tcPr>
            <w:tcW w:w="72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Loss on disposal of property and equipment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80" w:type="dxa"/>
            <w:vAlign w:val="bottom"/>
            <w:shd w:val="clear" w:color="auto" w:fill="D5EEEE"/>
          </w:tcPr>
          <w:p>
            <w:pPr>
              <w:ind w:left="10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140" w:type="dxa"/>
            <w:vAlign w:val="bottom"/>
            <w:shd w:val="clear" w:color="auto" w:fill="D5EEEE"/>
          </w:tcPr>
          <w:p>
            <w:pPr>
              <w:spacing w:after="0"/>
              <w:rPr>
                <w:sz w:val="18"/>
                <w:szCs w:val="18"/>
                <w:color w:val="auto"/>
              </w:rPr>
            </w:pPr>
          </w:p>
        </w:tc>
        <w:tc>
          <w:tcPr>
            <w:tcW w:w="280" w:type="dxa"/>
            <w:vAlign w:val="bottom"/>
            <w:shd w:val="clear" w:color="auto" w:fill="D5EEEE"/>
          </w:tcPr>
          <w:p>
            <w:pPr>
              <w:spacing w:after="0"/>
              <w:rPr>
                <w:sz w:val="18"/>
                <w:szCs w:val="18"/>
                <w:color w:val="auto"/>
              </w:rPr>
            </w:pPr>
          </w:p>
        </w:tc>
        <w:tc>
          <w:tcPr>
            <w:tcW w:w="1040" w:type="dxa"/>
            <w:vAlign w:val="bottom"/>
            <w:shd w:val="clear" w:color="auto" w:fill="D5EEEE"/>
          </w:tcPr>
          <w:p>
            <w:pPr>
              <w:spacing w:after="0"/>
              <w:rPr>
                <w:sz w:val="18"/>
                <w:szCs w:val="18"/>
                <w:color w:val="auto"/>
              </w:rPr>
            </w:pPr>
          </w:p>
        </w:tc>
        <w:tc>
          <w:tcPr>
            <w:tcW w:w="180" w:type="dxa"/>
            <w:vAlign w:val="bottom"/>
            <w:shd w:val="clear" w:color="auto" w:fill="D5EEEE"/>
          </w:tcPr>
          <w:p>
            <w:pPr>
              <w:spacing w:after="0"/>
              <w:rPr>
                <w:sz w:val="18"/>
                <w:szCs w:val="18"/>
                <w:color w:val="auto"/>
              </w:rPr>
            </w:pPr>
          </w:p>
        </w:tc>
        <w:tc>
          <w:tcPr>
            <w:tcW w:w="260" w:type="dxa"/>
            <w:vAlign w:val="bottom"/>
            <w:shd w:val="clear" w:color="auto" w:fill="D5EEEE"/>
          </w:tcPr>
          <w:p>
            <w:pPr>
              <w:spacing w:after="0"/>
              <w:rPr>
                <w:sz w:val="18"/>
                <w:szCs w:val="18"/>
                <w:color w:val="auto"/>
              </w:rPr>
            </w:pPr>
          </w:p>
        </w:tc>
        <w:tc>
          <w:tcPr>
            <w:tcW w:w="940" w:type="dxa"/>
            <w:vAlign w:val="bottom"/>
            <w:shd w:val="clear" w:color="auto" w:fill="D5EEEE"/>
          </w:tcPr>
          <w:p>
            <w:pPr>
              <w:spacing w:after="0"/>
              <w:rPr>
                <w:sz w:val="18"/>
                <w:szCs w:val="18"/>
                <w:color w:val="auto"/>
              </w:rPr>
            </w:pPr>
          </w:p>
        </w:tc>
        <w:tc>
          <w:tcPr>
            <w:tcW w:w="80" w:type="dxa"/>
            <w:vAlign w:val="bottom"/>
            <w:shd w:val="clear" w:color="auto" w:fill="D5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2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Collaboration and license agreement receivable</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9"/>
        </w:trPr>
        <w:tc>
          <w:tcPr>
            <w:tcW w:w="7280" w:type="dxa"/>
            <w:vAlign w:val="bottom"/>
            <w:shd w:val="clear" w:color="auto" w:fill="D5EEEE"/>
          </w:tcPr>
          <w:p>
            <w:pPr>
              <w:ind w:left="180"/>
              <w:spacing w:after="0"/>
              <w:rPr>
                <w:sz w:val="20"/>
                <w:szCs w:val="20"/>
                <w:color w:val="auto"/>
              </w:rPr>
            </w:pPr>
            <w:r>
              <w:rPr>
                <w:rFonts w:ascii="Times New Roman" w:cs="Times New Roman" w:eastAsia="Times New Roman" w:hAnsi="Times New Roman"/>
                <w:sz w:val="17"/>
                <w:szCs w:val="17"/>
                <w:color w:val="auto"/>
              </w:rPr>
              <w:t>Prepaid and other assets</w:t>
            </w:r>
          </w:p>
        </w:tc>
        <w:tc>
          <w:tcPr>
            <w:tcW w:w="140" w:type="dxa"/>
            <w:vAlign w:val="bottom"/>
            <w:shd w:val="clear" w:color="auto" w:fill="D5EEEE"/>
          </w:tcPr>
          <w:p>
            <w:pPr>
              <w:spacing w:after="0"/>
              <w:rPr>
                <w:sz w:val="18"/>
                <w:szCs w:val="18"/>
                <w:color w:val="auto"/>
              </w:rPr>
            </w:pPr>
          </w:p>
        </w:tc>
        <w:tc>
          <w:tcPr>
            <w:tcW w:w="280" w:type="dxa"/>
            <w:vAlign w:val="bottom"/>
            <w:shd w:val="clear" w:color="auto" w:fill="D5EEEE"/>
          </w:tcPr>
          <w:p>
            <w:pPr>
              <w:spacing w:after="0"/>
              <w:rPr>
                <w:sz w:val="18"/>
                <w:szCs w:val="18"/>
                <w:color w:val="auto"/>
              </w:rPr>
            </w:pPr>
          </w:p>
        </w:tc>
        <w:tc>
          <w:tcPr>
            <w:tcW w:w="1040" w:type="dxa"/>
            <w:vAlign w:val="bottom"/>
            <w:shd w:val="clear" w:color="auto" w:fill="D5EEEE"/>
          </w:tcPr>
          <w:p>
            <w:pPr>
              <w:jc w:val="right"/>
              <w:ind w:right="36"/>
              <w:spacing w:after="0"/>
              <w:rPr>
                <w:sz w:val="20"/>
                <w:szCs w:val="20"/>
                <w:color w:val="auto"/>
              </w:rPr>
            </w:pPr>
            <w:r>
              <w:rPr>
                <w:rFonts w:ascii="Times New Roman" w:cs="Times New Roman" w:eastAsia="Times New Roman" w:hAnsi="Times New Roman"/>
                <w:sz w:val="17"/>
                <w:szCs w:val="17"/>
                <w:color w:val="auto"/>
              </w:rPr>
              <w:t>3,075</w:t>
            </w:r>
          </w:p>
        </w:tc>
        <w:tc>
          <w:tcPr>
            <w:tcW w:w="180" w:type="dxa"/>
            <w:vAlign w:val="bottom"/>
            <w:shd w:val="clear" w:color="auto" w:fill="D5EEEE"/>
          </w:tcPr>
          <w:p>
            <w:pPr>
              <w:spacing w:after="0"/>
              <w:rPr>
                <w:sz w:val="18"/>
                <w:szCs w:val="18"/>
                <w:color w:val="auto"/>
              </w:rPr>
            </w:pPr>
          </w:p>
        </w:tc>
        <w:tc>
          <w:tcPr>
            <w:tcW w:w="260" w:type="dxa"/>
            <w:vAlign w:val="bottom"/>
            <w:shd w:val="clear" w:color="auto" w:fill="D5EEEE"/>
          </w:tcPr>
          <w:p>
            <w:pPr>
              <w:spacing w:after="0"/>
              <w:rPr>
                <w:sz w:val="18"/>
                <w:szCs w:val="18"/>
                <w:color w:val="auto"/>
              </w:rPr>
            </w:pPr>
          </w:p>
        </w:tc>
        <w:tc>
          <w:tcPr>
            <w:tcW w:w="1020" w:type="dxa"/>
            <w:vAlign w:val="bottom"/>
            <w:gridSpan w:val="2"/>
            <w:shd w:val="clear" w:color="auto" w:fill="D5EEEE"/>
          </w:tcPr>
          <w:p>
            <w:pPr>
              <w:jc w:val="right"/>
              <w:ind w:right="20"/>
              <w:spacing w:after="0"/>
              <w:rPr>
                <w:sz w:val="20"/>
                <w:szCs w:val="20"/>
                <w:color w:val="auto"/>
              </w:rPr>
            </w:pPr>
            <w:r>
              <w:rPr>
                <w:rFonts w:ascii="Times New Roman" w:cs="Times New Roman" w:eastAsia="Times New Roman" w:hAnsi="Times New Roman"/>
                <w:sz w:val="17"/>
                <w:szCs w:val="17"/>
                <w:color w:val="auto"/>
              </w:rPr>
              <w:t>(981)</w:t>
            </w:r>
          </w:p>
        </w:tc>
        <w:tc>
          <w:tcPr>
            <w:tcW w:w="0" w:type="dxa"/>
            <w:vAlign w:val="bottom"/>
          </w:tcPr>
          <w:p>
            <w:pPr>
              <w:spacing w:after="0"/>
              <w:rPr>
                <w:sz w:val="1"/>
                <w:szCs w:val="1"/>
                <w:color w:val="auto"/>
              </w:rPr>
            </w:pPr>
          </w:p>
        </w:tc>
      </w:tr>
      <w:tr>
        <w:trPr>
          <w:trHeight w:val="208"/>
        </w:trPr>
        <w:tc>
          <w:tcPr>
            <w:tcW w:w="72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Accounts payable</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152</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80" w:type="dxa"/>
            <w:vAlign w:val="bottom"/>
            <w:shd w:val="clear" w:color="auto" w:fill="D5EEEE"/>
          </w:tcPr>
          <w:p>
            <w:pPr>
              <w:ind w:left="180"/>
              <w:spacing w:after="0"/>
              <w:rPr>
                <w:sz w:val="20"/>
                <w:szCs w:val="20"/>
                <w:color w:val="auto"/>
              </w:rPr>
            </w:pPr>
            <w:r>
              <w:rPr>
                <w:rFonts w:ascii="Times New Roman" w:cs="Times New Roman" w:eastAsia="Times New Roman" w:hAnsi="Times New Roman"/>
                <w:sz w:val="17"/>
                <w:szCs w:val="17"/>
                <w:color w:val="auto"/>
              </w:rPr>
              <w:t>Accrued expenses and other liabilities</w:t>
            </w:r>
          </w:p>
        </w:tc>
        <w:tc>
          <w:tcPr>
            <w:tcW w:w="140" w:type="dxa"/>
            <w:vAlign w:val="bottom"/>
            <w:shd w:val="clear" w:color="auto" w:fill="D5EEEE"/>
          </w:tcPr>
          <w:p>
            <w:pPr>
              <w:spacing w:after="0"/>
              <w:rPr>
                <w:sz w:val="18"/>
                <w:szCs w:val="18"/>
                <w:color w:val="auto"/>
              </w:rPr>
            </w:pPr>
          </w:p>
        </w:tc>
        <w:tc>
          <w:tcPr>
            <w:tcW w:w="280" w:type="dxa"/>
            <w:vAlign w:val="bottom"/>
            <w:shd w:val="clear" w:color="auto" w:fill="D5EEEE"/>
          </w:tcPr>
          <w:p>
            <w:pPr>
              <w:spacing w:after="0"/>
              <w:rPr>
                <w:sz w:val="18"/>
                <w:szCs w:val="18"/>
                <w:color w:val="auto"/>
              </w:rPr>
            </w:pPr>
          </w:p>
        </w:tc>
        <w:tc>
          <w:tcPr>
            <w:tcW w:w="10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rPr>
              <w:t>(979)</w:t>
            </w:r>
          </w:p>
        </w:tc>
        <w:tc>
          <w:tcPr>
            <w:tcW w:w="180" w:type="dxa"/>
            <w:vAlign w:val="bottom"/>
            <w:shd w:val="clear" w:color="auto" w:fill="D5EEEE"/>
          </w:tcPr>
          <w:p>
            <w:pPr>
              <w:spacing w:after="0"/>
              <w:rPr>
                <w:sz w:val="18"/>
                <w:szCs w:val="18"/>
                <w:color w:val="auto"/>
              </w:rPr>
            </w:pPr>
          </w:p>
        </w:tc>
        <w:tc>
          <w:tcPr>
            <w:tcW w:w="260" w:type="dxa"/>
            <w:vAlign w:val="bottom"/>
            <w:shd w:val="clear" w:color="auto" w:fill="D5EEEE"/>
          </w:tcPr>
          <w:p>
            <w:pPr>
              <w:spacing w:after="0"/>
              <w:rPr>
                <w:sz w:val="18"/>
                <w:szCs w:val="18"/>
                <w:color w:val="auto"/>
              </w:rPr>
            </w:pPr>
          </w:p>
        </w:tc>
        <w:tc>
          <w:tcPr>
            <w:tcW w:w="1020" w:type="dxa"/>
            <w:vAlign w:val="bottom"/>
            <w:gridSpan w:val="2"/>
            <w:shd w:val="clear" w:color="auto" w:fill="D5EEEE"/>
          </w:tcPr>
          <w:p>
            <w:pPr>
              <w:jc w:val="right"/>
              <w:ind w:right="20"/>
              <w:spacing w:after="0"/>
              <w:rPr>
                <w:sz w:val="20"/>
                <w:szCs w:val="20"/>
                <w:color w:val="auto"/>
              </w:rPr>
            </w:pPr>
            <w:r>
              <w:rPr>
                <w:rFonts w:ascii="Times New Roman" w:cs="Times New Roman" w:eastAsia="Times New Roman" w:hAnsi="Times New Roman"/>
                <w:sz w:val="17"/>
                <w:szCs w:val="17"/>
                <w:color w:val="auto"/>
              </w:rPr>
              <w:t>(1,543)</w:t>
            </w:r>
          </w:p>
        </w:tc>
        <w:tc>
          <w:tcPr>
            <w:tcW w:w="0" w:type="dxa"/>
            <w:vAlign w:val="bottom"/>
          </w:tcPr>
          <w:p>
            <w:pPr>
              <w:spacing w:after="0"/>
              <w:rPr>
                <w:sz w:val="1"/>
                <w:szCs w:val="1"/>
                <w:color w:val="auto"/>
              </w:rPr>
            </w:pPr>
          </w:p>
        </w:tc>
      </w:tr>
      <w:tr>
        <w:trPr>
          <w:trHeight w:val="208"/>
        </w:trPr>
        <w:tc>
          <w:tcPr>
            <w:tcW w:w="7280" w:type="dxa"/>
            <w:vAlign w:val="bottom"/>
            <w:tcBorders>
              <w:bottom w:val="single" w:sz="8" w:color="D5EEEE"/>
            </w:tcBorders>
          </w:tcPr>
          <w:p>
            <w:pPr>
              <w:ind w:left="180"/>
              <w:spacing w:after="0"/>
              <w:rPr>
                <w:sz w:val="20"/>
                <w:szCs w:val="20"/>
                <w:color w:val="auto"/>
              </w:rPr>
            </w:pPr>
            <w:r>
              <w:rPr>
                <w:rFonts w:ascii="Times New Roman" w:cs="Times New Roman" w:eastAsia="Times New Roman" w:hAnsi="Times New Roman"/>
                <w:sz w:val="17"/>
                <w:szCs w:val="17"/>
                <w:color w:val="auto"/>
              </w:rPr>
              <w:t>Deferred revenue</w:t>
            </w:r>
          </w:p>
        </w:tc>
        <w:tc>
          <w:tcPr>
            <w:tcW w:w="140" w:type="dxa"/>
            <w:vAlign w:val="bottom"/>
            <w:tcBorders>
              <w:bottom w:val="single" w:sz="8" w:color="D5EEEE"/>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27,877</w:t>
            </w:r>
          </w:p>
        </w:tc>
        <w:tc>
          <w:tcPr>
            <w:tcW w:w="180" w:type="dxa"/>
            <w:vAlign w:val="bottom"/>
            <w:tcBorders>
              <w:bottom w:val="single" w:sz="8" w:color="D5EEEE"/>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32,780</w:t>
            </w: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80" w:type="dxa"/>
            <w:vAlign w:val="bottom"/>
            <w:tcBorders>
              <w:bottom w:val="single" w:sz="8" w:color="D5EEEE"/>
            </w:tcBorders>
            <w:shd w:val="clear" w:color="auto" w:fill="D5EEEE"/>
          </w:tcPr>
          <w:p>
            <w:pPr>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140" w:type="dxa"/>
            <w:vAlign w:val="bottom"/>
            <w:tcBorders>
              <w:bottom w:val="single" w:sz="8" w:color="D5EEEE"/>
            </w:tcBorders>
            <w:shd w:val="clear" w:color="auto" w:fill="D5EEEE"/>
          </w:tcPr>
          <w:p>
            <w:pPr>
              <w:spacing w:after="0"/>
              <w:rPr>
                <w:sz w:val="19"/>
                <w:szCs w:val="19"/>
                <w:color w:val="auto"/>
              </w:rPr>
            </w:pPr>
          </w:p>
        </w:tc>
        <w:tc>
          <w:tcPr>
            <w:tcW w:w="280" w:type="dxa"/>
            <w:vAlign w:val="bottom"/>
            <w:tcBorders>
              <w:bottom w:val="single" w:sz="8" w:color="auto"/>
            </w:tcBorders>
            <w:shd w:val="clear" w:color="auto" w:fill="D5EEEE"/>
          </w:tcPr>
          <w:p>
            <w:pPr>
              <w:spacing w:after="0"/>
              <w:rPr>
                <w:sz w:val="19"/>
                <w:szCs w:val="19"/>
                <w:color w:val="auto"/>
              </w:rPr>
            </w:pPr>
          </w:p>
        </w:tc>
        <w:tc>
          <w:tcPr>
            <w:tcW w:w="10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rPr>
              <w:t>(4,992)</w:t>
            </w:r>
          </w:p>
        </w:tc>
        <w:tc>
          <w:tcPr>
            <w:tcW w:w="180" w:type="dxa"/>
            <w:vAlign w:val="bottom"/>
            <w:tcBorders>
              <w:bottom w:val="single" w:sz="8" w:color="D5EEEE"/>
            </w:tcBorders>
            <w:shd w:val="clear" w:color="auto" w:fill="D5EEEE"/>
          </w:tcPr>
          <w:p>
            <w:pPr>
              <w:spacing w:after="0"/>
              <w:rPr>
                <w:sz w:val="19"/>
                <w:szCs w:val="19"/>
                <w:color w:val="auto"/>
              </w:rPr>
            </w:pPr>
          </w:p>
        </w:tc>
        <w:tc>
          <w:tcPr>
            <w:tcW w:w="260" w:type="dxa"/>
            <w:vAlign w:val="bottom"/>
            <w:tcBorders>
              <w:bottom w:val="single" w:sz="8" w:color="auto"/>
            </w:tcBorders>
            <w:shd w:val="clear" w:color="auto" w:fill="D5EEEE"/>
          </w:tcPr>
          <w:p>
            <w:pPr>
              <w:spacing w:after="0"/>
              <w:rPr>
                <w:sz w:val="19"/>
                <w:szCs w:val="19"/>
                <w:color w:val="auto"/>
              </w:rPr>
            </w:pPr>
          </w:p>
        </w:tc>
        <w:tc>
          <w:tcPr>
            <w:tcW w:w="1020" w:type="dxa"/>
            <w:vAlign w:val="bottom"/>
            <w:tcBorders>
              <w:bottom w:val="single" w:sz="8" w:color="auto"/>
            </w:tcBorders>
            <w:gridSpan w:val="2"/>
            <w:shd w:val="clear" w:color="auto" w:fill="D5EEEE"/>
          </w:tcPr>
          <w:p>
            <w:pPr>
              <w:jc w:val="right"/>
              <w:ind w:right="20"/>
              <w:spacing w:after="0"/>
              <w:rPr>
                <w:sz w:val="20"/>
                <w:szCs w:val="20"/>
                <w:color w:val="auto"/>
              </w:rPr>
            </w:pPr>
            <w:r>
              <w:rPr>
                <w:rFonts w:ascii="Times New Roman" w:cs="Times New Roman" w:eastAsia="Times New Roman" w:hAnsi="Times New Roman"/>
                <w:sz w:val="17"/>
                <w:szCs w:val="17"/>
                <w:color w:val="auto"/>
              </w:rPr>
              <w:t>(18,378)</w:t>
            </w:r>
          </w:p>
        </w:tc>
        <w:tc>
          <w:tcPr>
            <w:tcW w:w="0" w:type="dxa"/>
            <w:vAlign w:val="bottom"/>
          </w:tcPr>
          <w:p>
            <w:pPr>
              <w:spacing w:after="0"/>
              <w:rPr>
                <w:sz w:val="1"/>
                <w:szCs w:val="1"/>
                <w:color w:val="auto"/>
              </w:rPr>
            </w:pPr>
          </w:p>
        </w:tc>
      </w:tr>
      <w:tr>
        <w:trPr>
          <w:trHeight w:val="183"/>
        </w:trPr>
        <w:tc>
          <w:tcPr>
            <w:tcW w:w="7280" w:type="dxa"/>
            <w:vAlign w:val="bottom"/>
          </w:tcPr>
          <w:p>
            <w:pPr>
              <w:spacing w:after="0" w:line="182" w:lineRule="exact"/>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280" w:type="dxa"/>
            <w:vAlign w:val="bottom"/>
            <w:tcBorders>
              <w:bottom w:val="single" w:sz="8" w:color="D5EEEE"/>
            </w:tcBorders>
            <w:shd w:val="clear" w:color="auto" w:fill="D5EEEE"/>
          </w:tcPr>
          <w:p>
            <w:pPr>
              <w:ind w:left="180"/>
              <w:spacing w:after="0"/>
              <w:rPr>
                <w:sz w:val="20"/>
                <w:szCs w:val="20"/>
                <w:color w:val="auto"/>
              </w:rPr>
            </w:pPr>
            <w:r>
              <w:rPr>
                <w:rFonts w:ascii="Times New Roman" w:cs="Times New Roman" w:eastAsia="Times New Roman" w:hAnsi="Times New Roman"/>
                <w:sz w:val="17"/>
                <w:szCs w:val="17"/>
                <w:color w:val="auto"/>
              </w:rPr>
              <w:t>Purchases of property and equipment</w:t>
            </w:r>
          </w:p>
        </w:tc>
        <w:tc>
          <w:tcPr>
            <w:tcW w:w="140" w:type="dxa"/>
            <w:vAlign w:val="bottom"/>
            <w:tcBorders>
              <w:bottom w:val="single" w:sz="8" w:color="D5EEEE"/>
            </w:tcBorders>
            <w:shd w:val="clear" w:color="auto" w:fill="D5EEEE"/>
          </w:tcPr>
          <w:p>
            <w:pPr>
              <w:spacing w:after="0"/>
              <w:rPr>
                <w:sz w:val="18"/>
                <w:szCs w:val="18"/>
                <w:color w:val="auto"/>
              </w:rPr>
            </w:pPr>
          </w:p>
        </w:tc>
        <w:tc>
          <w:tcPr>
            <w:tcW w:w="280" w:type="dxa"/>
            <w:vAlign w:val="bottom"/>
            <w:tcBorders>
              <w:bottom w:val="single" w:sz="8" w:color="auto"/>
            </w:tcBorders>
            <w:shd w:val="clear" w:color="auto" w:fill="D5EEEE"/>
          </w:tcPr>
          <w:p>
            <w:pPr>
              <w:spacing w:after="0"/>
              <w:rPr>
                <w:sz w:val="18"/>
                <w:szCs w:val="18"/>
                <w:color w:val="auto"/>
              </w:rPr>
            </w:pPr>
          </w:p>
        </w:tc>
        <w:tc>
          <w:tcPr>
            <w:tcW w:w="10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rPr>
              <w:t>(518)</w:t>
            </w:r>
          </w:p>
        </w:tc>
        <w:tc>
          <w:tcPr>
            <w:tcW w:w="180" w:type="dxa"/>
            <w:vAlign w:val="bottom"/>
            <w:tcBorders>
              <w:bottom w:val="single" w:sz="8" w:color="D5EEEE"/>
            </w:tcBorders>
            <w:shd w:val="clear" w:color="auto" w:fill="D5EEEE"/>
          </w:tcPr>
          <w:p>
            <w:pPr>
              <w:spacing w:after="0"/>
              <w:rPr>
                <w:sz w:val="18"/>
                <w:szCs w:val="18"/>
                <w:color w:val="auto"/>
              </w:rPr>
            </w:pPr>
          </w:p>
        </w:tc>
        <w:tc>
          <w:tcPr>
            <w:tcW w:w="260" w:type="dxa"/>
            <w:vAlign w:val="bottom"/>
            <w:tcBorders>
              <w:bottom w:val="single" w:sz="8" w:color="auto"/>
            </w:tcBorders>
            <w:shd w:val="clear" w:color="auto" w:fill="D5EEEE"/>
          </w:tcPr>
          <w:p>
            <w:pPr>
              <w:spacing w:after="0"/>
              <w:rPr>
                <w:sz w:val="18"/>
                <w:szCs w:val="18"/>
                <w:color w:val="auto"/>
              </w:rPr>
            </w:pPr>
          </w:p>
        </w:tc>
        <w:tc>
          <w:tcPr>
            <w:tcW w:w="1020" w:type="dxa"/>
            <w:vAlign w:val="bottom"/>
            <w:tcBorders>
              <w:bottom w:val="single" w:sz="8" w:color="auto"/>
            </w:tcBorders>
            <w:gridSpan w:val="2"/>
            <w:shd w:val="clear" w:color="auto" w:fill="D5EEEE"/>
          </w:tcPr>
          <w:p>
            <w:pPr>
              <w:jc w:val="right"/>
              <w:ind w:right="20"/>
              <w:spacing w:after="0"/>
              <w:rPr>
                <w:sz w:val="20"/>
                <w:szCs w:val="20"/>
                <w:color w:val="auto"/>
              </w:rPr>
            </w:pPr>
            <w:r>
              <w:rPr>
                <w:rFonts w:ascii="Times New Roman" w:cs="Times New Roman" w:eastAsia="Times New Roman" w:hAnsi="Times New Roman"/>
                <w:sz w:val="17"/>
                <w:szCs w:val="17"/>
                <w:color w:val="auto"/>
              </w:rPr>
              <w:t>(36)</w:t>
            </w:r>
          </w:p>
        </w:tc>
        <w:tc>
          <w:tcPr>
            <w:tcW w:w="0" w:type="dxa"/>
            <w:vAlign w:val="bottom"/>
          </w:tcPr>
          <w:p>
            <w:pPr>
              <w:spacing w:after="0"/>
              <w:rPr>
                <w:sz w:val="1"/>
                <w:szCs w:val="1"/>
                <w:color w:val="auto"/>
              </w:rPr>
            </w:pPr>
          </w:p>
        </w:tc>
      </w:tr>
      <w:tr>
        <w:trPr>
          <w:trHeight w:val="203"/>
        </w:trPr>
        <w:tc>
          <w:tcPr>
            <w:tcW w:w="7280" w:type="dxa"/>
            <w:vAlign w:val="bottom"/>
            <w:tcBorders>
              <w:bottom w:val="single" w:sz="8" w:color="D5EEEE"/>
            </w:tcBorders>
          </w:tcPr>
          <w:p>
            <w:pPr>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40" w:type="dxa"/>
            <w:vAlign w:val="bottom"/>
            <w:tcBorders>
              <w:bottom w:val="single" w:sz="8" w:color="D5EEEE"/>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(518)</w:t>
            </w:r>
          </w:p>
        </w:tc>
        <w:tc>
          <w:tcPr>
            <w:tcW w:w="180" w:type="dxa"/>
            <w:vAlign w:val="bottom"/>
            <w:tcBorders>
              <w:bottom w:val="single" w:sz="8" w:color="D5EEEE"/>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(36)</w:t>
            </w:r>
          </w:p>
        </w:tc>
        <w:tc>
          <w:tcPr>
            <w:tcW w:w="0" w:type="dxa"/>
            <w:vAlign w:val="bottom"/>
          </w:tcPr>
          <w:p>
            <w:pPr>
              <w:spacing w:after="0"/>
              <w:rPr>
                <w:sz w:val="1"/>
                <w:szCs w:val="1"/>
                <w:color w:val="auto"/>
              </w:rPr>
            </w:pPr>
          </w:p>
        </w:tc>
      </w:tr>
      <w:tr>
        <w:trPr>
          <w:trHeight w:val="203"/>
        </w:trPr>
        <w:tc>
          <w:tcPr>
            <w:tcW w:w="7280" w:type="dxa"/>
            <w:vAlign w:val="bottom"/>
            <w:shd w:val="clear" w:color="auto" w:fill="D5EEEE"/>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140" w:type="dxa"/>
            <w:vAlign w:val="bottom"/>
            <w:shd w:val="clear" w:color="auto" w:fill="D5EEEE"/>
          </w:tcPr>
          <w:p>
            <w:pPr>
              <w:spacing w:after="0"/>
              <w:rPr>
                <w:sz w:val="17"/>
                <w:szCs w:val="17"/>
                <w:color w:val="auto"/>
              </w:rPr>
            </w:pPr>
          </w:p>
        </w:tc>
        <w:tc>
          <w:tcPr>
            <w:tcW w:w="280" w:type="dxa"/>
            <w:vAlign w:val="bottom"/>
            <w:shd w:val="clear" w:color="auto" w:fill="D5EEEE"/>
          </w:tcPr>
          <w:p>
            <w:pPr>
              <w:spacing w:after="0"/>
              <w:rPr>
                <w:sz w:val="17"/>
                <w:szCs w:val="17"/>
                <w:color w:val="auto"/>
              </w:rPr>
            </w:pPr>
          </w:p>
        </w:tc>
        <w:tc>
          <w:tcPr>
            <w:tcW w:w="1040" w:type="dxa"/>
            <w:vAlign w:val="bottom"/>
            <w:shd w:val="clear" w:color="auto" w:fill="D5EEEE"/>
          </w:tcPr>
          <w:p>
            <w:pPr>
              <w:spacing w:after="0"/>
              <w:rPr>
                <w:sz w:val="17"/>
                <w:szCs w:val="17"/>
                <w:color w:val="auto"/>
              </w:rPr>
            </w:pPr>
          </w:p>
        </w:tc>
        <w:tc>
          <w:tcPr>
            <w:tcW w:w="180" w:type="dxa"/>
            <w:vAlign w:val="bottom"/>
            <w:shd w:val="clear" w:color="auto" w:fill="D5EEEE"/>
          </w:tcPr>
          <w:p>
            <w:pPr>
              <w:spacing w:after="0"/>
              <w:rPr>
                <w:sz w:val="17"/>
                <w:szCs w:val="17"/>
                <w:color w:val="auto"/>
              </w:rPr>
            </w:pPr>
          </w:p>
        </w:tc>
        <w:tc>
          <w:tcPr>
            <w:tcW w:w="260" w:type="dxa"/>
            <w:vAlign w:val="bottom"/>
            <w:shd w:val="clear" w:color="auto" w:fill="D5EEEE"/>
          </w:tcPr>
          <w:p>
            <w:pPr>
              <w:spacing w:after="0"/>
              <w:rPr>
                <w:sz w:val="17"/>
                <w:szCs w:val="17"/>
                <w:color w:val="auto"/>
              </w:rPr>
            </w:pPr>
          </w:p>
        </w:tc>
        <w:tc>
          <w:tcPr>
            <w:tcW w:w="940" w:type="dxa"/>
            <w:vAlign w:val="bottom"/>
            <w:shd w:val="clear" w:color="auto" w:fill="D5EEEE"/>
          </w:tcPr>
          <w:p>
            <w:pPr>
              <w:spacing w:after="0"/>
              <w:rPr>
                <w:sz w:val="17"/>
                <w:szCs w:val="17"/>
                <w:color w:val="auto"/>
              </w:rPr>
            </w:pPr>
          </w:p>
        </w:tc>
        <w:tc>
          <w:tcPr>
            <w:tcW w:w="80" w:type="dxa"/>
            <w:vAlign w:val="bottom"/>
            <w:shd w:val="clear" w:color="auto" w:fill="D5EEE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2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Proceeds from issuance of prefunded warrants and common stock warrants in connection with a</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2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follow-on offering, net of issuance costs</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47,033</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8"/>
        </w:trPr>
        <w:tc>
          <w:tcPr>
            <w:tcW w:w="7280" w:type="dxa"/>
            <w:vAlign w:val="bottom"/>
            <w:shd w:val="clear" w:color="auto" w:fill="D5EEEE"/>
          </w:tcPr>
          <w:p>
            <w:pPr>
              <w:ind w:left="180"/>
              <w:spacing w:after="0"/>
              <w:rPr>
                <w:sz w:val="20"/>
                <w:szCs w:val="20"/>
                <w:color w:val="auto"/>
              </w:rPr>
            </w:pPr>
            <w:r>
              <w:rPr>
                <w:rFonts w:ascii="Times New Roman" w:cs="Times New Roman" w:eastAsia="Times New Roman" w:hAnsi="Times New Roman"/>
                <w:sz w:val="17"/>
                <w:szCs w:val="17"/>
                <w:color w:val="auto"/>
              </w:rPr>
              <w:t>Proceeds from issuance of common stock, prefunded warrants and liabilities to issue common stock in</w:t>
            </w:r>
          </w:p>
        </w:tc>
        <w:tc>
          <w:tcPr>
            <w:tcW w:w="140" w:type="dxa"/>
            <w:vAlign w:val="bottom"/>
            <w:shd w:val="clear" w:color="auto" w:fill="D5EEEE"/>
          </w:tcPr>
          <w:p>
            <w:pPr>
              <w:spacing w:after="0"/>
              <w:rPr>
                <w:sz w:val="18"/>
                <w:szCs w:val="18"/>
                <w:color w:val="auto"/>
              </w:rPr>
            </w:pPr>
          </w:p>
        </w:tc>
        <w:tc>
          <w:tcPr>
            <w:tcW w:w="280" w:type="dxa"/>
            <w:vAlign w:val="bottom"/>
            <w:shd w:val="clear" w:color="auto" w:fill="D5EEEE"/>
          </w:tcPr>
          <w:p>
            <w:pPr>
              <w:spacing w:after="0"/>
              <w:rPr>
                <w:sz w:val="18"/>
                <w:szCs w:val="18"/>
                <w:color w:val="auto"/>
              </w:rPr>
            </w:pPr>
          </w:p>
        </w:tc>
        <w:tc>
          <w:tcPr>
            <w:tcW w:w="1040" w:type="dxa"/>
            <w:vAlign w:val="bottom"/>
            <w:shd w:val="clear" w:color="auto" w:fill="D5EEEE"/>
          </w:tcPr>
          <w:p>
            <w:pPr>
              <w:spacing w:after="0"/>
              <w:rPr>
                <w:sz w:val="18"/>
                <w:szCs w:val="18"/>
                <w:color w:val="auto"/>
              </w:rPr>
            </w:pPr>
          </w:p>
        </w:tc>
        <w:tc>
          <w:tcPr>
            <w:tcW w:w="180" w:type="dxa"/>
            <w:vAlign w:val="bottom"/>
            <w:shd w:val="clear" w:color="auto" w:fill="D5EEEE"/>
          </w:tcPr>
          <w:p>
            <w:pPr>
              <w:spacing w:after="0"/>
              <w:rPr>
                <w:sz w:val="18"/>
                <w:szCs w:val="18"/>
                <w:color w:val="auto"/>
              </w:rPr>
            </w:pPr>
          </w:p>
        </w:tc>
        <w:tc>
          <w:tcPr>
            <w:tcW w:w="260" w:type="dxa"/>
            <w:vAlign w:val="bottom"/>
            <w:shd w:val="clear" w:color="auto" w:fill="D5EEEE"/>
          </w:tcPr>
          <w:p>
            <w:pPr>
              <w:spacing w:after="0"/>
              <w:rPr>
                <w:sz w:val="18"/>
                <w:szCs w:val="18"/>
                <w:color w:val="auto"/>
              </w:rPr>
            </w:pPr>
          </w:p>
        </w:tc>
        <w:tc>
          <w:tcPr>
            <w:tcW w:w="940" w:type="dxa"/>
            <w:vAlign w:val="bottom"/>
            <w:shd w:val="clear" w:color="auto" w:fill="D5EEEE"/>
          </w:tcPr>
          <w:p>
            <w:pPr>
              <w:spacing w:after="0"/>
              <w:rPr>
                <w:sz w:val="18"/>
                <w:szCs w:val="18"/>
                <w:color w:val="auto"/>
              </w:rPr>
            </w:pPr>
          </w:p>
        </w:tc>
        <w:tc>
          <w:tcPr>
            <w:tcW w:w="80" w:type="dxa"/>
            <w:vAlign w:val="bottom"/>
            <w:shd w:val="clear" w:color="auto" w:fill="D5EEE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280" w:type="dxa"/>
            <w:vAlign w:val="bottom"/>
            <w:shd w:val="clear" w:color="auto" w:fill="D5EEEE"/>
          </w:tcPr>
          <w:p>
            <w:pPr>
              <w:ind w:left="180"/>
              <w:spacing w:after="0"/>
              <w:rPr>
                <w:sz w:val="20"/>
                <w:szCs w:val="20"/>
                <w:color w:val="auto"/>
              </w:rPr>
            </w:pPr>
            <w:r>
              <w:rPr>
                <w:rFonts w:ascii="Times New Roman" w:cs="Times New Roman" w:eastAsia="Times New Roman" w:hAnsi="Times New Roman"/>
                <w:sz w:val="17"/>
                <w:szCs w:val="17"/>
                <w:color w:val="auto"/>
              </w:rPr>
              <w:t>connection with the exercise of Series B warrants, net of issuance costs</w:t>
            </w:r>
          </w:p>
        </w:tc>
        <w:tc>
          <w:tcPr>
            <w:tcW w:w="140" w:type="dxa"/>
            <w:vAlign w:val="bottom"/>
            <w:shd w:val="clear" w:color="auto" w:fill="D5EEEE"/>
          </w:tcPr>
          <w:p>
            <w:pPr>
              <w:spacing w:after="0"/>
              <w:rPr>
                <w:sz w:val="17"/>
                <w:szCs w:val="17"/>
                <w:color w:val="auto"/>
              </w:rPr>
            </w:pPr>
          </w:p>
        </w:tc>
        <w:tc>
          <w:tcPr>
            <w:tcW w:w="280" w:type="dxa"/>
            <w:vAlign w:val="bottom"/>
            <w:shd w:val="clear" w:color="auto" w:fill="D5EEEE"/>
          </w:tcPr>
          <w:p>
            <w:pPr>
              <w:spacing w:after="0"/>
              <w:rPr>
                <w:sz w:val="17"/>
                <w:szCs w:val="17"/>
                <w:color w:val="auto"/>
              </w:rPr>
            </w:pPr>
          </w:p>
        </w:tc>
        <w:tc>
          <w:tcPr>
            <w:tcW w:w="1040" w:type="dxa"/>
            <w:vAlign w:val="bottom"/>
            <w:shd w:val="clear" w:color="auto" w:fill="D5EEEE"/>
          </w:tcPr>
          <w:p>
            <w:pPr>
              <w:jc w:val="right"/>
              <w:ind w:right="36"/>
              <w:spacing w:after="0"/>
              <w:rPr>
                <w:sz w:val="20"/>
                <w:szCs w:val="20"/>
                <w:color w:val="auto"/>
              </w:rPr>
            </w:pPr>
            <w:r>
              <w:rPr>
                <w:rFonts w:ascii="Times New Roman" w:cs="Times New Roman" w:eastAsia="Times New Roman" w:hAnsi="Times New Roman"/>
                <w:sz w:val="17"/>
                <w:szCs w:val="17"/>
                <w:color w:val="auto"/>
              </w:rPr>
              <w:t>35,828</w:t>
            </w:r>
          </w:p>
        </w:tc>
        <w:tc>
          <w:tcPr>
            <w:tcW w:w="180" w:type="dxa"/>
            <w:vAlign w:val="bottom"/>
            <w:shd w:val="clear" w:color="auto" w:fill="D5EEEE"/>
          </w:tcPr>
          <w:p>
            <w:pPr>
              <w:spacing w:after="0"/>
              <w:rPr>
                <w:sz w:val="17"/>
                <w:szCs w:val="17"/>
                <w:color w:val="auto"/>
              </w:rPr>
            </w:pPr>
          </w:p>
        </w:tc>
        <w:tc>
          <w:tcPr>
            <w:tcW w:w="260" w:type="dxa"/>
            <w:vAlign w:val="bottom"/>
            <w:shd w:val="clear" w:color="auto" w:fill="D5EEEE"/>
          </w:tcPr>
          <w:p>
            <w:pPr>
              <w:spacing w:after="0"/>
              <w:rPr>
                <w:sz w:val="17"/>
                <w:szCs w:val="17"/>
                <w:color w:val="auto"/>
              </w:rPr>
            </w:pPr>
          </w:p>
        </w:tc>
        <w:tc>
          <w:tcPr>
            <w:tcW w:w="1020" w:type="dxa"/>
            <w:vAlign w:val="bottom"/>
            <w:gridSpan w:val="2"/>
            <w:shd w:val="clear" w:color="auto" w:fill="D5EEEE"/>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8"/>
        </w:trPr>
        <w:tc>
          <w:tcPr>
            <w:tcW w:w="72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Proceeds from issuance of common stock in connection with the exercise of prefunded warrants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8"/>
        </w:trPr>
        <w:tc>
          <w:tcPr>
            <w:tcW w:w="7280" w:type="dxa"/>
            <w:vAlign w:val="bottom"/>
            <w:shd w:val="clear" w:color="auto" w:fill="D5EEEE"/>
          </w:tcPr>
          <w:p>
            <w:pPr>
              <w:ind w:left="180"/>
              <w:spacing w:after="0"/>
              <w:rPr>
                <w:sz w:val="20"/>
                <w:szCs w:val="20"/>
                <w:color w:val="auto"/>
              </w:rPr>
            </w:pPr>
            <w:r>
              <w:rPr>
                <w:rFonts w:ascii="Times New Roman" w:cs="Times New Roman" w:eastAsia="Times New Roman" w:hAnsi="Times New Roman"/>
                <w:sz w:val="17"/>
                <w:szCs w:val="17"/>
                <w:color w:val="auto"/>
              </w:rPr>
              <w:t>Proceeds from issuance of common stock in connection with the AbbVie stock purchase agreement,</w:t>
            </w:r>
          </w:p>
        </w:tc>
        <w:tc>
          <w:tcPr>
            <w:tcW w:w="140" w:type="dxa"/>
            <w:vAlign w:val="bottom"/>
            <w:shd w:val="clear" w:color="auto" w:fill="D5EEEE"/>
          </w:tcPr>
          <w:p>
            <w:pPr>
              <w:spacing w:after="0"/>
              <w:rPr>
                <w:sz w:val="18"/>
                <w:szCs w:val="18"/>
                <w:color w:val="auto"/>
              </w:rPr>
            </w:pPr>
          </w:p>
        </w:tc>
        <w:tc>
          <w:tcPr>
            <w:tcW w:w="280" w:type="dxa"/>
            <w:vAlign w:val="bottom"/>
            <w:shd w:val="clear" w:color="auto" w:fill="D5EEEE"/>
          </w:tcPr>
          <w:p>
            <w:pPr>
              <w:spacing w:after="0"/>
              <w:rPr>
                <w:sz w:val="18"/>
                <w:szCs w:val="18"/>
                <w:color w:val="auto"/>
              </w:rPr>
            </w:pPr>
          </w:p>
        </w:tc>
        <w:tc>
          <w:tcPr>
            <w:tcW w:w="1040" w:type="dxa"/>
            <w:vAlign w:val="bottom"/>
            <w:shd w:val="clear" w:color="auto" w:fill="D5EEEE"/>
          </w:tcPr>
          <w:p>
            <w:pPr>
              <w:spacing w:after="0"/>
              <w:rPr>
                <w:sz w:val="18"/>
                <w:szCs w:val="18"/>
                <w:color w:val="auto"/>
              </w:rPr>
            </w:pPr>
          </w:p>
        </w:tc>
        <w:tc>
          <w:tcPr>
            <w:tcW w:w="180" w:type="dxa"/>
            <w:vAlign w:val="bottom"/>
            <w:shd w:val="clear" w:color="auto" w:fill="D5EEEE"/>
          </w:tcPr>
          <w:p>
            <w:pPr>
              <w:spacing w:after="0"/>
              <w:rPr>
                <w:sz w:val="18"/>
                <w:szCs w:val="18"/>
                <w:color w:val="auto"/>
              </w:rPr>
            </w:pPr>
          </w:p>
        </w:tc>
        <w:tc>
          <w:tcPr>
            <w:tcW w:w="260" w:type="dxa"/>
            <w:vAlign w:val="bottom"/>
            <w:shd w:val="clear" w:color="auto" w:fill="D5EEEE"/>
          </w:tcPr>
          <w:p>
            <w:pPr>
              <w:spacing w:after="0"/>
              <w:rPr>
                <w:sz w:val="18"/>
                <w:szCs w:val="18"/>
                <w:color w:val="auto"/>
              </w:rPr>
            </w:pPr>
          </w:p>
        </w:tc>
        <w:tc>
          <w:tcPr>
            <w:tcW w:w="940" w:type="dxa"/>
            <w:vAlign w:val="bottom"/>
            <w:shd w:val="clear" w:color="auto" w:fill="D5EEEE"/>
          </w:tcPr>
          <w:p>
            <w:pPr>
              <w:spacing w:after="0"/>
              <w:rPr>
                <w:sz w:val="18"/>
                <w:szCs w:val="18"/>
                <w:color w:val="auto"/>
              </w:rPr>
            </w:pPr>
          </w:p>
        </w:tc>
        <w:tc>
          <w:tcPr>
            <w:tcW w:w="80" w:type="dxa"/>
            <w:vAlign w:val="bottom"/>
            <w:shd w:val="clear" w:color="auto" w:fill="D5EEE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280" w:type="dxa"/>
            <w:vAlign w:val="bottom"/>
            <w:shd w:val="clear" w:color="auto" w:fill="D5EEEE"/>
          </w:tcPr>
          <w:p>
            <w:pPr>
              <w:ind w:left="180"/>
              <w:spacing w:after="0"/>
              <w:rPr>
                <w:sz w:val="20"/>
                <w:szCs w:val="20"/>
                <w:color w:val="auto"/>
              </w:rPr>
            </w:pPr>
            <w:r>
              <w:rPr>
                <w:rFonts w:ascii="Times New Roman" w:cs="Times New Roman" w:eastAsia="Times New Roman" w:hAnsi="Times New Roman"/>
                <w:sz w:val="17"/>
                <w:szCs w:val="17"/>
                <w:color w:val="auto"/>
              </w:rPr>
              <w:t>net of issuance costs</w:t>
            </w:r>
          </w:p>
        </w:tc>
        <w:tc>
          <w:tcPr>
            <w:tcW w:w="140" w:type="dxa"/>
            <w:vAlign w:val="bottom"/>
            <w:shd w:val="clear" w:color="auto" w:fill="D5EEEE"/>
          </w:tcPr>
          <w:p>
            <w:pPr>
              <w:spacing w:after="0"/>
              <w:rPr>
                <w:sz w:val="17"/>
                <w:szCs w:val="17"/>
                <w:color w:val="auto"/>
              </w:rPr>
            </w:pPr>
          </w:p>
        </w:tc>
        <w:tc>
          <w:tcPr>
            <w:tcW w:w="280" w:type="dxa"/>
            <w:vAlign w:val="bottom"/>
            <w:shd w:val="clear" w:color="auto" w:fill="D5EEEE"/>
          </w:tcPr>
          <w:p>
            <w:pPr>
              <w:spacing w:after="0"/>
              <w:rPr>
                <w:sz w:val="17"/>
                <w:szCs w:val="17"/>
                <w:color w:val="auto"/>
              </w:rPr>
            </w:pPr>
          </w:p>
        </w:tc>
        <w:tc>
          <w:tcPr>
            <w:tcW w:w="1040" w:type="dxa"/>
            <w:vAlign w:val="bottom"/>
            <w:shd w:val="clear" w:color="auto" w:fill="D5EEEE"/>
          </w:tcPr>
          <w:p>
            <w:pPr>
              <w:jc w:val="right"/>
              <w:ind w:right="36"/>
              <w:spacing w:after="0"/>
              <w:rPr>
                <w:sz w:val="20"/>
                <w:szCs w:val="20"/>
                <w:color w:val="auto"/>
              </w:rPr>
            </w:pPr>
            <w:r>
              <w:rPr>
                <w:rFonts w:ascii="Times New Roman" w:cs="Times New Roman" w:eastAsia="Times New Roman" w:hAnsi="Times New Roman"/>
                <w:sz w:val="17"/>
                <w:szCs w:val="17"/>
                <w:color w:val="auto"/>
              </w:rPr>
              <w:t>2,810</w:t>
            </w:r>
          </w:p>
        </w:tc>
        <w:tc>
          <w:tcPr>
            <w:tcW w:w="180" w:type="dxa"/>
            <w:vAlign w:val="bottom"/>
            <w:shd w:val="clear" w:color="auto" w:fill="D5EEEE"/>
          </w:tcPr>
          <w:p>
            <w:pPr>
              <w:spacing w:after="0"/>
              <w:rPr>
                <w:sz w:val="17"/>
                <w:szCs w:val="17"/>
                <w:color w:val="auto"/>
              </w:rPr>
            </w:pPr>
          </w:p>
        </w:tc>
        <w:tc>
          <w:tcPr>
            <w:tcW w:w="260" w:type="dxa"/>
            <w:vAlign w:val="bottom"/>
            <w:shd w:val="clear" w:color="auto" w:fill="D5EEEE"/>
          </w:tcPr>
          <w:p>
            <w:pPr>
              <w:spacing w:after="0"/>
              <w:rPr>
                <w:sz w:val="17"/>
                <w:szCs w:val="17"/>
                <w:color w:val="auto"/>
              </w:rPr>
            </w:pPr>
          </w:p>
        </w:tc>
        <w:tc>
          <w:tcPr>
            <w:tcW w:w="1020" w:type="dxa"/>
            <w:vAlign w:val="bottom"/>
            <w:gridSpan w:val="2"/>
            <w:shd w:val="clear" w:color="auto" w:fill="D5EEEE"/>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8"/>
        </w:trPr>
        <w:tc>
          <w:tcPr>
            <w:tcW w:w="72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Proceeds from issuance of common stock in connection with at-the-market offerings, net of issuance</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2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costs</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2,017</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6,825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280" w:type="dxa"/>
            <w:vAlign w:val="bottom"/>
            <w:shd w:val="clear" w:color="auto" w:fill="D5EEEE"/>
          </w:tcPr>
          <w:p>
            <w:pPr>
              <w:ind w:left="180"/>
              <w:spacing w:after="0"/>
              <w:rPr>
                <w:sz w:val="20"/>
                <w:szCs w:val="20"/>
                <w:color w:val="auto"/>
              </w:rPr>
            </w:pPr>
            <w:r>
              <w:rPr>
                <w:rFonts w:ascii="Times New Roman" w:cs="Times New Roman" w:eastAsia="Times New Roman" w:hAnsi="Times New Roman"/>
                <w:sz w:val="17"/>
                <w:szCs w:val="17"/>
                <w:color w:val="auto"/>
              </w:rPr>
              <w:t>Proceeds from issuance of common stock under employee stock purchase plan</w:t>
            </w:r>
          </w:p>
        </w:tc>
        <w:tc>
          <w:tcPr>
            <w:tcW w:w="140" w:type="dxa"/>
            <w:vAlign w:val="bottom"/>
            <w:shd w:val="clear" w:color="auto" w:fill="D5EEEE"/>
          </w:tcPr>
          <w:p>
            <w:pPr>
              <w:spacing w:after="0"/>
              <w:rPr>
                <w:sz w:val="18"/>
                <w:szCs w:val="18"/>
                <w:color w:val="auto"/>
              </w:rPr>
            </w:pPr>
          </w:p>
        </w:tc>
        <w:tc>
          <w:tcPr>
            <w:tcW w:w="280" w:type="dxa"/>
            <w:vAlign w:val="bottom"/>
            <w:shd w:val="clear" w:color="auto" w:fill="D5EEEE"/>
          </w:tcPr>
          <w:p>
            <w:pPr>
              <w:spacing w:after="0"/>
              <w:rPr>
                <w:sz w:val="18"/>
                <w:szCs w:val="18"/>
                <w:color w:val="auto"/>
              </w:rPr>
            </w:pPr>
          </w:p>
        </w:tc>
        <w:tc>
          <w:tcPr>
            <w:tcW w:w="1040" w:type="dxa"/>
            <w:vAlign w:val="bottom"/>
            <w:shd w:val="clear" w:color="auto" w:fill="D5EEEE"/>
          </w:tcPr>
          <w:p>
            <w:pPr>
              <w:jc w:val="right"/>
              <w:ind w:right="36"/>
              <w:spacing w:after="0"/>
              <w:rPr>
                <w:sz w:val="20"/>
                <w:szCs w:val="20"/>
                <w:color w:val="auto"/>
              </w:rPr>
            </w:pPr>
            <w:r>
              <w:rPr>
                <w:rFonts w:ascii="Times New Roman" w:cs="Times New Roman" w:eastAsia="Times New Roman" w:hAnsi="Times New Roman"/>
                <w:sz w:val="17"/>
                <w:szCs w:val="17"/>
                <w:color w:val="auto"/>
              </w:rPr>
              <w:t>76</w:t>
            </w:r>
          </w:p>
        </w:tc>
        <w:tc>
          <w:tcPr>
            <w:tcW w:w="180" w:type="dxa"/>
            <w:vAlign w:val="bottom"/>
            <w:shd w:val="clear" w:color="auto" w:fill="D5EEEE"/>
          </w:tcPr>
          <w:p>
            <w:pPr>
              <w:spacing w:after="0"/>
              <w:rPr>
                <w:sz w:val="18"/>
                <w:szCs w:val="18"/>
                <w:color w:val="auto"/>
              </w:rPr>
            </w:pPr>
          </w:p>
        </w:tc>
        <w:tc>
          <w:tcPr>
            <w:tcW w:w="260" w:type="dxa"/>
            <w:vAlign w:val="bottom"/>
            <w:shd w:val="clear" w:color="auto" w:fill="D5EEEE"/>
          </w:tcPr>
          <w:p>
            <w:pPr>
              <w:spacing w:after="0"/>
              <w:rPr>
                <w:sz w:val="18"/>
                <w:szCs w:val="18"/>
                <w:color w:val="auto"/>
              </w:rPr>
            </w:pPr>
          </w:p>
        </w:tc>
        <w:tc>
          <w:tcPr>
            <w:tcW w:w="9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80" w:type="dxa"/>
            <w:vAlign w:val="bottom"/>
            <w:shd w:val="clear" w:color="auto" w:fill="D5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2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Proceeds from exercise of stock options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10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280" w:type="dxa"/>
            <w:vAlign w:val="bottom"/>
            <w:shd w:val="clear" w:color="auto" w:fill="D5EEEE"/>
          </w:tcPr>
          <w:p>
            <w:pPr>
              <w:ind w:left="180"/>
              <w:spacing w:after="0"/>
              <w:rPr>
                <w:sz w:val="20"/>
                <w:szCs w:val="20"/>
                <w:color w:val="auto"/>
              </w:rPr>
            </w:pPr>
            <w:r>
              <w:rPr>
                <w:rFonts w:ascii="Times New Roman" w:cs="Times New Roman" w:eastAsia="Times New Roman" w:hAnsi="Times New Roman"/>
                <w:sz w:val="17"/>
                <w:szCs w:val="17"/>
                <w:color w:val="auto"/>
              </w:rPr>
              <w:t>Proceeds from issuance of common stock and prefunded warrants to Gilead and certain accredited</w:t>
            </w:r>
          </w:p>
        </w:tc>
        <w:tc>
          <w:tcPr>
            <w:tcW w:w="140" w:type="dxa"/>
            <w:vAlign w:val="bottom"/>
            <w:shd w:val="clear" w:color="auto" w:fill="D5EEEE"/>
          </w:tcPr>
          <w:p>
            <w:pPr>
              <w:spacing w:after="0"/>
              <w:rPr>
                <w:sz w:val="18"/>
                <w:szCs w:val="18"/>
                <w:color w:val="auto"/>
              </w:rPr>
            </w:pPr>
          </w:p>
        </w:tc>
        <w:tc>
          <w:tcPr>
            <w:tcW w:w="280" w:type="dxa"/>
            <w:vAlign w:val="bottom"/>
            <w:shd w:val="clear" w:color="auto" w:fill="D5EEEE"/>
          </w:tcPr>
          <w:p>
            <w:pPr>
              <w:spacing w:after="0"/>
              <w:rPr>
                <w:sz w:val="18"/>
                <w:szCs w:val="18"/>
                <w:color w:val="auto"/>
              </w:rPr>
            </w:pPr>
          </w:p>
        </w:tc>
        <w:tc>
          <w:tcPr>
            <w:tcW w:w="1040" w:type="dxa"/>
            <w:vAlign w:val="bottom"/>
            <w:shd w:val="clear" w:color="auto" w:fill="D5EEEE"/>
          </w:tcPr>
          <w:p>
            <w:pPr>
              <w:spacing w:after="0"/>
              <w:rPr>
                <w:sz w:val="18"/>
                <w:szCs w:val="18"/>
                <w:color w:val="auto"/>
              </w:rPr>
            </w:pPr>
          </w:p>
        </w:tc>
        <w:tc>
          <w:tcPr>
            <w:tcW w:w="180" w:type="dxa"/>
            <w:vAlign w:val="bottom"/>
            <w:shd w:val="clear" w:color="auto" w:fill="D5EEEE"/>
          </w:tcPr>
          <w:p>
            <w:pPr>
              <w:spacing w:after="0"/>
              <w:rPr>
                <w:sz w:val="18"/>
                <w:szCs w:val="18"/>
                <w:color w:val="auto"/>
              </w:rPr>
            </w:pPr>
          </w:p>
        </w:tc>
        <w:tc>
          <w:tcPr>
            <w:tcW w:w="260" w:type="dxa"/>
            <w:vAlign w:val="bottom"/>
            <w:shd w:val="clear" w:color="auto" w:fill="D5EEEE"/>
          </w:tcPr>
          <w:p>
            <w:pPr>
              <w:spacing w:after="0"/>
              <w:rPr>
                <w:sz w:val="18"/>
                <w:szCs w:val="18"/>
                <w:color w:val="auto"/>
              </w:rPr>
            </w:pPr>
          </w:p>
        </w:tc>
        <w:tc>
          <w:tcPr>
            <w:tcW w:w="940" w:type="dxa"/>
            <w:vAlign w:val="bottom"/>
            <w:shd w:val="clear" w:color="auto" w:fill="D5EEEE"/>
          </w:tcPr>
          <w:p>
            <w:pPr>
              <w:spacing w:after="0"/>
              <w:rPr>
                <w:sz w:val="18"/>
                <w:szCs w:val="18"/>
                <w:color w:val="auto"/>
              </w:rPr>
            </w:pPr>
          </w:p>
        </w:tc>
        <w:tc>
          <w:tcPr>
            <w:tcW w:w="80" w:type="dxa"/>
            <w:vAlign w:val="bottom"/>
            <w:shd w:val="clear" w:color="auto" w:fill="D5EEE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280" w:type="dxa"/>
            <w:vAlign w:val="bottom"/>
            <w:shd w:val="clear" w:color="auto" w:fill="D5EEEE"/>
          </w:tcPr>
          <w:p>
            <w:pPr>
              <w:ind w:left="180"/>
              <w:spacing w:after="0"/>
              <w:rPr>
                <w:sz w:val="20"/>
                <w:szCs w:val="20"/>
                <w:color w:val="auto"/>
              </w:rPr>
            </w:pPr>
            <w:r>
              <w:rPr>
                <w:rFonts w:ascii="Times New Roman" w:cs="Times New Roman" w:eastAsia="Times New Roman" w:hAnsi="Times New Roman"/>
                <w:sz w:val="17"/>
                <w:szCs w:val="17"/>
                <w:color w:val="auto"/>
              </w:rPr>
              <w:t>investors in private placements, net of issuance costs</w:t>
            </w:r>
          </w:p>
        </w:tc>
        <w:tc>
          <w:tcPr>
            <w:tcW w:w="140" w:type="dxa"/>
            <w:vAlign w:val="bottom"/>
            <w:shd w:val="clear" w:color="auto" w:fill="D5EEEE"/>
          </w:tcPr>
          <w:p>
            <w:pPr>
              <w:spacing w:after="0"/>
              <w:rPr>
                <w:sz w:val="17"/>
                <w:szCs w:val="17"/>
                <w:color w:val="auto"/>
              </w:rPr>
            </w:pPr>
          </w:p>
        </w:tc>
        <w:tc>
          <w:tcPr>
            <w:tcW w:w="280" w:type="dxa"/>
            <w:vAlign w:val="bottom"/>
            <w:shd w:val="clear" w:color="auto" w:fill="D5EEEE"/>
          </w:tcPr>
          <w:p>
            <w:pPr>
              <w:spacing w:after="0"/>
              <w:rPr>
                <w:sz w:val="17"/>
                <w:szCs w:val="17"/>
                <w:color w:val="auto"/>
              </w:rPr>
            </w:pPr>
          </w:p>
        </w:tc>
        <w:tc>
          <w:tcPr>
            <w:tcW w:w="1040" w:type="dxa"/>
            <w:vAlign w:val="bottom"/>
            <w:shd w:val="clear" w:color="auto" w:fill="D5EEEE"/>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D5EEEE"/>
          </w:tcPr>
          <w:p>
            <w:pPr>
              <w:spacing w:after="0"/>
              <w:rPr>
                <w:sz w:val="17"/>
                <w:szCs w:val="17"/>
                <w:color w:val="auto"/>
              </w:rPr>
            </w:pPr>
          </w:p>
        </w:tc>
        <w:tc>
          <w:tcPr>
            <w:tcW w:w="260" w:type="dxa"/>
            <w:vAlign w:val="bottom"/>
            <w:shd w:val="clear" w:color="auto" w:fill="D5EEEE"/>
          </w:tcPr>
          <w:p>
            <w:pPr>
              <w:spacing w:after="0"/>
              <w:rPr>
                <w:sz w:val="17"/>
                <w:szCs w:val="17"/>
                <w:color w:val="auto"/>
              </w:rPr>
            </w:pPr>
          </w:p>
        </w:tc>
        <w:tc>
          <w:tcPr>
            <w:tcW w:w="9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rPr>
              <w:t>25,680</w:t>
            </w:r>
          </w:p>
        </w:tc>
        <w:tc>
          <w:tcPr>
            <w:tcW w:w="80" w:type="dxa"/>
            <w:vAlign w:val="bottom"/>
            <w:shd w:val="clear" w:color="auto" w:fill="D5EEE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2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Repayments of debt principal</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(3,333)</w:t>
            </w:r>
          </w:p>
        </w:tc>
        <w:tc>
          <w:tcPr>
            <w:tcW w:w="0" w:type="dxa"/>
            <w:vAlign w:val="bottom"/>
          </w:tcPr>
          <w:p>
            <w:pPr>
              <w:spacing w:after="0"/>
              <w:rPr>
                <w:sz w:val="1"/>
                <w:szCs w:val="1"/>
                <w:color w:val="auto"/>
              </w:rPr>
            </w:pPr>
          </w:p>
        </w:tc>
      </w:tr>
      <w:tr>
        <w:trPr>
          <w:trHeight w:val="209"/>
        </w:trPr>
        <w:tc>
          <w:tcPr>
            <w:tcW w:w="7280" w:type="dxa"/>
            <w:vAlign w:val="bottom"/>
            <w:tcBorders>
              <w:bottom w:val="single" w:sz="8" w:color="D5EEEE"/>
            </w:tcBorders>
            <w:shd w:val="clear" w:color="auto" w:fill="D5EEEE"/>
          </w:tcPr>
          <w:p>
            <w:pPr>
              <w:ind w:left="180"/>
              <w:spacing w:after="0"/>
              <w:rPr>
                <w:sz w:val="20"/>
                <w:szCs w:val="20"/>
                <w:color w:val="auto"/>
              </w:rPr>
            </w:pPr>
            <w:r>
              <w:rPr>
                <w:rFonts w:ascii="Times New Roman" w:cs="Times New Roman" w:eastAsia="Times New Roman" w:hAnsi="Times New Roman"/>
                <w:sz w:val="17"/>
                <w:szCs w:val="17"/>
                <w:color w:val="auto"/>
              </w:rPr>
              <w:t>Payments of finance lease</w:t>
            </w:r>
          </w:p>
        </w:tc>
        <w:tc>
          <w:tcPr>
            <w:tcW w:w="140" w:type="dxa"/>
            <w:vAlign w:val="bottom"/>
            <w:tcBorders>
              <w:bottom w:val="single" w:sz="8" w:color="D5EEEE"/>
            </w:tcBorders>
            <w:shd w:val="clear" w:color="auto" w:fill="D5EEEE"/>
          </w:tcPr>
          <w:p>
            <w:pPr>
              <w:spacing w:after="0"/>
              <w:rPr>
                <w:sz w:val="18"/>
                <w:szCs w:val="18"/>
                <w:color w:val="auto"/>
              </w:rPr>
            </w:pPr>
          </w:p>
        </w:tc>
        <w:tc>
          <w:tcPr>
            <w:tcW w:w="280" w:type="dxa"/>
            <w:vAlign w:val="bottom"/>
            <w:tcBorders>
              <w:bottom w:val="single" w:sz="8" w:color="auto"/>
            </w:tcBorders>
            <w:shd w:val="clear" w:color="auto" w:fill="D5EEEE"/>
          </w:tcPr>
          <w:p>
            <w:pPr>
              <w:spacing w:after="0"/>
              <w:rPr>
                <w:sz w:val="18"/>
                <w:szCs w:val="18"/>
                <w:color w:val="auto"/>
              </w:rPr>
            </w:pPr>
          </w:p>
        </w:tc>
        <w:tc>
          <w:tcPr>
            <w:tcW w:w="1040" w:type="dxa"/>
            <w:vAlign w:val="bottom"/>
            <w:tcBorders>
              <w:bottom w:val="single" w:sz="8" w:color="auto"/>
            </w:tcBorders>
            <w:shd w:val="clear" w:color="auto" w:fill="D5EEEE"/>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D5EEEE"/>
            </w:tcBorders>
            <w:shd w:val="clear" w:color="auto" w:fill="D5EEEE"/>
          </w:tcPr>
          <w:p>
            <w:pPr>
              <w:spacing w:after="0"/>
              <w:rPr>
                <w:sz w:val="18"/>
                <w:szCs w:val="18"/>
                <w:color w:val="auto"/>
              </w:rPr>
            </w:pPr>
          </w:p>
        </w:tc>
        <w:tc>
          <w:tcPr>
            <w:tcW w:w="260" w:type="dxa"/>
            <w:vAlign w:val="bottom"/>
            <w:tcBorders>
              <w:bottom w:val="single" w:sz="8" w:color="auto"/>
            </w:tcBorders>
            <w:shd w:val="clear" w:color="auto" w:fill="D5EEEE"/>
          </w:tcPr>
          <w:p>
            <w:pPr>
              <w:spacing w:after="0"/>
              <w:rPr>
                <w:sz w:val="18"/>
                <w:szCs w:val="18"/>
                <w:color w:val="auto"/>
              </w:rPr>
            </w:pPr>
          </w:p>
        </w:tc>
        <w:tc>
          <w:tcPr>
            <w:tcW w:w="1020" w:type="dxa"/>
            <w:vAlign w:val="bottom"/>
            <w:tcBorders>
              <w:bottom w:val="single" w:sz="8" w:color="auto"/>
            </w:tcBorders>
            <w:gridSpan w:val="2"/>
            <w:shd w:val="clear" w:color="auto" w:fill="D5EEEE"/>
          </w:tcPr>
          <w:p>
            <w:pPr>
              <w:jc w:val="right"/>
              <w:ind w:right="20"/>
              <w:spacing w:after="0"/>
              <w:rPr>
                <w:sz w:val="20"/>
                <w:szCs w:val="20"/>
                <w:color w:val="auto"/>
              </w:rPr>
            </w:pPr>
            <w:r>
              <w:rPr>
                <w:rFonts w:ascii="Times New Roman" w:cs="Times New Roman" w:eastAsia="Times New Roman" w:hAnsi="Times New Roman"/>
                <w:sz w:val="17"/>
                <w:szCs w:val="17"/>
                <w:color w:val="auto"/>
              </w:rPr>
              <w:t>(49)</w:t>
            </w:r>
          </w:p>
        </w:tc>
        <w:tc>
          <w:tcPr>
            <w:tcW w:w="0" w:type="dxa"/>
            <w:vAlign w:val="bottom"/>
          </w:tcPr>
          <w:p>
            <w:pPr>
              <w:spacing w:after="0"/>
              <w:rPr>
                <w:sz w:val="1"/>
                <w:szCs w:val="1"/>
                <w:color w:val="auto"/>
              </w:rPr>
            </w:pPr>
          </w:p>
        </w:tc>
      </w:tr>
      <w:tr>
        <w:trPr>
          <w:trHeight w:val="203"/>
        </w:trPr>
        <w:tc>
          <w:tcPr>
            <w:tcW w:w="7280" w:type="dxa"/>
            <w:vAlign w:val="bottom"/>
            <w:tcBorders>
              <w:bottom w:val="single" w:sz="8" w:color="D5EEEE"/>
            </w:tcBorders>
          </w:tcPr>
          <w:p>
            <w:pPr>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140" w:type="dxa"/>
            <w:vAlign w:val="bottom"/>
            <w:tcBorders>
              <w:bottom w:val="single" w:sz="8" w:color="D5EEEE"/>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87,775</w:t>
            </w:r>
          </w:p>
        </w:tc>
        <w:tc>
          <w:tcPr>
            <w:tcW w:w="180" w:type="dxa"/>
            <w:vAlign w:val="bottom"/>
            <w:tcBorders>
              <w:bottom w:val="single" w:sz="8" w:color="D5EEEE"/>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29,196</w:t>
            </w:r>
          </w:p>
        </w:tc>
        <w:tc>
          <w:tcPr>
            <w:tcW w:w="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shd w:val="clear" w:color="auto" w:fill="D5EEEE"/>
          </w:tcPr>
          <w:p>
            <w:pPr>
              <w:spacing w:after="0"/>
              <w:rPr>
                <w:sz w:val="20"/>
                <w:szCs w:val="20"/>
                <w:color w:val="auto"/>
              </w:rPr>
            </w:pPr>
            <w:r>
              <w:rPr>
                <w:rFonts w:ascii="Times New Roman" w:cs="Times New Roman" w:eastAsia="Times New Roman" w:hAnsi="Times New Roman"/>
                <w:sz w:val="17"/>
                <w:szCs w:val="17"/>
                <w:color w:val="auto"/>
              </w:rPr>
              <w:t>Increase in cash, cash equivalents and restricted cash</w:t>
            </w:r>
          </w:p>
        </w:tc>
        <w:tc>
          <w:tcPr>
            <w:tcW w:w="140" w:type="dxa"/>
            <w:vAlign w:val="bottom"/>
            <w:shd w:val="clear" w:color="auto" w:fill="D5EEEE"/>
          </w:tcPr>
          <w:p>
            <w:pPr>
              <w:spacing w:after="0"/>
              <w:rPr>
                <w:sz w:val="17"/>
                <w:szCs w:val="17"/>
                <w:color w:val="auto"/>
              </w:rPr>
            </w:pPr>
          </w:p>
        </w:tc>
        <w:tc>
          <w:tcPr>
            <w:tcW w:w="280" w:type="dxa"/>
            <w:vAlign w:val="bottom"/>
            <w:shd w:val="clear" w:color="auto" w:fill="D5EEEE"/>
          </w:tcPr>
          <w:p>
            <w:pPr>
              <w:spacing w:after="0"/>
              <w:rPr>
                <w:sz w:val="17"/>
                <w:szCs w:val="17"/>
                <w:color w:val="auto"/>
              </w:rPr>
            </w:pPr>
          </w:p>
        </w:tc>
        <w:tc>
          <w:tcPr>
            <w:tcW w:w="1040" w:type="dxa"/>
            <w:vAlign w:val="bottom"/>
            <w:shd w:val="clear" w:color="auto" w:fill="D5EEEE"/>
          </w:tcPr>
          <w:p>
            <w:pPr>
              <w:jc w:val="right"/>
              <w:ind w:right="36"/>
              <w:spacing w:after="0"/>
              <w:rPr>
                <w:sz w:val="20"/>
                <w:szCs w:val="20"/>
                <w:color w:val="auto"/>
              </w:rPr>
            </w:pPr>
            <w:r>
              <w:rPr>
                <w:rFonts w:ascii="Times New Roman" w:cs="Times New Roman" w:eastAsia="Times New Roman" w:hAnsi="Times New Roman"/>
                <w:sz w:val="17"/>
                <w:szCs w:val="17"/>
                <w:color w:val="auto"/>
              </w:rPr>
              <w:t>82,265</w:t>
            </w:r>
          </w:p>
        </w:tc>
        <w:tc>
          <w:tcPr>
            <w:tcW w:w="180" w:type="dxa"/>
            <w:vAlign w:val="bottom"/>
            <w:shd w:val="clear" w:color="auto" w:fill="D5EEEE"/>
          </w:tcPr>
          <w:p>
            <w:pPr>
              <w:spacing w:after="0"/>
              <w:rPr>
                <w:sz w:val="17"/>
                <w:szCs w:val="17"/>
                <w:color w:val="auto"/>
              </w:rPr>
            </w:pPr>
          </w:p>
        </w:tc>
        <w:tc>
          <w:tcPr>
            <w:tcW w:w="260" w:type="dxa"/>
            <w:vAlign w:val="bottom"/>
            <w:shd w:val="clear" w:color="auto" w:fill="D5EEEE"/>
          </w:tcPr>
          <w:p>
            <w:pPr>
              <w:spacing w:after="0"/>
              <w:rPr>
                <w:sz w:val="17"/>
                <w:szCs w:val="17"/>
                <w:color w:val="auto"/>
              </w:rPr>
            </w:pPr>
          </w:p>
        </w:tc>
        <w:tc>
          <w:tcPr>
            <w:tcW w:w="9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rPr>
              <w:t>10,782</w:t>
            </w:r>
          </w:p>
        </w:tc>
        <w:tc>
          <w:tcPr>
            <w:tcW w:w="80" w:type="dxa"/>
            <w:vAlign w:val="bottom"/>
            <w:shd w:val="clear" w:color="auto" w:fill="D5EEE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280" w:type="dxa"/>
            <w:vAlign w:val="bottom"/>
            <w:tcBorders>
              <w:bottom w:val="single" w:sz="8" w:color="D5EEEE"/>
            </w:tcBorders>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beginning of period</w:t>
            </w:r>
          </w:p>
        </w:tc>
        <w:tc>
          <w:tcPr>
            <w:tcW w:w="140" w:type="dxa"/>
            <w:vAlign w:val="bottom"/>
            <w:tcBorders>
              <w:bottom w:val="single" w:sz="8" w:color="D5EEEE"/>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57,073</w:t>
            </w:r>
          </w:p>
        </w:tc>
        <w:tc>
          <w:tcPr>
            <w:tcW w:w="180" w:type="dxa"/>
            <w:vAlign w:val="bottom"/>
            <w:tcBorders>
              <w:bottom w:val="single" w:sz="8" w:color="D5EEEE"/>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46,291</w:t>
            </w: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80" w:type="dxa"/>
            <w:vAlign w:val="bottom"/>
            <w:tcBorders>
              <w:bottom w:val="single" w:sz="8" w:color="D5EEEE"/>
            </w:tcBorders>
            <w:shd w:val="clear" w:color="auto" w:fill="D5EEEE"/>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end of period</w:t>
            </w:r>
          </w:p>
        </w:tc>
        <w:tc>
          <w:tcPr>
            <w:tcW w:w="140" w:type="dxa"/>
            <w:vAlign w:val="bottom"/>
            <w:tcBorders>
              <w:bottom w:val="single" w:sz="8" w:color="D5EEEE"/>
            </w:tcBorders>
            <w:shd w:val="clear" w:color="auto" w:fill="D5EEEE"/>
          </w:tcPr>
          <w:p>
            <w:pPr>
              <w:spacing w:after="0"/>
              <w:rPr>
                <w:sz w:val="19"/>
                <w:szCs w:val="19"/>
                <w:color w:val="auto"/>
              </w:rPr>
            </w:pPr>
          </w:p>
        </w:tc>
        <w:tc>
          <w:tcPr>
            <w:tcW w:w="280" w:type="dxa"/>
            <w:vAlign w:val="bottom"/>
            <w:tcBorders>
              <w:bottom w:val="single" w:sz="8" w:color="auto"/>
            </w:tcBorders>
            <w:shd w:val="clear" w:color="auto" w:fill="D5EEEE"/>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D5EEEE"/>
          </w:tcPr>
          <w:p>
            <w:pPr>
              <w:jc w:val="right"/>
              <w:ind w:right="36"/>
              <w:spacing w:after="0"/>
              <w:rPr>
                <w:sz w:val="20"/>
                <w:szCs w:val="20"/>
                <w:color w:val="auto"/>
              </w:rPr>
            </w:pPr>
            <w:r>
              <w:rPr>
                <w:rFonts w:ascii="Times New Roman" w:cs="Times New Roman" w:eastAsia="Times New Roman" w:hAnsi="Times New Roman"/>
                <w:sz w:val="17"/>
                <w:szCs w:val="17"/>
                <w:color w:val="auto"/>
              </w:rPr>
              <w:t>139,338</w:t>
            </w:r>
          </w:p>
        </w:tc>
        <w:tc>
          <w:tcPr>
            <w:tcW w:w="180" w:type="dxa"/>
            <w:vAlign w:val="bottom"/>
            <w:tcBorders>
              <w:bottom w:val="single" w:sz="8" w:color="D5EEEE"/>
            </w:tcBorders>
            <w:shd w:val="clear" w:color="auto" w:fill="D5EEEE"/>
          </w:tcPr>
          <w:p>
            <w:pPr>
              <w:spacing w:after="0"/>
              <w:rPr>
                <w:sz w:val="19"/>
                <w:szCs w:val="19"/>
                <w:color w:val="auto"/>
              </w:rPr>
            </w:pPr>
          </w:p>
        </w:tc>
        <w:tc>
          <w:tcPr>
            <w:tcW w:w="260" w:type="dxa"/>
            <w:vAlign w:val="bottom"/>
            <w:tcBorders>
              <w:bottom w:val="single" w:sz="8" w:color="auto"/>
            </w:tcBorders>
            <w:shd w:val="clear" w:color="auto" w:fill="D5EEEE"/>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rPr>
              <w:t>57,073</w:t>
            </w:r>
          </w:p>
        </w:tc>
        <w:tc>
          <w:tcPr>
            <w:tcW w:w="80" w:type="dxa"/>
            <w:vAlign w:val="bottom"/>
            <w:tcBorders>
              <w:bottom w:val="single" w:sz="8" w:color="auto"/>
            </w:tcBorders>
            <w:shd w:val="clear" w:color="auto" w:fill="D5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8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Supplemental cash flow disclosure:</w:t>
            </w: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72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280" w:type="dxa"/>
            <w:vAlign w:val="bottom"/>
            <w:shd w:val="clear" w:color="auto" w:fill="D5EEEE"/>
          </w:tcPr>
          <w:p>
            <w:pPr>
              <w:ind w:left="100"/>
              <w:spacing w:after="0"/>
              <w:rPr>
                <w:sz w:val="20"/>
                <w:szCs w:val="20"/>
                <w:color w:val="auto"/>
              </w:rPr>
            </w:pPr>
            <w:r>
              <w:rPr>
                <w:rFonts w:ascii="Times New Roman" w:cs="Times New Roman" w:eastAsia="Times New Roman" w:hAnsi="Times New Roman"/>
                <w:sz w:val="17"/>
                <w:szCs w:val="17"/>
                <w:color w:val="auto"/>
              </w:rPr>
              <w:t>Cash paid for interest</w:t>
            </w:r>
          </w:p>
        </w:tc>
        <w:tc>
          <w:tcPr>
            <w:tcW w:w="420" w:type="dxa"/>
            <w:vAlign w:val="bottom"/>
            <w:gridSpan w:val="2"/>
            <w:shd w:val="clear" w:color="auto" w:fill="D5EEEE"/>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D5EEEE"/>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gridSpan w:val="2"/>
            <w:shd w:val="clear" w:color="auto" w:fill="D5EEEE"/>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80" w:type="dxa"/>
            <w:vAlign w:val="bottom"/>
            <w:shd w:val="clear" w:color="auto" w:fill="D5EEE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2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 of non-cash activities:</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280" w:type="dxa"/>
            <w:vAlign w:val="bottom"/>
            <w:shd w:val="clear" w:color="auto" w:fill="D5EEEE"/>
          </w:tcPr>
          <w:p>
            <w:pPr>
              <w:ind w:left="100"/>
              <w:spacing w:after="0"/>
              <w:rPr>
                <w:sz w:val="20"/>
                <w:szCs w:val="20"/>
                <w:color w:val="auto"/>
              </w:rPr>
            </w:pPr>
            <w:r>
              <w:rPr>
                <w:rFonts w:ascii="Times New Roman" w:cs="Times New Roman" w:eastAsia="Times New Roman" w:hAnsi="Times New Roman"/>
                <w:sz w:val="17"/>
                <w:szCs w:val="17"/>
                <w:color w:val="auto"/>
              </w:rPr>
              <w:t>Transfer of finance lease asset to property and equipment</w:t>
            </w:r>
          </w:p>
        </w:tc>
        <w:tc>
          <w:tcPr>
            <w:tcW w:w="420" w:type="dxa"/>
            <w:vAlign w:val="bottom"/>
            <w:gridSpan w:val="2"/>
            <w:shd w:val="clear" w:color="auto" w:fill="D5EEEE"/>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D5EEEE"/>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gridSpan w:val="2"/>
            <w:shd w:val="clear" w:color="auto" w:fill="D5EEEE"/>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80" w:type="dxa"/>
            <w:vAlign w:val="bottom"/>
            <w:shd w:val="clear" w:color="auto" w:fill="D5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2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Capital expenditures included in accounts payable or accrued expenses</w:t>
            </w:r>
          </w:p>
        </w:tc>
        <w:tc>
          <w:tcPr>
            <w:tcW w:w="420" w:type="dxa"/>
            <w:vAlign w:val="bottom"/>
            <w:gridSpan w:val="2"/>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443</w:t>
            </w:r>
          </w:p>
        </w:tc>
        <w:tc>
          <w:tcPr>
            <w:tcW w:w="44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9"/>
        </w:trPr>
        <w:tc>
          <w:tcPr>
            <w:tcW w:w="7280" w:type="dxa"/>
            <w:vAlign w:val="bottom"/>
            <w:shd w:val="clear" w:color="auto" w:fill="D5EEEE"/>
          </w:tcPr>
          <w:p>
            <w:pPr>
              <w:ind w:left="100"/>
              <w:spacing w:after="0"/>
              <w:rPr>
                <w:sz w:val="20"/>
                <w:szCs w:val="20"/>
                <w:color w:val="auto"/>
              </w:rPr>
            </w:pPr>
            <w:r>
              <w:rPr>
                <w:rFonts w:ascii="Times New Roman" w:cs="Times New Roman" w:eastAsia="Times New Roman" w:hAnsi="Times New Roman"/>
                <w:sz w:val="17"/>
                <w:szCs w:val="17"/>
                <w:color w:val="auto"/>
              </w:rPr>
              <w:t>Issuance costs included in accounts payable or accrued expenses</w:t>
            </w:r>
          </w:p>
        </w:tc>
        <w:tc>
          <w:tcPr>
            <w:tcW w:w="420" w:type="dxa"/>
            <w:vAlign w:val="bottom"/>
            <w:gridSpan w:val="2"/>
            <w:shd w:val="clear" w:color="auto" w:fill="D5EEEE"/>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D5EEEE"/>
          </w:tcPr>
          <w:p>
            <w:pPr>
              <w:jc w:val="right"/>
              <w:ind w:right="36"/>
              <w:spacing w:after="0"/>
              <w:rPr>
                <w:sz w:val="20"/>
                <w:szCs w:val="20"/>
                <w:color w:val="auto"/>
              </w:rPr>
            </w:pPr>
            <w:r>
              <w:rPr>
                <w:rFonts w:ascii="Times New Roman" w:cs="Times New Roman" w:eastAsia="Times New Roman" w:hAnsi="Times New Roman"/>
                <w:sz w:val="17"/>
                <w:szCs w:val="17"/>
                <w:color w:val="auto"/>
              </w:rPr>
              <w:t>1,550</w:t>
            </w:r>
          </w:p>
        </w:tc>
        <w:tc>
          <w:tcPr>
            <w:tcW w:w="440" w:type="dxa"/>
            <w:vAlign w:val="bottom"/>
            <w:gridSpan w:val="2"/>
            <w:shd w:val="clear" w:color="auto" w:fill="D5EEEE"/>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D5EEEE"/>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8"/>
        </w:trPr>
        <w:tc>
          <w:tcPr>
            <w:tcW w:w="72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Reconciliation to amounts within the consolidated balance sheets: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80" w:type="dxa"/>
            <w:vAlign w:val="bottom"/>
            <w:shd w:val="clear" w:color="auto" w:fill="D5EEEE"/>
          </w:tcPr>
          <w:p>
            <w:pPr>
              <w:ind w:left="10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420" w:type="dxa"/>
            <w:vAlign w:val="bottom"/>
            <w:gridSpan w:val="2"/>
            <w:shd w:val="clear" w:color="auto" w:fill="D5EEEE"/>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D5EEEE"/>
          </w:tcPr>
          <w:p>
            <w:pPr>
              <w:jc w:val="right"/>
              <w:ind w:right="36"/>
              <w:spacing w:after="0"/>
              <w:rPr>
                <w:sz w:val="20"/>
                <w:szCs w:val="20"/>
                <w:color w:val="auto"/>
              </w:rPr>
            </w:pPr>
            <w:r>
              <w:rPr>
                <w:rFonts w:ascii="Times New Roman" w:cs="Times New Roman" w:eastAsia="Times New Roman" w:hAnsi="Times New Roman"/>
                <w:sz w:val="17"/>
                <w:szCs w:val="17"/>
                <w:color w:val="auto"/>
              </w:rPr>
              <w:t>137,531</w:t>
            </w:r>
          </w:p>
        </w:tc>
        <w:tc>
          <w:tcPr>
            <w:tcW w:w="440" w:type="dxa"/>
            <w:vAlign w:val="bottom"/>
            <w:gridSpan w:val="2"/>
            <w:shd w:val="clear" w:color="auto" w:fill="D5EEEE"/>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rPr>
              <w:t>55,291</w:t>
            </w:r>
          </w:p>
        </w:tc>
        <w:tc>
          <w:tcPr>
            <w:tcW w:w="80" w:type="dxa"/>
            <w:vAlign w:val="bottom"/>
            <w:shd w:val="clear" w:color="auto" w:fill="D5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280" w:type="dxa"/>
            <w:vAlign w:val="bottom"/>
            <w:tcBorders>
              <w:bottom w:val="single" w:sz="8" w:color="D5EEEE"/>
            </w:tcBorders>
          </w:tcPr>
          <w:p>
            <w:pPr>
              <w:ind w:left="100"/>
              <w:spacing w:after="0"/>
              <w:rPr>
                <w:sz w:val="20"/>
                <w:szCs w:val="20"/>
                <w:color w:val="auto"/>
              </w:rPr>
            </w:pPr>
            <w:r>
              <w:rPr>
                <w:rFonts w:ascii="Times New Roman" w:cs="Times New Roman" w:eastAsia="Times New Roman" w:hAnsi="Times New Roman"/>
                <w:sz w:val="17"/>
                <w:szCs w:val="17"/>
                <w:color w:val="auto"/>
              </w:rPr>
              <w:t>Restricted cash</w:t>
            </w:r>
          </w:p>
        </w:tc>
        <w:tc>
          <w:tcPr>
            <w:tcW w:w="140" w:type="dxa"/>
            <w:vAlign w:val="bottom"/>
            <w:tcBorders>
              <w:bottom w:val="single" w:sz="8" w:color="D5EEEE"/>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1,807</w:t>
            </w:r>
          </w:p>
        </w:tc>
        <w:tc>
          <w:tcPr>
            <w:tcW w:w="180" w:type="dxa"/>
            <w:vAlign w:val="bottom"/>
            <w:tcBorders>
              <w:bottom w:val="single" w:sz="8" w:color="D5EEEE"/>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1,782</w:t>
            </w: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7280" w:type="dxa"/>
            <w:vAlign w:val="bottom"/>
            <w:tcBorders>
              <w:bottom w:val="single" w:sz="8" w:color="D5EEEE"/>
            </w:tcBorders>
            <w:shd w:val="clear" w:color="auto" w:fill="D5EEEE"/>
          </w:tcPr>
          <w:p>
            <w:pPr>
              <w:ind w:left="180"/>
              <w:spacing w:after="0"/>
              <w:rPr>
                <w:sz w:val="20"/>
                <w:szCs w:val="20"/>
                <w:color w:val="auto"/>
              </w:rPr>
            </w:pPr>
            <w:r>
              <w:rPr>
                <w:rFonts w:ascii="Times New Roman" w:cs="Times New Roman" w:eastAsia="Times New Roman" w:hAnsi="Times New Roman"/>
                <w:sz w:val="17"/>
                <w:szCs w:val="17"/>
                <w:color w:val="auto"/>
              </w:rPr>
              <w:t>Cash, cash equivalents and restricted cash, end of period</w:t>
            </w:r>
          </w:p>
        </w:tc>
        <w:tc>
          <w:tcPr>
            <w:tcW w:w="140" w:type="dxa"/>
            <w:vAlign w:val="bottom"/>
            <w:tcBorders>
              <w:bottom w:val="single" w:sz="8" w:color="D5EEEE"/>
            </w:tcBorders>
            <w:shd w:val="clear" w:color="auto" w:fill="D5EEEE"/>
          </w:tcPr>
          <w:p>
            <w:pPr>
              <w:spacing w:after="0"/>
              <w:rPr>
                <w:sz w:val="20"/>
                <w:szCs w:val="20"/>
                <w:color w:val="auto"/>
              </w:rPr>
            </w:pPr>
          </w:p>
        </w:tc>
        <w:tc>
          <w:tcPr>
            <w:tcW w:w="280" w:type="dxa"/>
            <w:vAlign w:val="bottom"/>
            <w:tcBorders>
              <w:bottom w:val="single" w:sz="8" w:color="auto"/>
            </w:tcBorders>
            <w:shd w:val="clear" w:color="auto" w:fill="D5EEEE"/>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D5EEEE"/>
          </w:tcPr>
          <w:p>
            <w:pPr>
              <w:jc w:val="right"/>
              <w:ind w:right="36"/>
              <w:spacing w:after="0"/>
              <w:rPr>
                <w:sz w:val="20"/>
                <w:szCs w:val="20"/>
                <w:color w:val="auto"/>
              </w:rPr>
            </w:pPr>
            <w:r>
              <w:rPr>
                <w:rFonts w:ascii="Times New Roman" w:cs="Times New Roman" w:eastAsia="Times New Roman" w:hAnsi="Times New Roman"/>
                <w:sz w:val="17"/>
                <w:szCs w:val="17"/>
                <w:color w:val="auto"/>
              </w:rPr>
              <w:t>139,338</w:t>
            </w:r>
          </w:p>
        </w:tc>
        <w:tc>
          <w:tcPr>
            <w:tcW w:w="180" w:type="dxa"/>
            <w:vAlign w:val="bottom"/>
            <w:tcBorders>
              <w:bottom w:val="single" w:sz="8" w:color="D5EEEE"/>
            </w:tcBorders>
            <w:shd w:val="clear" w:color="auto" w:fill="D5EEEE"/>
          </w:tcPr>
          <w:p>
            <w:pPr>
              <w:spacing w:after="0"/>
              <w:rPr>
                <w:sz w:val="20"/>
                <w:szCs w:val="20"/>
                <w:color w:val="auto"/>
              </w:rPr>
            </w:pPr>
          </w:p>
        </w:tc>
        <w:tc>
          <w:tcPr>
            <w:tcW w:w="260" w:type="dxa"/>
            <w:vAlign w:val="bottom"/>
            <w:tcBorders>
              <w:bottom w:val="single" w:sz="8" w:color="auto"/>
            </w:tcBorders>
            <w:shd w:val="clear" w:color="auto" w:fill="D5EEEE"/>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rPr>
              <w:t>57,073</w:t>
            </w:r>
          </w:p>
        </w:tc>
        <w:tc>
          <w:tcPr>
            <w:tcW w:w="80" w:type="dxa"/>
            <w:vAlign w:val="bottom"/>
            <w:tcBorders>
              <w:bottom w:val="single" w:sz="8" w:color="auto"/>
            </w:tcBorders>
            <w:shd w:val="clear" w:color="auto" w:fill="D5EEE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-6607810</wp:posOffset>
            </wp:positionV>
            <wp:extent cx="1752600" cy="36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4">
                      <a:extLst>
                        <a:ext uri="{28A0092B-C50C-407E-A947-70E740481C1C}"/>
                      </a:extLst>
                    </a:blip>
                    <a:srcRect/>
                    <a:stretch>
                      <a:fillRect/>
                    </a:stretch>
                  </pic:blipFill>
                  <pic:spPr bwMode="auto">
                    <a:xfrm>
                      <a:off x="0" y="0"/>
                      <a:ext cx="1752600" cy="36195"/>
                    </a:xfrm>
                    <a:prstGeom prst="rect">
                      <a:avLst/>
                    </a:prstGeom>
                    <a:noFill/>
                  </pic:spPr>
                </pic:pic>
              </a:graphicData>
            </a:graphic>
          </wp:anchor>
        </w:drawing>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The accompanying notes are an integral part of these consolidated financial statements.</w:t>
      </w:r>
    </w:p>
    <w:p>
      <w:pPr>
        <w:sectPr>
          <w:pgSz w:w="12240" w:h="15840" w:orient="portrait"/>
          <w:cols w:equalWidth="0" w:num="1">
            <w:col w:w="10200"/>
          </w:cols>
          <w:pgMar w:left="1020" w:top="1335" w:right="1020" w:bottom="5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F-6</w:t>
      </w:r>
    </w:p>
    <w:p>
      <w:pPr>
        <w:sectPr>
          <w:pgSz w:w="12240" w:h="15840" w:orient="portrait"/>
          <w:cols w:equalWidth="0" w:num="1">
            <w:col w:w="10200"/>
          </w:cols>
          <w:pgMar w:left="1020" w:top="1335" w:right="1020" w:bottom="556" w:gutter="0" w:footer="0" w:header="0"/>
          <w:type w:val="continuous"/>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9"/>
          <w:szCs w:val="19"/>
          <w:b w:val="1"/>
          <w:bCs w:val="1"/>
          <w:color w:val="auto"/>
        </w:rPr>
        <w:t>XILIO THERAPEUTICS, INC.</w:t>
      </w:r>
    </w:p>
    <w:p>
      <w:pPr>
        <w:jc w:val="center"/>
        <w:spacing w:after="0" w:line="238" w:lineRule="auto"/>
        <w:rPr>
          <w:sz w:val="20"/>
          <w:szCs w:val="20"/>
          <w:color w:val="auto"/>
        </w:rPr>
      </w:pPr>
      <w:r>
        <w:rPr>
          <w:rFonts w:ascii="Times New Roman" w:cs="Times New Roman" w:eastAsia="Times New Roman" w:hAnsi="Times New Roman"/>
          <w:sz w:val="19"/>
          <w:szCs w:val="19"/>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9"/>
          <w:szCs w:val="19"/>
          <w:b w:val="1"/>
          <w:bCs w:val="1"/>
          <w:color w:val="auto"/>
        </w:rPr>
        <w:t>(Dollars in thousands, unless otherwise stated)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 Description of Business and Liquidity</w:t>
      </w:r>
    </w:p>
    <w:p>
      <w:pPr>
        <w:spacing w:after="0" w:line="23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Xilio Therapeutics, Inc. (“Xilio” or the “Company”) is a clinical-stage biotechnology company dedicated to discovering and developing masked immuno-oncology (“I-O”) therapies with the goal of significantly improving outcomes for people living with cancer without the systemic side effects of current I-O treatments. The Company was incorporated in Delaware in June 2020, and its headquarters are located in Waltham, Massachusetts.</w:t>
      </w:r>
    </w:p>
    <w:p>
      <w:pPr>
        <w:spacing w:after="0" w:line="12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Since its inception, the Company has devoted substantially all of its financial resources and efforts to research and development activities. As of December 31, 2025, the Company had an accumulated deficit of $418.8 million and has incurred significant operating losses, including net losses of $35.0 million and $58.2 million for the years ended December 31, 2025 and 2024, respectively. The Company expects its operating losses and negative operating cash flows to continue for the foreseeable future as it continues to advance its product candidates through clinical trials, maintains the infrastructure necessary to support these activities and continues to incur costs associated with operating as a public company.</w:t>
      </w:r>
    </w:p>
    <w:p>
      <w:pPr>
        <w:spacing w:after="0" w:line="24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As of December 31, 2025, the Company had cash and cash equivalents of $137.5 million. Based on its current operating plans, the Company anticipates that its existing cash and cash equivalents as of December 31, 2025, together with the $37.3 million in estimated net proceeds, after deducting underwriting discounts and commissions and estimated offering expenses payable by the Company, received upon the closing of a follow-on offering of prefunded warrants in the first quarter of 2026, will be sufficient to enable it to fund its operating expenses and capital expenditure requirements for at least twelve months from the date of the issuance of these consolidated financial statements.</w:t>
      </w:r>
    </w:p>
    <w:p>
      <w:pPr>
        <w:spacing w:after="0" w:line="24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However, the Company has based its estimates on assumptions that may prove to be wrong. If actual results differ from the Company’s estimates, the Company could exhaust its available capital resources sooner than it anticipates, in which case, the Company would be required to seek additional capital sooner or curtail planned activities to reduce operating expenses, which may have an adverse impact on the Company’s ability to achieve its business objectives.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2. Summary of Significant Accounting Policies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Basis of Presentation</w:t>
      </w:r>
    </w:p>
    <w:p>
      <w:pPr>
        <w:spacing w:after="0" w:line="26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These consolidated financial statements have been prepared in conformity with accounting principles generally accepted in the United States (“GAAP”) and pursuant to the rules and regulations of the U.S. Securities and Exchange Commission (the “SEC”). Any reference in these notes to applicable guidance is meant to refer to the authoritative GAAP as found in the Accounting Standards Codification (“ASC”) and Accounting Standards Updates (“ASUs”) of the Financial Accounting Standards Board (“FASB”).</w:t>
      </w:r>
    </w:p>
    <w:p>
      <w:pPr>
        <w:spacing w:after="0" w:line="24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On March 13, 2026, the Company effected a reverse stock split at a ratio of 1-for-14. The reverse stock split did not impact the number of authorized shares of common stock or preferred stock or the par value per share of the common stock or preferred stock. All share and per share amounts in these consolidated financial statements and notes thereto have been adjusted retroactively to reflect the reverse stock split for all periods presented.</w:t>
      </w:r>
    </w:p>
    <w:p>
      <w:pPr>
        <w:spacing w:after="0" w:line="24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In April 2012, the Jumpstart Our Business Startups Act of 2012 (the “JOBS Act”) was enacted. Section 107(b)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The Company has elected not to “opt out” of such extended transition period, which means that when a standard is issued or revised and it has different application dates for public or private companies, the Company can adopt the new or revised standard at the time private companies adopt the new or revised standard and may do so until such time that the Company either (1) irrevocably elects to “opt out” of such extended transition period or (2) no longer qualifies as an emerging growth company. The Company may take advantage of these exemptions up until December 31, 2026, or such earlier time that it is no longer an emerging growth company.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Principles of Consolidation</w:t>
      </w:r>
    </w:p>
    <w:p>
      <w:pPr>
        <w:spacing w:after="0" w:line="26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9"/>
          <w:szCs w:val="19"/>
          <w:color w:val="auto"/>
        </w:rPr>
        <w:t>The accompanying consolidated financial statements include the accounts of the Company and its wholly-owned subsidiaries: Xilio Development, Inc. (“Xilio Development”), a Delaware corporation, and Xilio Securities Corporation, a Massachusetts corporation. All intercompany accounts and transactions have been eliminated in consolidation.</w:t>
      </w:r>
    </w:p>
    <w:p>
      <w:pPr>
        <w:sectPr>
          <w:pgSz w:w="12240" w:h="15840" w:orient="portrait"/>
          <w:cols w:equalWidth="0" w:num="1">
            <w:col w:w="10200"/>
          </w:cols>
          <w:pgMar w:left="1020" w:top="1335" w:right="1020" w:bottom="556" w:gutter="0" w:footer="0" w:header="0"/>
        </w:sect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F-7</w:t>
      </w:r>
    </w:p>
    <w:p>
      <w:pPr>
        <w:sectPr>
          <w:pgSz w:w="12240" w:h="15840" w:orient="portrait"/>
          <w:cols w:equalWidth="0" w:num="1">
            <w:col w:w="10200"/>
          </w:cols>
          <w:pgMar w:left="1020" w:top="1335" w:right="1020" w:bottom="556" w:gutter="0" w:footer="0" w:header="0"/>
          <w:type w:val="continuous"/>
        </w:sectPr>
      </w:pPr>
    </w:p>
    <w:bookmarkStart w:id="130" w:name="page131"/>
    <w:bookmarkEnd w:id="130"/>
    <w:p>
      <w:pPr>
        <w:spacing w:after="0"/>
        <w:rPr>
          <w:sz w:val="20"/>
          <w:szCs w:val="20"/>
          <w:color w:val="auto"/>
        </w:rPr>
      </w:pPr>
      <w:r>
        <w:rPr>
          <w:rFonts w:ascii="Times New Roman" w:cs="Times New Roman" w:eastAsia="Times New Roman" w:hAnsi="Times New Roman"/>
          <w:sz w:val="19"/>
          <w:szCs w:val="19"/>
          <w:b w:val="1"/>
          <w:bCs w:val="1"/>
          <w:i w:val="1"/>
          <w:iCs w:val="1"/>
          <w:color w:val="auto"/>
        </w:rPr>
        <w:t>Use of Estimates</w:t>
      </w:r>
    </w:p>
    <w:p>
      <w:pPr>
        <w:spacing w:after="0" w:line="26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The preparation of financial statements in accordance with GAAP requires management to make estimates and judgments that may affect the reported amounts of assets and liabilities and related disclosures of contingent assets and liabilities at the date of the financial statements and the related reporting of revenue and expenses during the reporting period. Management considers many factors in selecting appropriate financial accounting policies and controls and in developing the estimates and assumptions that are used in the preparation of these consolidated financial statements. Factors that may affect estimates include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Examples of estimates of accounting reflected in these consolidated financial statements include, but are not limited to, estimates related to revenue recognition, accrued expenses, the valuation of the common stock warrant liabilities, the valuation of stock-based compensation, including stock options and restricted stock units, useful life of long-lived assets and income taxes. Actual results could differ from those estimates.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Segment Information</w:t>
      </w:r>
    </w:p>
    <w:p>
      <w:pPr>
        <w:spacing w:after="0" w:line="26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The Company has one operating and reportable segment, the consolidated Company operations, reflecting the integrated nature of its business focused on discovering and developing masked I-O therapies. The Company’s chief operating decision maker (“CODM”) is its chief executive officer. The CODM allocates resources and assesses performance on a consolidated basis, focused on the Company’s cash resources and an assessment of the probability of success of its ongoing research and development activities. Resource allocation decisions are informed by forecasted cash expenditures and actual expenses incurred to date. The CODM is not regularly provided with disaggregated actual expense information, other than the actual expense information included in the consolidated statements of operations and comprehensive loss, as the Company’s integrated operating model emphasizes shared resources and centralized decision-making.</w:t>
      </w:r>
    </w:p>
    <w:p>
      <w:pPr>
        <w:spacing w:after="0" w:line="23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9"/>
          <w:szCs w:val="19"/>
          <w:color w:val="auto"/>
        </w:rPr>
        <w:t>All of the Company’s collaboration and license revenue is generated in the United States and all of the Company’s long-lived assets are held in the United States.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Cash Equivalents and Restricted Cash</w:t>
      </w:r>
    </w:p>
    <w:p>
      <w:pPr>
        <w:spacing w:after="0" w:line="26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9"/>
          <w:szCs w:val="19"/>
          <w:color w:val="auto"/>
        </w:rPr>
        <w:t>The Company considers all short-term, highly liquid investments with original maturities of 90 days or less at acquisition date to be cash equivalents. Restricted cash represents a letter of credit issued to the landlord of the Company’s facility lease and is reflected in non-current assets on the accompanying consolidated balance sheets.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Concentrations of Credit Risk and Significant Suppliers</w:t>
      </w:r>
    </w:p>
    <w:p>
      <w:pPr>
        <w:spacing w:after="0" w:line="26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Financial instruments that potentially expose the Company to concentrations of credit risk consist primarily of cash and cash equivalents. The Company holds all cash and cash equivalents at accredited financial institutions. Bank accounts in the United States are insured by the Federal Deposit Insurance Corporation (“FDIC”) up to $250,000. Substantially all of the Company’s cash and cash equivalents are FDIC insured, including funds held through an insured cash sweep program. The Company has not experienced any losses in its cash and cash equivalents and does not believe that it is subject to unusual credit risk beyond the normal credit risk associated with commercial banking relationships.</w:t>
      </w:r>
    </w:p>
    <w:p>
      <w:pPr>
        <w:spacing w:after="0" w:line="24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The Company is dependent on a third-party manufacturer to supply material and manufacturing process development services for its product candidates and related research and development activities. These research and development programs and activities could be adversely affected by a significant interruption in the supply of such products and services which could have a material adverse effect on the Company’s business, financial position and results of operations.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Fair Value Measurements</w:t>
      </w:r>
    </w:p>
    <w:p>
      <w:pPr>
        <w:spacing w:after="0" w:line="26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w:t>
      </w:r>
    </w:p>
    <w:p>
      <w:pPr>
        <w:sectPr>
          <w:pgSz w:w="12240" w:h="15840" w:orient="portrait"/>
          <w:cols w:equalWidth="0" w:num="1">
            <w:col w:w="10200"/>
          </w:cols>
          <w:pgMar w:left="1020" w:top="1310" w:right="1020" w:bottom="5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F-8</w:t>
      </w:r>
    </w:p>
    <w:p>
      <w:pPr>
        <w:sectPr>
          <w:pgSz w:w="12240" w:h="15840" w:orient="portrait"/>
          <w:cols w:equalWidth="0" w:num="1">
            <w:col w:w="10200"/>
          </w:cols>
          <w:pgMar w:left="1020" w:top="1310" w:right="1020" w:bottom="556" w:gutter="0" w:footer="0" w:header="0"/>
          <w:type w:val="continuous"/>
        </w:sectPr>
      </w:pPr>
    </w:p>
    <w:bookmarkStart w:id="131" w:name="page132"/>
    <w:bookmarkEnd w:id="131"/>
    <w:p>
      <w:pPr>
        <w:spacing w:after="0" w:line="232" w:lineRule="auto"/>
        <w:rPr>
          <w:sz w:val="20"/>
          <w:szCs w:val="20"/>
          <w:color w:val="auto"/>
        </w:rPr>
      </w:pPr>
      <w:r>
        <w:rPr>
          <w:rFonts w:ascii="Times New Roman" w:cs="Times New Roman" w:eastAsia="Times New Roman" w:hAnsi="Times New Roman"/>
          <w:sz w:val="19"/>
          <w:szCs w:val="19"/>
          <w:color w:val="auto"/>
        </w:rPr>
        <w:t>value are to be classified and disclosed in one of the following three levels of the fair value hierarchy, of which the first two are considered observable and the last is considered unobservable:</w:t>
      </w:r>
    </w:p>
    <w:p>
      <w:pPr>
        <w:spacing w:after="0" w:line="216" w:lineRule="exact"/>
        <w:rPr>
          <w:sz w:val="20"/>
          <w:szCs w:val="20"/>
          <w:color w:val="auto"/>
        </w:rPr>
      </w:pPr>
    </w:p>
    <w:p>
      <w:pPr>
        <w:ind w:left="920" w:hanging="458"/>
        <w:spacing w:after="0"/>
        <w:tabs>
          <w:tab w:leader="none" w:pos="920" w:val="left"/>
        </w:tabs>
        <w:numPr>
          <w:ilvl w:val="0"/>
          <w:numId w:val="79"/>
        </w:numPr>
        <w:rPr>
          <w:rFonts w:ascii="Arial" w:cs="Arial" w:eastAsia="Arial" w:hAnsi="Arial"/>
          <w:sz w:val="19"/>
          <w:szCs w:val="19"/>
          <w:color w:val="auto"/>
        </w:rPr>
      </w:pPr>
      <w:r>
        <w:rPr>
          <w:rFonts w:ascii="Times New Roman" w:cs="Times New Roman" w:eastAsia="Times New Roman" w:hAnsi="Times New Roman"/>
          <w:sz w:val="19"/>
          <w:szCs w:val="19"/>
          <w:i w:val="1"/>
          <w:iCs w:val="1"/>
          <w:color w:val="auto"/>
        </w:rPr>
        <w:t>Level 1—</w:t>
      </w:r>
      <w:r>
        <w:rPr>
          <w:rFonts w:ascii="Times New Roman" w:cs="Times New Roman" w:eastAsia="Times New Roman" w:hAnsi="Times New Roman"/>
          <w:sz w:val="19"/>
          <w:szCs w:val="19"/>
          <w:color w:val="auto"/>
        </w:rPr>
        <w:t>Quoted prices in active markets for identical assets or liabilities.</w:t>
      </w:r>
    </w:p>
    <w:p>
      <w:pPr>
        <w:spacing w:after="0" w:line="238" w:lineRule="exact"/>
        <w:rPr>
          <w:rFonts w:ascii="Arial" w:cs="Arial" w:eastAsia="Arial" w:hAnsi="Arial"/>
          <w:sz w:val="19"/>
          <w:szCs w:val="19"/>
          <w:color w:val="auto"/>
        </w:rPr>
      </w:pPr>
    </w:p>
    <w:p>
      <w:pPr>
        <w:jc w:val="both"/>
        <w:ind w:left="920" w:hanging="458"/>
        <w:spacing w:after="0" w:line="251" w:lineRule="auto"/>
        <w:tabs>
          <w:tab w:leader="none" w:pos="920" w:val="left"/>
        </w:tabs>
        <w:numPr>
          <w:ilvl w:val="0"/>
          <w:numId w:val="79"/>
        </w:numPr>
        <w:rPr>
          <w:rFonts w:ascii="Arial" w:cs="Arial" w:eastAsia="Arial" w:hAnsi="Arial"/>
          <w:sz w:val="19"/>
          <w:szCs w:val="19"/>
          <w:color w:val="auto"/>
        </w:rPr>
      </w:pPr>
      <w:r>
        <w:rPr>
          <w:rFonts w:ascii="Times New Roman" w:cs="Times New Roman" w:eastAsia="Times New Roman" w:hAnsi="Times New Roman"/>
          <w:sz w:val="19"/>
          <w:szCs w:val="19"/>
          <w:i w:val="1"/>
          <w:iCs w:val="1"/>
          <w:color w:val="auto"/>
        </w:rPr>
        <w:t>Level 2—</w:t>
      </w:r>
      <w:r>
        <w:rPr>
          <w:rFonts w:ascii="Times New Roman" w:cs="Times New Roman" w:eastAsia="Times New Roman" w:hAnsi="Times New Roman"/>
          <w:sz w:val="19"/>
          <w:szCs w:val="19"/>
          <w:color w:val="auto"/>
        </w:rPr>
        <w:t>Observable inputs (other than Level 1 quoted prices), such as quoted prices in active markets for similar assets 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liabilities, quoted prices in markets that are not active for identical or similar assets or liabilities, or other inputs that are observable or can be corroborated by observable market data.</w:t>
      </w:r>
    </w:p>
    <w:p>
      <w:pPr>
        <w:spacing w:after="0" w:line="205" w:lineRule="exact"/>
        <w:rPr>
          <w:rFonts w:ascii="Arial" w:cs="Arial" w:eastAsia="Arial" w:hAnsi="Arial"/>
          <w:sz w:val="19"/>
          <w:szCs w:val="19"/>
          <w:color w:val="auto"/>
        </w:rPr>
      </w:pPr>
    </w:p>
    <w:p>
      <w:pPr>
        <w:jc w:val="both"/>
        <w:ind w:left="920" w:hanging="458"/>
        <w:spacing w:after="0" w:line="292" w:lineRule="auto"/>
        <w:tabs>
          <w:tab w:leader="none" w:pos="920" w:val="left"/>
        </w:tabs>
        <w:numPr>
          <w:ilvl w:val="0"/>
          <w:numId w:val="79"/>
        </w:numPr>
        <w:rPr>
          <w:rFonts w:ascii="Arial" w:cs="Arial" w:eastAsia="Arial" w:hAnsi="Arial"/>
          <w:sz w:val="18"/>
          <w:szCs w:val="18"/>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Unobservable inputs that are supported by little or no market activity and that are significant to determining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of the assets or liabilities, including pricing models, discounted cash flow methodologies and similar techniques.</w:t>
      </w:r>
    </w:p>
    <w:p>
      <w:pPr>
        <w:spacing w:after="0" w:line="19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To the extent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24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9"/>
          <w:szCs w:val="19"/>
          <w:color w:val="auto"/>
        </w:rPr>
        <w:t>The carrying values of the Company’s cash, collaboration and license agreement receivables, prepaid expenses, accounts payable and accrued expenses approximate their fair value due to their short-term nature.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Common Stock Warrants</w:t>
      </w:r>
    </w:p>
    <w:p>
      <w:pPr>
        <w:spacing w:after="0" w:line="26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 xml:space="preserve">The Company accounts for warrants to purchase shares of its common stock in accordance with the guidance in ASC 480, </w:t>
      </w:r>
      <w:r>
        <w:rPr>
          <w:rFonts w:ascii="Times New Roman" w:cs="Times New Roman" w:eastAsia="Times New Roman" w:hAnsi="Times New Roman"/>
          <w:sz w:val="19"/>
          <w:szCs w:val="19"/>
          <w:i w:val="1"/>
          <w:iCs w:val="1"/>
          <w:color w:val="auto"/>
        </w:rPr>
        <w:t xml:space="preserve">Distinguishing Liabilities from Equity </w:t>
      </w:r>
      <w:r>
        <w:rPr>
          <w:rFonts w:ascii="Times New Roman" w:cs="Times New Roman" w:eastAsia="Times New Roman" w:hAnsi="Times New Roman"/>
          <w:sz w:val="19"/>
          <w:szCs w:val="19"/>
          <w:color w:val="auto"/>
        </w:rPr>
        <w:t>(“ASC 480”) and ASC 815,</w:t>
      </w:r>
      <w:r>
        <w:rPr>
          <w:rFonts w:ascii="Times New Roman" w:cs="Times New Roman" w:eastAsia="Times New Roman" w:hAnsi="Times New Roman"/>
          <w:sz w:val="19"/>
          <w:szCs w:val="19"/>
          <w:i w:val="1"/>
          <w:iCs w:val="1"/>
          <w:color w:val="auto"/>
        </w:rPr>
        <w:t xml:space="preserve"> Derivatives and Hedging </w:t>
      </w:r>
      <w:r>
        <w:rPr>
          <w:rFonts w:ascii="Times New Roman" w:cs="Times New Roman" w:eastAsia="Times New Roman" w:hAnsi="Times New Roman"/>
          <w:sz w:val="19"/>
          <w:szCs w:val="19"/>
          <w:color w:val="auto"/>
        </w:rPr>
        <w:t>(“ASC 815”). The Company classifies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warrants issued for the purchase of shares of its common stock as either equity or liability instruments based on an assessment of the specific terms and conditions of each respective contract. Such assessment includes determining whether the warrants are freestanding financial instruments or embedded in a host instrument, whether the warrants are liabilities within the scope of ASC 480, whether the warrants meet the definition of a derivative in ASC 815 and whether the warrants meet the requirements for equity classification pursuant to the indexation and equity classification criteria in ASC 815.</w:t>
      </w:r>
    </w:p>
    <w:p>
      <w:pPr>
        <w:spacing w:after="0" w:line="2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The Company determines the classification for its warrants at the time of issuance and updates its assessment as necessary. Warrants that meet all of the criteria for equity classification are recorded as a component of additional paid-in capital and are not subsequently remeasured. Warrants that are classified as liabilities are recorded at fair value on the issuance date and remeasured to fair value at each reporting period, with the change in fair value recorded as a component of other income, net, on the consolidated statements of operations and comprehensive loss.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Property and Equipment</w:t>
      </w:r>
    </w:p>
    <w:p>
      <w:pPr>
        <w:spacing w:after="0" w:line="26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9"/>
          <w:szCs w:val="19"/>
          <w:color w:val="auto"/>
        </w:rPr>
        <w:t>Property and equipment is stated at cost, net of accumulated depreciation and amortization. Depreciation and amortization are calculated using the straight-line method over the estimated useful lives of the assets, which are as follows:</w:t>
      </w:r>
    </w:p>
    <w:p>
      <w:pPr>
        <w:spacing w:after="0" w:line="330" w:lineRule="exact"/>
        <w:rPr>
          <w:sz w:val="20"/>
          <w:szCs w:val="20"/>
          <w:color w:val="auto"/>
        </w:rPr>
      </w:pPr>
    </w:p>
    <w:tbl>
      <w:tblPr>
        <w:tblLayout w:type="fixed"/>
        <w:tblInd w:w="1020" w:type="dxa"/>
        <w:tblCellMar>
          <w:top w:w="0" w:type="dxa"/>
          <w:left w:w="0" w:type="dxa"/>
          <w:bottom w:w="0" w:type="dxa"/>
          <w:right w:w="0" w:type="dxa"/>
        </w:tblCellMar>
      </w:tblPr>
      <w:tr>
        <w:trPr>
          <w:trHeight w:val="219"/>
        </w:trPr>
        <w:tc>
          <w:tcPr>
            <w:tcW w:w="3340" w:type="dxa"/>
            <w:vAlign w:val="bottom"/>
            <w:tcBorders>
              <w:bottom w:val="single" w:sz="8" w:color="D5EEEE"/>
            </w:tcBorders>
          </w:tcPr>
          <w:p>
            <w:pPr>
              <w:spacing w:after="0"/>
              <w:rPr>
                <w:sz w:val="19"/>
                <w:szCs w:val="19"/>
                <w:color w:val="auto"/>
              </w:rPr>
            </w:pPr>
          </w:p>
        </w:tc>
        <w:tc>
          <w:tcPr>
            <w:tcW w:w="4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8"/>
              </w:rPr>
              <w:t>Estimated Useful Life</w:t>
            </w:r>
          </w:p>
        </w:tc>
      </w:tr>
      <w:tr>
        <w:trPr>
          <w:trHeight w:val="207"/>
        </w:trPr>
        <w:tc>
          <w:tcPr>
            <w:tcW w:w="3340" w:type="dxa"/>
            <w:vAlign w:val="bottom"/>
            <w:shd w:val="clear" w:color="auto" w:fill="D5EEEE"/>
          </w:tcPr>
          <w:p>
            <w:pPr>
              <w:spacing w:after="0" w:line="206" w:lineRule="exact"/>
              <w:rPr>
                <w:sz w:val="20"/>
                <w:szCs w:val="20"/>
                <w:color w:val="auto"/>
              </w:rPr>
            </w:pPr>
            <w:r>
              <w:rPr>
                <w:rFonts w:ascii="Times New Roman" w:cs="Times New Roman" w:eastAsia="Times New Roman" w:hAnsi="Times New Roman"/>
                <w:sz w:val="19"/>
                <w:szCs w:val="19"/>
                <w:color w:val="auto"/>
              </w:rPr>
              <w:t>Computers and software</w:t>
            </w:r>
          </w:p>
        </w:tc>
        <w:tc>
          <w:tcPr>
            <w:tcW w:w="4820" w:type="dxa"/>
            <w:vAlign w:val="bottom"/>
            <w:shd w:val="clear" w:color="auto" w:fill="D5EEEE"/>
          </w:tcPr>
          <w:p>
            <w:pPr>
              <w:jc w:val="center"/>
              <w:spacing w:after="0" w:line="206" w:lineRule="exact"/>
              <w:rPr>
                <w:sz w:val="20"/>
                <w:szCs w:val="20"/>
                <w:color w:val="auto"/>
              </w:rPr>
            </w:pPr>
            <w:r>
              <w:rPr>
                <w:rFonts w:ascii="Times New Roman" w:cs="Times New Roman" w:eastAsia="Times New Roman" w:hAnsi="Times New Roman"/>
                <w:sz w:val="19"/>
                <w:szCs w:val="19"/>
                <w:color w:val="auto"/>
                <w:w w:val="99"/>
              </w:rPr>
              <w:t>3 years</w:t>
            </w:r>
          </w:p>
        </w:tc>
      </w:tr>
      <w:tr>
        <w:trPr>
          <w:trHeight w:val="217"/>
        </w:trPr>
        <w:tc>
          <w:tcPr>
            <w:tcW w:w="334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Laboratory equipment</w:t>
            </w:r>
          </w:p>
        </w:tc>
        <w:tc>
          <w:tcPr>
            <w:tcW w:w="4820" w:type="dxa"/>
            <w:vAlign w:val="bottom"/>
          </w:tcPr>
          <w:p>
            <w:pPr>
              <w:jc w:val="center"/>
              <w:spacing w:after="0" w:line="216" w:lineRule="exact"/>
              <w:rPr>
                <w:sz w:val="20"/>
                <w:szCs w:val="20"/>
                <w:color w:val="auto"/>
              </w:rPr>
            </w:pPr>
            <w:r>
              <w:rPr>
                <w:rFonts w:ascii="Times New Roman" w:cs="Times New Roman" w:eastAsia="Times New Roman" w:hAnsi="Times New Roman"/>
                <w:sz w:val="19"/>
                <w:szCs w:val="19"/>
                <w:color w:val="auto"/>
                <w:w w:val="99"/>
              </w:rPr>
              <w:t>5 years</w:t>
            </w:r>
          </w:p>
        </w:tc>
      </w:tr>
      <w:tr>
        <w:trPr>
          <w:trHeight w:val="218"/>
        </w:trPr>
        <w:tc>
          <w:tcPr>
            <w:tcW w:w="3340" w:type="dxa"/>
            <w:vAlign w:val="bottom"/>
            <w:shd w:val="clear" w:color="auto" w:fill="D5EEEE"/>
          </w:tcPr>
          <w:p>
            <w:pPr>
              <w:spacing w:after="0" w:line="217" w:lineRule="exact"/>
              <w:rPr>
                <w:sz w:val="20"/>
                <w:szCs w:val="20"/>
                <w:color w:val="auto"/>
              </w:rPr>
            </w:pPr>
            <w:r>
              <w:rPr>
                <w:rFonts w:ascii="Times New Roman" w:cs="Times New Roman" w:eastAsia="Times New Roman" w:hAnsi="Times New Roman"/>
                <w:sz w:val="19"/>
                <w:szCs w:val="19"/>
                <w:color w:val="auto"/>
              </w:rPr>
              <w:t>Furniture and fixtures</w:t>
            </w:r>
          </w:p>
        </w:tc>
        <w:tc>
          <w:tcPr>
            <w:tcW w:w="4820" w:type="dxa"/>
            <w:vAlign w:val="bottom"/>
            <w:shd w:val="clear" w:color="auto" w:fill="D5EEEE"/>
          </w:tcPr>
          <w:p>
            <w:pPr>
              <w:jc w:val="center"/>
              <w:spacing w:after="0" w:line="217" w:lineRule="exact"/>
              <w:rPr>
                <w:sz w:val="20"/>
                <w:szCs w:val="20"/>
                <w:color w:val="auto"/>
              </w:rPr>
            </w:pPr>
            <w:r>
              <w:rPr>
                <w:rFonts w:ascii="Times New Roman" w:cs="Times New Roman" w:eastAsia="Times New Roman" w:hAnsi="Times New Roman"/>
                <w:sz w:val="19"/>
                <w:szCs w:val="19"/>
                <w:color w:val="auto"/>
                <w:w w:val="99"/>
              </w:rPr>
              <w:t>5 years</w:t>
            </w:r>
          </w:p>
        </w:tc>
      </w:tr>
      <w:tr>
        <w:trPr>
          <w:trHeight w:val="216"/>
        </w:trPr>
        <w:tc>
          <w:tcPr>
            <w:tcW w:w="334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Leasehold improvements</w:t>
            </w:r>
          </w:p>
        </w:tc>
        <w:tc>
          <w:tcPr>
            <w:tcW w:w="4820" w:type="dxa"/>
            <w:vAlign w:val="bottom"/>
          </w:tcPr>
          <w:p>
            <w:pPr>
              <w:jc w:val="center"/>
              <w:spacing w:after="0" w:line="216" w:lineRule="exact"/>
              <w:rPr>
                <w:sz w:val="20"/>
                <w:szCs w:val="20"/>
                <w:color w:val="auto"/>
              </w:rPr>
            </w:pPr>
            <w:r>
              <w:rPr>
                <w:rFonts w:ascii="Times New Roman" w:cs="Times New Roman" w:eastAsia="Times New Roman" w:hAnsi="Times New Roman"/>
                <w:sz w:val="19"/>
                <w:szCs w:val="19"/>
                <w:color w:val="auto"/>
                <w:w w:val="99"/>
              </w:rPr>
              <w:t>Shorter of the useful life or the remaining term of the lease</w:t>
            </w:r>
          </w:p>
        </w:tc>
      </w:tr>
    </w:tbl>
    <w:p>
      <w:pPr>
        <w:spacing w:after="0" w:line="23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Upon retirement or sale, the cost of assets disposed of and the related accumulated depreciation and amortization are removed from the accounts and any resulting gain or loss is included in loss from operations. Expenditures for repairs and maintenance that do not improve or extend the lives of the respective assets are charged to expense as incurred, while costs of major additions and betterments are capitalized.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Impairment of Long-Lived Assets</w:t>
      </w:r>
    </w:p>
    <w:p>
      <w:pPr>
        <w:spacing w:after="0" w:line="26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periodically evaluates its long-lived assets, which consist of property and equipment, and any leased assets, for impairment whenever events or changes in circumstances indicate that a potential impairment may have occurred. If such events or changes in circumstances arise, the Company compares the carrying amount of the long-lived assets to the estimated future undiscounted cash flows expected to be generated by the long-lived assets. If the estimated aggregate undiscounted cash flows are less</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F-9</w:t>
      </w:r>
    </w:p>
    <w:p>
      <w:pPr>
        <w:sectPr>
          <w:pgSz w:w="12240" w:h="15840" w:orient="portrait"/>
          <w:cols w:equalWidth="0" w:num="1">
            <w:col w:w="10200"/>
          </w:cols>
          <w:pgMar w:left="1020" w:top="1347" w:right="1020" w:bottom="556" w:gutter="0" w:footer="0" w:header="0"/>
        </w:sectPr>
      </w:pPr>
    </w:p>
    <w:bookmarkStart w:id="132" w:name="page133"/>
    <w:bookmarkEnd w:id="132"/>
    <w:p>
      <w:pPr>
        <w:jc w:val="both"/>
        <w:spacing w:after="0" w:line="235" w:lineRule="auto"/>
        <w:rPr>
          <w:sz w:val="20"/>
          <w:szCs w:val="20"/>
          <w:color w:val="auto"/>
        </w:rPr>
      </w:pPr>
      <w:r>
        <w:rPr>
          <w:rFonts w:ascii="Times New Roman" w:cs="Times New Roman" w:eastAsia="Times New Roman" w:hAnsi="Times New Roman"/>
          <w:sz w:val="19"/>
          <w:szCs w:val="19"/>
          <w:color w:val="auto"/>
        </w:rPr>
        <w:t>than the carrying amount of the long-lived assets, an impairment charge, calculated as the amount by which the carrying amount of the assets exceeds the estimated fair value of the assets, is recorded. The estimated fair value of the long-lived assets is determined based on the estimated discounted cash flows expected to be generated from the long-lived assets. The Company did not recognize impairment charges during years ended December 31, 2025 and 2024.</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Leases</w:t>
      </w:r>
    </w:p>
    <w:p>
      <w:pPr>
        <w:spacing w:after="0" w:line="26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The Company determines if an arrangement is or contains a lease at inception. Operating leases are included in right-of-use lease assets (“ROU assets”) and in both the current portion of lease liabilities and long-term lease liabilities on the Company’s consolidated balance sheets. Lease expense for operating leases is recognized on a straight-line basis over the lease term as an operating expense in the consolidated statements of operations and comprehensive loss. Assets subject to finance leases are included in other non-current assets and the related lease obligation is included in other current liabilities and other long-term liabilities on the Company’s consolidated balance sheets. Lease expense for finance leases is recognized as depreciation expense and interest expense in the consolidated statements of operations and comprehensive loss using the effective interest method. The Company has elected the short-term lease recognition exemption for short-term leases, which allows the Company not to recognize lease liabilities and ROU assets on the consolidated balance sheets for leases with an original term of twelve months or less.</w:t>
      </w:r>
    </w:p>
    <w:p>
      <w:pPr>
        <w:spacing w:after="0" w:line="24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ROU assets represent the Company’s right to use an underlying asset for the lease term, and lease liabilities represent the Company’s obligation to make lease payments arising from the lease. Operating lease liabilities and their corresponding ROU assets are initially recorded based on the present value of lease payments over the expected remaining lease term. When determining the lease term, the Company includes options to extend or terminate the lease when it is reasonably certain that the option will be exercised. Certain adjustments to the ROU asset may be required for items such as incentives received. The interest rate implicit in lease contracts is typically not readily determinable. As a result, the Company utilizes its incremental borrowing rate to discount lease payments. The incremental borrowing rate reflects the fixed rate at which the Company could borrow, on a collateralized basis, the amount of the lease payments in the same currency, for a similar term, in a similar economic environment. Prospectively, the Company will adjust the ROU assets for straight-line rent expense or any incentives received and remeasure the lease liability at the net present value using the same incremental borrowing rate that was in effect as of the lease commencement or transition date.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Company has lease agreements with lease and non-lease components, which are accounted for as a combined element.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Research and Development Costs and Related Accruals and Prepaid Expenses</w:t>
      </w:r>
    </w:p>
    <w:p>
      <w:pPr>
        <w:spacing w:after="0" w:line="26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Research and development expenses are expensed as incurred and consist of costs incurred in performing research and development activities, including compensation related expenses for research and development personnel, preclinical and clinical activities including cost of supply and manufacturing process development activities, overhead expenses including facilities expenses, materials and supplies, amounts paid to consultants and outside service providers, and depreciation of equipment. Upfront payments made for the licensing of technology are expensed as research and development expenses in the period in which they are incurred. In general, contingent payments are recognized when it becomes probable the payment will be required. Any contingent payments that qualify as a derivative liability are recognized at fair value on the Company’s consolidated balance sheets. Nonrefundable advance payments for goods or services to be received in the future for use in research and development activities are recorded as prepaid expenses. The prepaid amounts are expensed as the related goods are delivered or the services are performed.</w:t>
      </w:r>
    </w:p>
    <w:p>
      <w:pPr>
        <w:spacing w:after="0" w:line="24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The Company records accruals for estimated ongoing research and development costs, including costs associated with contracts with third-party contract research organizations and contract manufacturing organizations. When evaluating the adequacy of the accrued liabilities, the Company analyzes progress of the preclinical studies or clinical trials, including the phase or completion of events, invoices received and contracted costs. Significant judgments and estimates are made in determining the accrued balances at the end of any reporting period. Actual results could differ from the Company’s estimates. The Company’s historical accrual estimates have not been materially different from the actual costs.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Revenue Recognition</w:t>
      </w:r>
    </w:p>
    <w:p>
      <w:pPr>
        <w:spacing w:after="0" w:line="22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 xml:space="preserve">The Company recognizes revenue in accordance with ASC 606, </w:t>
      </w:r>
      <w:r>
        <w:rPr>
          <w:rFonts w:ascii="Times New Roman" w:cs="Times New Roman" w:eastAsia="Times New Roman" w:hAnsi="Times New Roman"/>
          <w:sz w:val="19"/>
          <w:szCs w:val="19"/>
          <w:i w:val="1"/>
          <w:iCs w:val="1"/>
          <w:color w:val="auto"/>
        </w:rPr>
        <w:t>Revenue from Contracts with Customers</w:t>
      </w:r>
      <w:r>
        <w:rPr>
          <w:rFonts w:ascii="Times New Roman" w:cs="Times New Roman" w:eastAsia="Times New Roman" w:hAnsi="Times New Roman"/>
          <w:sz w:val="19"/>
          <w:szCs w:val="19"/>
          <w:color w:val="auto"/>
        </w:rPr>
        <w:t xml:space="preserve"> (“ASC 606”). The Company has entered into, and may in the future enter into, collaboration and licensing agreements that are within the scope of ASC 606, under which the Company has granted licenses to certain of the Company’s product candidates and performs research, development and other services in connection with such arrangements. The terms of these arrangements may include payment of one or more of the following: non-refundable upfront fees; reimbursement of research and development costs; development, regulatory and sales-based milestone payments; and royalties on annual net sales of licensed products.</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 ASC 606, the Company recognizes revenue when its customer obtains control of promised goods or services, in an amount that</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F-10</w:t>
      </w:r>
    </w:p>
    <w:p>
      <w:pPr>
        <w:sectPr>
          <w:pgSz w:w="12240" w:h="15840" w:orient="portrait"/>
          <w:cols w:equalWidth="0" w:num="1">
            <w:col w:w="10200"/>
          </w:cols>
          <w:pgMar w:left="1020" w:top="1347" w:right="1020" w:bottom="556" w:gutter="0" w:footer="0" w:header="0"/>
        </w:sectPr>
      </w:pPr>
    </w:p>
    <w:bookmarkStart w:id="133" w:name="page134"/>
    <w:bookmarkEnd w:id="133"/>
    <w:p>
      <w:pPr>
        <w:jc w:val="both"/>
        <w:spacing w:after="0" w:line="236" w:lineRule="auto"/>
        <w:rPr>
          <w:sz w:val="20"/>
          <w:szCs w:val="20"/>
          <w:color w:val="auto"/>
        </w:rPr>
      </w:pPr>
      <w:r>
        <w:rPr>
          <w:rFonts w:ascii="Times New Roman" w:cs="Times New Roman" w:eastAsia="Times New Roman" w:hAnsi="Times New Roman"/>
          <w:sz w:val="19"/>
          <w:szCs w:val="19"/>
          <w:color w:val="auto"/>
        </w:rPr>
        <w:t>reflects the consideration which the entity expects to receive in exchange for those goods or services. To determine the appropriate amount of revenue to be recognized for arrangements that the Company determines are within the scope of ASC 606, the Company performs the following five steps: (i) identification of the contract with the customer;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w:t>
      </w:r>
    </w:p>
    <w:p>
      <w:pPr>
        <w:spacing w:after="0" w:line="218" w:lineRule="exact"/>
        <w:rPr>
          <w:sz w:val="20"/>
          <w:szCs w:val="20"/>
          <w:color w:val="auto"/>
        </w:rPr>
      </w:pPr>
    </w:p>
    <w:p>
      <w:pPr>
        <w:jc w:val="both"/>
        <w:ind w:left="920" w:hanging="458"/>
        <w:spacing w:after="0" w:line="241" w:lineRule="auto"/>
        <w:tabs>
          <w:tab w:leader="none" w:pos="920" w:val="left"/>
        </w:tabs>
        <w:numPr>
          <w:ilvl w:val="0"/>
          <w:numId w:val="80"/>
        </w:numPr>
        <w:rPr>
          <w:rFonts w:ascii="Arial" w:cs="Arial" w:eastAsia="Arial" w:hAnsi="Arial"/>
          <w:sz w:val="19"/>
          <w:szCs w:val="19"/>
          <w:color w:val="auto"/>
        </w:rPr>
      </w:pPr>
      <w:r>
        <w:rPr>
          <w:rFonts w:ascii="Times New Roman" w:cs="Times New Roman" w:eastAsia="Times New Roman" w:hAnsi="Times New Roman"/>
          <w:sz w:val="19"/>
          <w:szCs w:val="19"/>
          <w:i w:val="1"/>
          <w:iCs w:val="1"/>
          <w:color w:val="auto"/>
        </w:rPr>
        <w:t>Performance Obligations</w:t>
      </w:r>
      <w:r>
        <w:rPr>
          <w:rFonts w:ascii="Times New Roman" w:cs="Times New Roman" w:eastAsia="Times New Roman" w:hAnsi="Times New Roman"/>
          <w:sz w:val="19"/>
          <w:szCs w:val="19"/>
          <w:color w:val="auto"/>
        </w:rPr>
        <w:t>. The promised goods or services in the Company’s arrangements typically consist of a license,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or option to license, rights to the Company’s intellectual property or research and development services. The Company may provide options to additional items in such arrangements, which are accounted for as separate contracts when the customer elects to exercise such options, unless the option provides a material right to the customer. Performance obligations are promised goods or services in a contract to transfer a distinct good or service to the customer and are considered distinct when (i) the customer can benefit from the good or service on its own or together with other readily available resources and (ii) the promised good or service is separately identifiable from other promises in the contract. In assessing whether promised goods or services are distinct, the Company considers factors such as the stage of development of the underlying intellectual property, the capabilities of the customer to develop the intellectual property on its own or whether the required expertise is readily available and whether the goods or services are integral or dependent to other goods or services in the contract.</w:t>
      </w:r>
    </w:p>
    <w:p>
      <w:pPr>
        <w:spacing w:after="0" w:line="215" w:lineRule="exact"/>
        <w:rPr>
          <w:rFonts w:ascii="Arial" w:cs="Arial" w:eastAsia="Arial" w:hAnsi="Arial"/>
          <w:sz w:val="19"/>
          <w:szCs w:val="19"/>
          <w:color w:val="auto"/>
        </w:rPr>
      </w:pPr>
    </w:p>
    <w:p>
      <w:pPr>
        <w:jc w:val="both"/>
        <w:ind w:left="920" w:hanging="457"/>
        <w:spacing w:after="0" w:line="241" w:lineRule="auto"/>
        <w:tabs>
          <w:tab w:leader="none" w:pos="920" w:val="left"/>
        </w:tabs>
        <w:numPr>
          <w:ilvl w:val="0"/>
          <w:numId w:val="80"/>
        </w:numPr>
        <w:rPr>
          <w:rFonts w:ascii="Arial" w:cs="Arial" w:eastAsia="Arial" w:hAnsi="Arial"/>
          <w:sz w:val="19"/>
          <w:szCs w:val="19"/>
          <w:color w:val="auto"/>
        </w:rPr>
      </w:pPr>
      <w:r>
        <w:rPr>
          <w:rFonts w:ascii="Times New Roman" w:cs="Times New Roman" w:eastAsia="Times New Roman" w:hAnsi="Times New Roman"/>
          <w:sz w:val="19"/>
          <w:szCs w:val="19"/>
          <w:i w:val="1"/>
          <w:iCs w:val="1"/>
          <w:color w:val="auto"/>
        </w:rPr>
        <w:t xml:space="preserve">Customer Options. </w:t>
      </w:r>
      <w:r>
        <w:rPr>
          <w:rFonts w:ascii="Times New Roman" w:cs="Times New Roman" w:eastAsia="Times New Roman" w:hAnsi="Times New Roman"/>
          <w:sz w:val="19"/>
          <w:szCs w:val="19"/>
          <w:color w:val="auto"/>
        </w:rPr>
        <w:t>If an arrangement is determined to contain customer options that allow the customer to acquire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additional goods or services, the goods and services underlying the customer options that are not determined to be material rights are not considered to be performance obligations at the outset of the arrangement, as they are contingent upon option exercise. The Company evaluates the customer options for material rights, or options to acquire additional goods or services for free or at a discount. If the customer options are determined to represent a material right, the material right is recognized as a separate performance obligation at the outset of the arrangement. The Company allocates the transaction price to material rights based on the relative standalone selling price, which is determined based on the identified discount and the probability that the customer will exercise the option. Amounts allocated to a material right are not recognized as revenue until, at the earliest, the option is exercised or the option expires.</w:t>
      </w:r>
    </w:p>
    <w:p>
      <w:pPr>
        <w:spacing w:after="0" w:line="219" w:lineRule="exact"/>
        <w:rPr>
          <w:rFonts w:ascii="Arial" w:cs="Arial" w:eastAsia="Arial" w:hAnsi="Arial"/>
          <w:sz w:val="19"/>
          <w:szCs w:val="19"/>
          <w:color w:val="auto"/>
        </w:rPr>
      </w:pPr>
    </w:p>
    <w:p>
      <w:pPr>
        <w:jc w:val="both"/>
        <w:ind w:left="920" w:hanging="457"/>
        <w:spacing w:after="0" w:line="241" w:lineRule="auto"/>
        <w:tabs>
          <w:tab w:leader="none" w:pos="920" w:val="left"/>
        </w:tabs>
        <w:numPr>
          <w:ilvl w:val="0"/>
          <w:numId w:val="80"/>
        </w:numPr>
        <w:rPr>
          <w:rFonts w:ascii="Arial" w:cs="Arial" w:eastAsia="Arial" w:hAnsi="Arial"/>
          <w:sz w:val="19"/>
          <w:szCs w:val="19"/>
          <w:color w:val="auto"/>
        </w:rPr>
      </w:pPr>
      <w:r>
        <w:rPr>
          <w:rFonts w:ascii="Times New Roman" w:cs="Times New Roman" w:eastAsia="Times New Roman" w:hAnsi="Times New Roman"/>
          <w:sz w:val="19"/>
          <w:szCs w:val="19"/>
          <w:i w:val="1"/>
          <w:iCs w:val="1"/>
          <w:color w:val="auto"/>
        </w:rPr>
        <w:t>Transaction Price</w:t>
      </w:r>
      <w:r>
        <w:rPr>
          <w:rFonts w:ascii="Times New Roman" w:cs="Times New Roman" w:eastAsia="Times New Roman" w:hAnsi="Times New Roman"/>
          <w:sz w:val="19"/>
          <w:szCs w:val="19"/>
          <w:color w:val="auto"/>
        </w:rPr>
        <w:t>. The Company estimates the transaction price based on the amount expected to be received for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transferring the promised goods or services in the contract. The consideration may include fixed consideration or variable consideration. At the inception of each arrangement that includes variable consideration, the Company evaluates the amount of potential payments and the likelihood that the payments will be received. The Company utilizes either the most likely amount method or expected value method to estimate the amount expected to be received based on which method best predicts the amount expected to be received. The amount of variable consideration that is included in the transaction price may be constrained and is included in the transaction price only to the extent that it is probable that a significant reversal in the amount of the cumulative revenue recognized will not occur in a future period. At the end of each subsequent reporting period, the Company reevaluates the probability of achievement of all variable consideration subject to constraint, and if necessary, adjusts its estimate of the overall transaction price. Any such adjustments are recorded on a cumulative catch-up basis, which would affect revenues in the period of adjustment.</w:t>
      </w:r>
    </w:p>
    <w:p>
      <w:pPr>
        <w:spacing w:after="0" w:line="23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The Company allocates the transaction price to the identified performance obligations based on the estimated standalone selling price. The Company must develop assumptions that require judgment to determine the standalone selling price for each performance obligation identified in the contract. The Company utilizes key assumptions to determine the standalone selling price, which may include other comparable transactions, pricing considered in negotiating the transaction and the estimated costs. Variable consideration is allocated specifically to one or more performance obligations in a contract when the terms of the variable consideration relate to the satisfaction of the performance obligation and the resulting amounts allocated are consistent with the amounts the Company would expect to receive for the satisfaction of each performance obligation.</w:t>
      </w:r>
    </w:p>
    <w:p>
      <w:pPr>
        <w:spacing w:after="0" w:line="221" w:lineRule="exact"/>
        <w:rPr>
          <w:sz w:val="20"/>
          <w:szCs w:val="20"/>
          <w:color w:val="auto"/>
        </w:rPr>
      </w:pPr>
    </w:p>
    <w:p>
      <w:pPr>
        <w:jc w:val="both"/>
        <w:ind w:left="920" w:hanging="457"/>
        <w:spacing w:after="0" w:line="257" w:lineRule="auto"/>
        <w:tabs>
          <w:tab w:leader="none" w:pos="920" w:val="left"/>
        </w:tabs>
        <w:numPr>
          <w:ilvl w:val="0"/>
          <w:numId w:val="81"/>
        </w:numPr>
        <w:rPr>
          <w:rFonts w:ascii="Arial" w:cs="Arial" w:eastAsia="Arial" w:hAnsi="Arial"/>
          <w:sz w:val="18"/>
          <w:szCs w:val="18"/>
          <w:color w:val="auto"/>
        </w:rPr>
      </w:pPr>
      <w:r>
        <w:rPr>
          <w:rFonts w:ascii="Times New Roman" w:cs="Times New Roman" w:eastAsia="Times New Roman" w:hAnsi="Times New Roman"/>
          <w:sz w:val="18"/>
          <w:szCs w:val="18"/>
          <w:i w:val="1"/>
          <w:iCs w:val="1"/>
          <w:color w:val="auto"/>
        </w:rPr>
        <w:t xml:space="preserve">Milestone Payments. </w:t>
      </w:r>
      <w:r>
        <w:rPr>
          <w:rFonts w:ascii="Times New Roman" w:cs="Times New Roman" w:eastAsia="Times New Roman" w:hAnsi="Times New Roman"/>
          <w:sz w:val="18"/>
          <w:szCs w:val="18"/>
          <w:color w:val="auto"/>
        </w:rPr>
        <w:t>At the inception of each arrangement that includes development or regulatory milestone payments,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evaluates whether the milestones are considered probable of being achieved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Company’s control or the licensee’s control, such as regulatory approvals, are not considered probable of being achieved until those approvals are received. The Company evaluates factors such as the scientific, clinical, regulatory, commercial, and other risks that must be overcome to achieve the particular milestone in making this assessment. There is considerable judgment involved in determining whether it is probable that a significant revenue reversal would not occur.</w:t>
      </w:r>
    </w:p>
    <w:p>
      <w:pPr>
        <w:sectPr>
          <w:pgSz w:w="12240" w:h="15840" w:orient="portrait"/>
          <w:cols w:equalWidth="0" w:num="1">
            <w:col w:w="10200"/>
          </w:cols>
          <w:pgMar w:left="1020" w:top="1347" w:right="1020" w:bottom="5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F-11</w:t>
      </w:r>
    </w:p>
    <w:p>
      <w:pPr>
        <w:sectPr>
          <w:pgSz w:w="12240" w:h="15840" w:orient="portrait"/>
          <w:cols w:equalWidth="0" w:num="1">
            <w:col w:w="10200"/>
          </w:cols>
          <w:pgMar w:left="1020" w:top="1347" w:right="1020" w:bottom="556" w:gutter="0" w:footer="0" w:header="0"/>
          <w:type w:val="continuous"/>
        </w:sectPr>
      </w:pPr>
    </w:p>
    <w:bookmarkStart w:id="134" w:name="page135"/>
    <w:bookmarkEnd w:id="134"/>
    <w:p>
      <w:pPr>
        <w:jc w:val="both"/>
        <w:ind w:left="920" w:hanging="458"/>
        <w:spacing w:after="0" w:line="245" w:lineRule="auto"/>
        <w:tabs>
          <w:tab w:leader="none" w:pos="920" w:val="left"/>
        </w:tabs>
        <w:numPr>
          <w:ilvl w:val="0"/>
          <w:numId w:val="82"/>
        </w:numPr>
        <w:rPr>
          <w:rFonts w:ascii="Arial" w:cs="Arial" w:eastAsia="Arial" w:hAnsi="Arial"/>
          <w:sz w:val="19"/>
          <w:szCs w:val="19"/>
          <w:color w:val="auto"/>
        </w:rPr>
      </w:pPr>
      <w:r>
        <w:rPr>
          <w:rFonts w:ascii="Times New Roman" w:cs="Times New Roman" w:eastAsia="Times New Roman" w:hAnsi="Times New Roman"/>
          <w:sz w:val="19"/>
          <w:szCs w:val="19"/>
          <w:i w:val="1"/>
          <w:iCs w:val="1"/>
          <w:color w:val="auto"/>
        </w:rPr>
        <w:t xml:space="preserve">Royalties. </w:t>
      </w:r>
      <w:r>
        <w:rPr>
          <w:rFonts w:ascii="Times New Roman" w:cs="Times New Roman" w:eastAsia="Times New Roman" w:hAnsi="Times New Roman"/>
          <w:sz w:val="19"/>
          <w:szCs w:val="19"/>
          <w:color w:val="auto"/>
        </w:rPr>
        <w:t>For arrangements that include sales-based royalties, including milestone payments based on the level of sales,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and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resulting from any of the Company’s collaboration or licensing arrangements.</w:t>
      </w:r>
    </w:p>
    <w:p>
      <w:pPr>
        <w:spacing w:after="0" w:line="210" w:lineRule="exact"/>
        <w:rPr>
          <w:rFonts w:ascii="Arial" w:cs="Arial" w:eastAsia="Arial" w:hAnsi="Arial"/>
          <w:sz w:val="19"/>
          <w:szCs w:val="19"/>
          <w:color w:val="auto"/>
        </w:rPr>
      </w:pPr>
    </w:p>
    <w:p>
      <w:pPr>
        <w:jc w:val="both"/>
        <w:ind w:left="920" w:hanging="458"/>
        <w:spacing w:after="0" w:line="243" w:lineRule="auto"/>
        <w:tabs>
          <w:tab w:leader="none" w:pos="920" w:val="left"/>
        </w:tabs>
        <w:numPr>
          <w:ilvl w:val="0"/>
          <w:numId w:val="82"/>
        </w:numPr>
        <w:rPr>
          <w:rFonts w:ascii="Arial" w:cs="Arial" w:eastAsia="Arial" w:hAnsi="Arial"/>
          <w:sz w:val="19"/>
          <w:szCs w:val="19"/>
          <w:color w:val="auto"/>
        </w:rPr>
      </w:pPr>
      <w:r>
        <w:rPr>
          <w:rFonts w:ascii="Times New Roman" w:cs="Times New Roman" w:eastAsia="Times New Roman" w:hAnsi="Times New Roman"/>
          <w:sz w:val="19"/>
          <w:szCs w:val="19"/>
          <w:i w:val="1"/>
          <w:iCs w:val="1"/>
          <w:color w:val="auto"/>
        </w:rPr>
        <w:t xml:space="preserve">Recognition. </w:t>
      </w:r>
      <w:r>
        <w:rPr>
          <w:rFonts w:ascii="Times New Roman" w:cs="Times New Roman" w:eastAsia="Times New Roman" w:hAnsi="Times New Roman"/>
          <w:sz w:val="19"/>
          <w:szCs w:val="19"/>
          <w:color w:val="auto"/>
        </w:rPr>
        <w:t>The consideration allocated to each performance obligation is recognized as revenue when control is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transferred for the related goods or services. For performance obligations that consist of licenses and other promises, the Company utilizes judgment to assess the nature of the combined performance obligation to determine whether the combined performance obligation is satisfied over time or at a point in time and, if over time, the appropriate method of measuring progress. The Company evaluates the measure of progress each reporting period and, if necessary, adjusts the measure of performance and related revenue recognition.</w:t>
      </w:r>
    </w:p>
    <w:p>
      <w:pPr>
        <w:spacing w:after="0" w:line="23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The Company receives payments from its customers based on billing schedules established in each contract. Non-refundable upfront payments are included in the estimation of the transaction price, allocated to the performance obligation(s) based upon relative standalone selling price and recognized for each performance obligation based upon the measure of progress (point in time or over time) for each performance obligation. Payments received for goods and services not yet provided are recorded as deferred revenue. Amounts are recorded as accounts receivable when the Company’s right to consideration is unconditional.</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Collaboration Agreements</w:t>
      </w:r>
    </w:p>
    <w:p>
      <w:pPr>
        <w:spacing w:after="0" w:line="26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 xml:space="preserve">The Company analyzes its collaboration agreements to assess whether such arrangements involve joint operating activities performed by parties that are both active participants in the activities and exposed to significant risks and rewards dependent on the commercial success of such activities and therefore within the scope of ASC 808, </w:t>
      </w:r>
      <w:r>
        <w:rPr>
          <w:rFonts w:ascii="Times New Roman" w:cs="Times New Roman" w:eastAsia="Times New Roman" w:hAnsi="Times New Roman"/>
          <w:sz w:val="19"/>
          <w:szCs w:val="19"/>
          <w:i w:val="1"/>
          <w:iCs w:val="1"/>
          <w:color w:val="auto"/>
        </w:rPr>
        <w:t>Collaborative Arrangements</w:t>
      </w:r>
      <w:r>
        <w:rPr>
          <w:rFonts w:ascii="Times New Roman" w:cs="Times New Roman" w:eastAsia="Times New Roman" w:hAnsi="Times New Roman"/>
          <w:sz w:val="19"/>
          <w:szCs w:val="19"/>
          <w:color w:val="auto"/>
        </w:rPr>
        <w:t xml:space="preserve"> (“ASC 808”). For arrangements within the scope of ASC 808 that contain multiple elements, the Company first determines which elements of the collaboration are deemed to be within the scope of ASC 808 and which elements of the collaboration are more reflective of a vendor-customer relationship and therefore within the scope of ASC 606, </w:t>
      </w:r>
      <w:r>
        <w:rPr>
          <w:rFonts w:ascii="Times New Roman" w:cs="Times New Roman" w:eastAsia="Times New Roman" w:hAnsi="Times New Roman"/>
          <w:sz w:val="19"/>
          <w:szCs w:val="19"/>
          <w:i w:val="1"/>
          <w:iCs w:val="1"/>
          <w:color w:val="auto"/>
        </w:rPr>
        <w:t>Revenue from Contracts with Customers</w:t>
      </w:r>
      <w:r>
        <w:rPr>
          <w:rFonts w:ascii="Times New Roman" w:cs="Times New Roman" w:eastAsia="Times New Roman" w:hAnsi="Times New Roman"/>
          <w:sz w:val="19"/>
          <w:szCs w:val="19"/>
          <w:color w:val="auto"/>
        </w:rPr>
        <w:t xml:space="preserve"> (“ASC 606”). For elements of collaboration arrangements that are accounted for pursuant to ASC 808, an appropriate recognition method is determined and applied consistently, either by analogy to authoritative accounting literature or by applying a reasonable and rational policy election. For collaboration agreements where the Company is reimbursed for a portion of its research and development expenses or participates in the cost-sharing of such research and development expenses, such reimbursements and cost-sharing arrangements are reflected as a reduction of research and development expenses in the Company’s consolidated statements of operations and comprehensive loss, as the Company does not consider performing research and development services for reimbursement to be a part of its ongoing major or central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Patent Costs</w:t>
      </w:r>
    </w:p>
    <w:p>
      <w:pPr>
        <w:spacing w:after="0" w:line="26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9"/>
          <w:szCs w:val="19"/>
          <w:color w:val="auto"/>
        </w:rPr>
        <w:t>All patent-related costs incurred in connection with filing and prosecuting patent applications are expensed as incurred due to the uncertainty about the recovery of the expenditure. Amounts incurred are classified as general and administrative expenses in the accompanying consolidated statements of operations and comprehensive loss.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Stock-Based Compensation</w:t>
      </w:r>
    </w:p>
    <w:p>
      <w:pPr>
        <w:spacing w:after="0" w:line="26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 xml:space="preserve">The Company issues stock-based awards to employees, directors and non-employees, generally in the form of stock options or restricted stock units. The Company measures employee stock-based compensation based on the grant date fair value of the stock-based awards and recognizes stock-based compensation expense on a straight-line basis for awards subject to a service condition over the requisite service period of the awards, which is generally the vesting period of the respective award, in accordance with ASC 718, </w:t>
      </w:r>
      <w:r>
        <w:rPr>
          <w:rFonts w:ascii="Times New Roman" w:cs="Times New Roman" w:eastAsia="Times New Roman" w:hAnsi="Times New Roman"/>
          <w:sz w:val="19"/>
          <w:szCs w:val="19"/>
          <w:i w:val="1"/>
          <w:iCs w:val="1"/>
          <w:color w:val="auto"/>
        </w:rPr>
        <w:t xml:space="preserve">Compensation—Stock Compensation </w:t>
      </w:r>
      <w:r>
        <w:rPr>
          <w:rFonts w:ascii="Times New Roman" w:cs="Times New Roman" w:eastAsia="Times New Roman" w:hAnsi="Times New Roman"/>
          <w:sz w:val="19"/>
          <w:szCs w:val="19"/>
          <w:color w:val="auto"/>
        </w:rPr>
        <w:t>(“ASC 718”). The Company recognizes stock-based compensation expense for awards with a</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performance condition when the condition becomes probable using the accelerated attribution method. The Company recognizes forfeitures as they occur. ASC 718 requires all stock-based payments to employees, which includes grants of employee stock awards, to be recognized in the consolidated statements of operations and comprehensive loss based on their grant date fair values.</w:t>
      </w:r>
    </w:p>
    <w:p>
      <w:pPr>
        <w:spacing w:after="0" w:line="23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There are significant judgments and estimates inherent in the determination of the fair value of stock-based awards. The Company considers the fair value of common stock to be equal to its current share price. The grant date fair value of restricted stock units is estimated to be equal to the closing price of the Company’s common stock on the date of grant. The Company estimates the fair value of stock options using the Black-Scholes option pricing model, which uses as inputs the estimated fair value of common stock, and certain management estimates, including the expected stock price volatility, the expected term of the award, the risk-free rate, and expected dividends. Expected volatility is calculated based on reported volatility data for a representative group of publicly traded companies for which historical information is available. The Company selects companies with comparable characteristics with</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F-12</w:t>
      </w:r>
    </w:p>
    <w:p>
      <w:pPr>
        <w:sectPr>
          <w:pgSz w:w="12240" w:h="15840" w:orient="portrait"/>
          <w:cols w:equalWidth="0" w:num="1">
            <w:col w:w="10200"/>
          </w:cols>
          <w:pgMar w:left="1020" w:top="1324" w:right="1020" w:bottom="556" w:gutter="0" w:footer="0" w:header="0"/>
        </w:sectPr>
      </w:pPr>
    </w:p>
    <w:bookmarkStart w:id="135" w:name="page136"/>
    <w:bookmarkEnd w:id="135"/>
    <w:p>
      <w:pPr>
        <w:jc w:val="both"/>
        <w:spacing w:after="0" w:line="237" w:lineRule="auto"/>
        <w:rPr>
          <w:sz w:val="20"/>
          <w:szCs w:val="20"/>
          <w:color w:val="auto"/>
        </w:rPr>
      </w:pPr>
      <w:r>
        <w:rPr>
          <w:rFonts w:ascii="Times New Roman" w:cs="Times New Roman" w:eastAsia="Times New Roman" w:hAnsi="Times New Roman"/>
          <w:sz w:val="19"/>
          <w:szCs w:val="19"/>
          <w:color w:val="auto"/>
        </w:rPr>
        <w:t xml:space="preserve">historical share price information that approximates the expected term of the stock-based awards. The Company computes the historical volatility data using the daily closing prices for the selected companies’ shares during the equivalent period that approximates the calculated expected term of the stock options. The Company will continue to apply this method until a sufficient amount of historical information regarding the volatility of its stock price becomes available or until circumstances change, such that the identified entities are no longer representative companies. In the latter case, more suitable, similar entities whose share prices are publicly available would be utilized in the calculation. The Company weighs the historical volatility of its own stock price and the historical volatility of a representative group of public companies for the computation of expected volatility used for estimating the fair value of option grants. Annually, the Company will increase the weighting on the historical volatility of its own stock price over the historical volatility of a representative group of public companies until such time as the Company has a sufficient amount of historical information regarding the volatility of its own stock. The risk-free interest rate is based on the U.S. Treasury yield curve in effect at the time of grant commensurate with the expected term assumption. For stock-based awards that do not contain a performance condition the Company uses the simplified method as prescribed by the SEC Staff Accounting Bulletin No. 107, </w:t>
      </w:r>
      <w:r>
        <w:rPr>
          <w:rFonts w:ascii="Times New Roman" w:cs="Times New Roman" w:eastAsia="Times New Roman" w:hAnsi="Times New Roman"/>
          <w:sz w:val="19"/>
          <w:szCs w:val="19"/>
          <w:i w:val="1"/>
          <w:iCs w:val="1"/>
          <w:color w:val="auto"/>
        </w:rPr>
        <w:t>Share-Based Payment</w:t>
      </w:r>
      <w:r>
        <w:rPr>
          <w:rFonts w:ascii="Times New Roman" w:cs="Times New Roman" w:eastAsia="Times New Roman" w:hAnsi="Times New Roman"/>
          <w:sz w:val="19"/>
          <w:szCs w:val="19"/>
          <w:color w:val="auto"/>
        </w:rPr>
        <w:t>, under which the expected term is presumed to be the midpoint between the vesting date and the end of the contractual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term. The Company utilizes this method due to lack of historical exercise data and the plain nature of its stock-based awards. For stock-based awards that contain a performance condition, the Company estimates the expected term as the average based on the period of time in which the Company expects the stock-based award to be outstanding. The expected dividend yield is assumed to be zero as the Company has no current plans to pay any dividends on common stock.</w:t>
      </w:r>
    </w:p>
    <w:p>
      <w:pPr>
        <w:spacing w:after="0" w:line="25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9"/>
          <w:szCs w:val="19"/>
          <w:color w:val="auto"/>
        </w:rPr>
        <w:t>The Company classifies stock-based compensation expense in its consolidated statements of operations and comprehensive loss consistent with the classification of the award recipient’s salary and related costs or the award recipient’s service payments, as applicable.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Comprehensive Loss</w:t>
      </w:r>
    </w:p>
    <w:p>
      <w:pPr>
        <w:spacing w:after="0" w:line="26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Comprehensive loss is the change in equity of a business enterprise during a period from transactions and other events and circumstances from non-owner sources. Comprehensive loss includes net loss and the change in accumulated other comprehensive loss for the period. The Company did not have any items of comprehensive income or loss other than net loss for years ended December 31, 2025 and 2024.</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Net Loss Per Share</w:t>
      </w:r>
    </w:p>
    <w:p>
      <w:pPr>
        <w:spacing w:after="0" w:line="26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The Company calculates basic net loss per share attributable to common stockholders by dividing the net loss attributable to common stockholders by the weighted average number of common shares outstanding for the period, which includes prefunded warrants to purchase common stock and excludes shares of restricted common stock through the final vesting period that occurred during the year ended December 31, 2024.</w:t>
      </w:r>
    </w:p>
    <w:p>
      <w:pPr>
        <w:spacing w:after="0" w:line="24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Diluted net loss per share is calculated by dividing net loss by the weighted average number of shares of common stock outstanding, as applicable, after giving consideration to the dilutive effect of stock options, restricted stock units, restricted common stock and warrants that are outstanding during the period. The Company has generated a net loss in all periods presented, so the basic and diluted net loss per share are the same, as the inclusion of the potentially dilutive securities would be anti-dilutive.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Income Taxes</w:t>
      </w:r>
    </w:p>
    <w:p>
      <w:pPr>
        <w:spacing w:after="0" w:line="22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color w:val="auto"/>
        </w:rPr>
        <w:t xml:space="preserve">Income taxes are recorded in accordance with ASC 740, </w:t>
      </w:r>
      <w:r>
        <w:rPr>
          <w:rFonts w:ascii="Times New Roman" w:cs="Times New Roman" w:eastAsia="Times New Roman" w:hAnsi="Times New Roman"/>
          <w:sz w:val="19"/>
          <w:szCs w:val="19"/>
          <w:i w:val="1"/>
          <w:iCs w:val="1"/>
          <w:color w:val="auto"/>
        </w:rPr>
        <w:t>Income Taxes</w:t>
      </w:r>
      <w:r>
        <w:rPr>
          <w:rFonts w:ascii="Times New Roman" w:cs="Times New Roman" w:eastAsia="Times New Roman" w:hAnsi="Times New Roman"/>
          <w:sz w:val="19"/>
          <w:szCs w:val="19"/>
          <w:color w:val="auto"/>
        </w:rPr>
        <w:t>, which provides for deferred taxes using an asset and liability approach. Under this method, deferred income tax assets and liabilities are recognized based on future income tax consequences attributable to differences between the financial statement carrying amount of existing assets and liabilities, and their respective income tax basis. Deferred income tax assets and liabilities are measured using enacted income tax rates expected to apply to taxable income in the years in which those temporary differences are expected to be recovered or settled. The effect of changes in income tax rates on deferred income tax assets and liabilities is recognized as income or expense in the period that includes the enactment date and subject to a valuation allowance which is established for any income tax benefits of which future realization is not more likely than not.</w:t>
      </w:r>
    </w:p>
    <w:p>
      <w:pPr>
        <w:spacing w:after="0" w:line="23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The Company provides reserves for potential payments of tax to various tax authorities related to uncertain tax positions. The tax benefits recorded are based on a determination of whether and how much of a tax benefit taken by the Company in its tax filings or positions is “more likely than not” to be realized following resolution of any uncertainty related to the tax benefit, assuming that the matter in question will be raised by the tax authorities. At December 31, 2025 and 2024, the Company had not identified any significant uncertain tax positions.</w:t>
      </w:r>
    </w:p>
    <w:p>
      <w:pPr>
        <w:sectPr>
          <w:pgSz w:w="12240" w:h="15840" w:orient="portrait"/>
          <w:cols w:equalWidth="0" w:num="1">
            <w:col w:w="10200"/>
          </w:cols>
          <w:pgMar w:left="1020" w:top="1347" w:right="1020" w:bottom="5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F-13</w:t>
      </w:r>
    </w:p>
    <w:p>
      <w:pPr>
        <w:sectPr>
          <w:pgSz w:w="12240" w:h="15840" w:orient="portrait"/>
          <w:cols w:equalWidth="0" w:num="1">
            <w:col w:w="10200"/>
          </w:cols>
          <w:pgMar w:left="1020" w:top="1347" w:right="1020" w:bottom="556" w:gutter="0" w:footer="0" w:header="0"/>
          <w:type w:val="continuous"/>
        </w:sectPr>
      </w:pPr>
    </w:p>
    <w:bookmarkStart w:id="136" w:name="page137"/>
    <w:bookmarkEnd w:id="136"/>
    <w:p>
      <w:pPr>
        <w:spacing w:after="0"/>
        <w:rPr>
          <w:sz w:val="20"/>
          <w:szCs w:val="20"/>
          <w:color w:val="auto"/>
        </w:rPr>
      </w:pPr>
      <w:r>
        <w:rPr>
          <w:rFonts w:ascii="Times New Roman" w:cs="Times New Roman" w:eastAsia="Times New Roman" w:hAnsi="Times New Roman"/>
          <w:sz w:val="19"/>
          <w:szCs w:val="19"/>
          <w:b w:val="1"/>
          <w:bCs w:val="1"/>
          <w:i w:val="1"/>
          <w:iCs w:val="1"/>
          <w:color w:val="auto"/>
        </w:rPr>
        <w:t>Recently Adopted Accounting Pronouncements</w:t>
      </w:r>
    </w:p>
    <w:p>
      <w:pPr>
        <w:spacing w:after="0" w:line="225"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9"/>
          <w:szCs w:val="19"/>
          <w:color w:val="auto"/>
        </w:rPr>
        <w:t xml:space="preserve">In December 2023, the FASB issued Accounting Standards Update No. 2023-09, </w:t>
      </w:r>
      <w:r>
        <w:rPr>
          <w:rFonts w:ascii="Times New Roman" w:cs="Times New Roman" w:eastAsia="Times New Roman" w:hAnsi="Times New Roman"/>
          <w:sz w:val="19"/>
          <w:szCs w:val="19"/>
          <w:i w:val="1"/>
          <w:iCs w:val="1"/>
          <w:color w:val="auto"/>
        </w:rPr>
        <w:t>Income Taxes (Topic 740): Improvements to Income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Tax Disclosures </w:t>
      </w:r>
      <w:r>
        <w:rPr>
          <w:rFonts w:ascii="Times New Roman" w:cs="Times New Roman" w:eastAsia="Times New Roman" w:hAnsi="Times New Roman"/>
          <w:sz w:val="19"/>
          <w:szCs w:val="19"/>
          <w:color w:val="auto"/>
        </w:rPr>
        <w:t>(“ASU 2023-09”), which modifies the rules on income tax disclosures to require entities to disclose (1) specific</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categories in the rate reconciliation, (2) the income or loss from continuing operations before income tax expense or benefit (separated between domestic and foreign) and (3) income tax expense or benefit from continuing operations (separated by federal, state and foreign). ASU 2023-09 also requires entities to disclose their income tax payments to international, federal, state and local jurisdictions, among other changes. The Company adopted ASU 2023-09 during the year ended December 31, 2025 on a prospective basis, and the implementation of this standard is reflected in Note 12.</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Recent Accounting Pronouncements Not Yet Adopted</w:t>
      </w:r>
    </w:p>
    <w:p>
      <w:pPr>
        <w:spacing w:after="0" w:line="22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 xml:space="preserve">In November 2024 the FASB issued Accounting Standards Update No. 2024-03, </w:t>
      </w:r>
      <w:r>
        <w:rPr>
          <w:rFonts w:ascii="Times New Roman" w:cs="Times New Roman" w:eastAsia="Times New Roman" w:hAnsi="Times New Roman"/>
          <w:sz w:val="19"/>
          <w:szCs w:val="19"/>
          <w:i w:val="1"/>
          <w:iCs w:val="1"/>
          <w:color w:val="auto"/>
        </w:rPr>
        <w:t>Income Statement—Reporting Comprehensive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Income—Expense Disaggregation Disclosures (Subtopic 220-40): Disaggregation of Income Statement Expenses </w:t>
      </w:r>
      <w:r>
        <w:rPr>
          <w:rFonts w:ascii="Times New Roman" w:cs="Times New Roman" w:eastAsia="Times New Roman" w:hAnsi="Times New Roman"/>
          <w:sz w:val="19"/>
          <w:szCs w:val="19"/>
          <w:color w:val="auto"/>
        </w:rPr>
        <w:t>(“ASU 2024-03”),</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which requires disclosure, in the notes to financial statements, of specified information about certain costs and expenses. The guidance is effective for annual reporting periods beginning after December 15, 2026, and interim reporting periods beginning after December 15, 2027. Early adoption is permitted. The Company is currently evaluating the potential impact of adopting this new guidance on its consolidated financial statements and related disclosures.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3. Fair Value Measurements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Company measures the following liabilities at fair value on a recurring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72390</wp:posOffset>
            </wp:positionV>
            <wp:extent cx="6477000" cy="8312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5">
                      <a:extLst>
                        <a:ext uri="{28A0092B-C50C-407E-A947-70E740481C1C}"/>
                      </a:extLst>
                    </a:blip>
                    <a:srcRect/>
                    <a:stretch>
                      <a:fillRect/>
                    </a:stretch>
                  </pic:blipFill>
                  <pic:spPr bwMode="auto">
                    <a:xfrm>
                      <a:off x="0" y="0"/>
                      <a:ext cx="6477000" cy="831215"/>
                    </a:xfrm>
                    <a:prstGeom prst="rect">
                      <a:avLst/>
                    </a:prstGeom>
                    <a:noFill/>
                  </pic:spPr>
                </pic:pic>
              </a:graphicData>
            </a:graphic>
          </wp:anchor>
        </w:drawing>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center"/>
              <w:ind w:right="58"/>
              <w:spacing w:after="0"/>
              <w:rPr>
                <w:sz w:val="20"/>
                <w:szCs w:val="20"/>
                <w:color w:val="auto"/>
              </w:rPr>
            </w:pPr>
            <w:r>
              <w:rPr>
                <w:rFonts w:ascii="Times New Roman" w:cs="Times New Roman" w:eastAsia="Times New Roman" w:hAnsi="Times New Roman"/>
                <w:sz w:val="15"/>
                <w:szCs w:val="15"/>
                <w:b w:val="1"/>
                <w:bCs w:val="1"/>
                <w:color w:val="auto"/>
              </w:rPr>
              <w:t>Quoted</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7"/>
        </w:trPr>
        <w:tc>
          <w:tcPr>
            <w:tcW w:w="5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center"/>
              <w:ind w:right="58"/>
              <w:spacing w:after="0"/>
              <w:rPr>
                <w:sz w:val="20"/>
                <w:szCs w:val="20"/>
                <w:color w:val="auto"/>
              </w:rPr>
            </w:pPr>
            <w:r>
              <w:rPr>
                <w:rFonts w:ascii="Times New Roman" w:cs="Times New Roman" w:eastAsia="Times New Roman" w:hAnsi="Times New Roman"/>
                <w:sz w:val="15"/>
                <w:szCs w:val="15"/>
                <w:b w:val="1"/>
                <w:bCs w:val="1"/>
                <w:color w:val="auto"/>
              </w:rPr>
              <w:t>Prices in</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7"/>
        </w:trPr>
        <w:tc>
          <w:tcPr>
            <w:tcW w:w="5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center"/>
              <w:ind w:right="58"/>
              <w:spacing w:after="0"/>
              <w:rPr>
                <w:sz w:val="20"/>
                <w:szCs w:val="20"/>
                <w:color w:val="auto"/>
              </w:rPr>
            </w:pPr>
            <w:r>
              <w:rPr>
                <w:rFonts w:ascii="Times New Roman" w:cs="Times New Roman" w:eastAsia="Times New Roman" w:hAnsi="Times New Roman"/>
                <w:sz w:val="15"/>
                <w:szCs w:val="15"/>
                <w:b w:val="1"/>
                <w:bCs w:val="1"/>
                <w:color w:val="auto"/>
                <w:w w:val="97"/>
              </w:rPr>
              <w:t>Active</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center"/>
              <w:ind w:right="36"/>
              <w:spacing w:after="0"/>
              <w:rPr>
                <w:sz w:val="20"/>
                <w:szCs w:val="20"/>
                <w:color w:val="auto"/>
              </w:rPr>
            </w:pPr>
            <w:r>
              <w:rPr>
                <w:rFonts w:ascii="Times New Roman" w:cs="Times New Roman" w:eastAsia="Times New Roman" w:hAnsi="Times New Roman"/>
                <w:sz w:val="15"/>
                <w:szCs w:val="15"/>
                <w:b w:val="1"/>
                <w:bCs w:val="1"/>
                <w:color w:val="auto"/>
              </w:rPr>
              <w:t>Significant</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7"/>
        </w:trPr>
        <w:tc>
          <w:tcPr>
            <w:tcW w:w="5500" w:type="dxa"/>
            <w:vAlign w:val="bottom"/>
          </w:tcPr>
          <w:p>
            <w:pPr>
              <w:spacing w:after="0"/>
              <w:rPr>
                <w:sz w:val="16"/>
                <w:szCs w:val="16"/>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Markets for</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center"/>
              <w:ind w:right="16"/>
              <w:spacing w:after="0"/>
              <w:rPr>
                <w:sz w:val="20"/>
                <w:szCs w:val="20"/>
                <w:color w:val="auto"/>
              </w:rPr>
            </w:pPr>
            <w:r>
              <w:rPr>
                <w:rFonts w:ascii="Times New Roman" w:cs="Times New Roman" w:eastAsia="Times New Roman" w:hAnsi="Times New Roman"/>
                <w:sz w:val="15"/>
                <w:szCs w:val="15"/>
                <w:b w:val="1"/>
                <w:bCs w:val="1"/>
                <w:color w:val="auto"/>
              </w:rPr>
              <w:t>Other</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center"/>
              <w:ind w:right="35"/>
              <w:spacing w:after="0"/>
              <w:rPr>
                <w:sz w:val="20"/>
                <w:szCs w:val="20"/>
                <w:color w:val="auto"/>
              </w:rPr>
            </w:pPr>
            <w:r>
              <w:rPr>
                <w:rFonts w:ascii="Times New Roman" w:cs="Times New Roman" w:eastAsia="Times New Roman" w:hAnsi="Times New Roman"/>
                <w:sz w:val="15"/>
                <w:szCs w:val="15"/>
                <w:b w:val="1"/>
                <w:bCs w:val="1"/>
                <w:color w:val="auto"/>
              </w:rPr>
              <w:t>Significant</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7"/>
        </w:trPr>
        <w:tc>
          <w:tcPr>
            <w:tcW w:w="5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center"/>
              <w:ind w:right="58"/>
              <w:spacing w:after="0"/>
              <w:rPr>
                <w:sz w:val="20"/>
                <w:szCs w:val="20"/>
                <w:color w:val="auto"/>
              </w:rPr>
            </w:pPr>
            <w:r>
              <w:rPr>
                <w:rFonts w:ascii="Times New Roman" w:cs="Times New Roman" w:eastAsia="Times New Roman" w:hAnsi="Times New Roman"/>
                <w:sz w:val="15"/>
                <w:szCs w:val="15"/>
                <w:b w:val="1"/>
                <w:bCs w:val="1"/>
                <w:color w:val="auto"/>
                <w:w w:val="98"/>
              </w:rPr>
              <w:t>Identical</w:t>
            </w:r>
          </w:p>
        </w:tc>
        <w:tc>
          <w:tcPr>
            <w:tcW w:w="320" w:type="dxa"/>
            <w:vAlign w:val="bottom"/>
          </w:tcPr>
          <w:p>
            <w:pPr>
              <w:spacing w:after="0"/>
              <w:rPr>
                <w:sz w:val="16"/>
                <w:szCs w:val="16"/>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Observable</w:t>
            </w:r>
          </w:p>
        </w:tc>
        <w:tc>
          <w:tcPr>
            <w:tcW w:w="320" w:type="dxa"/>
            <w:vAlign w:val="bottom"/>
          </w:tcPr>
          <w:p>
            <w:pPr>
              <w:spacing w:after="0"/>
              <w:rPr>
                <w:sz w:val="16"/>
                <w:szCs w:val="16"/>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Unobservable</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7"/>
        </w:trPr>
        <w:tc>
          <w:tcPr>
            <w:tcW w:w="5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center"/>
              <w:ind w:right="58"/>
              <w:spacing w:after="0"/>
              <w:rPr>
                <w:sz w:val="20"/>
                <w:szCs w:val="20"/>
                <w:color w:val="auto"/>
              </w:rPr>
            </w:pPr>
            <w:r>
              <w:rPr>
                <w:rFonts w:ascii="Times New Roman" w:cs="Times New Roman" w:eastAsia="Times New Roman" w:hAnsi="Times New Roman"/>
                <w:sz w:val="15"/>
                <w:szCs w:val="15"/>
                <w:b w:val="1"/>
                <w:bCs w:val="1"/>
                <w:color w:val="auto"/>
                <w:w w:val="99"/>
              </w:rPr>
              <w:t>Assets</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center"/>
              <w:ind w:right="36"/>
              <w:spacing w:after="0"/>
              <w:rPr>
                <w:sz w:val="20"/>
                <w:szCs w:val="20"/>
                <w:color w:val="auto"/>
              </w:rPr>
            </w:pPr>
            <w:r>
              <w:rPr>
                <w:rFonts w:ascii="Times New Roman" w:cs="Times New Roman" w:eastAsia="Times New Roman" w:hAnsi="Times New Roman"/>
                <w:sz w:val="15"/>
                <w:szCs w:val="15"/>
                <w:b w:val="1"/>
                <w:bCs w:val="1"/>
                <w:color w:val="auto"/>
              </w:rPr>
              <w:t>Inputs</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center"/>
              <w:ind w:right="35"/>
              <w:spacing w:after="0"/>
              <w:rPr>
                <w:sz w:val="20"/>
                <w:szCs w:val="20"/>
                <w:color w:val="auto"/>
              </w:rPr>
            </w:pPr>
            <w:r>
              <w:rPr>
                <w:rFonts w:ascii="Times New Roman" w:cs="Times New Roman" w:eastAsia="Times New Roman" w:hAnsi="Times New Roman"/>
                <w:sz w:val="15"/>
                <w:szCs w:val="15"/>
                <w:b w:val="1"/>
                <w:bCs w:val="1"/>
                <w:color w:val="auto"/>
              </w:rPr>
              <w:t>Inputs</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7"/>
        </w:trPr>
        <w:tc>
          <w:tcPr>
            <w:tcW w:w="5500" w:type="dxa"/>
            <w:vAlign w:val="bottom"/>
            <w:tcBorders>
              <w:bottom w:val="single" w:sz="8" w:color="D5EEEE"/>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5"/>
                <w:szCs w:val="15"/>
                <w:b w:val="1"/>
                <w:bCs w:val="1"/>
                <w:color w:val="auto"/>
              </w:rPr>
              <w:t>Level 1</w:t>
            </w:r>
          </w:p>
        </w:tc>
        <w:tc>
          <w:tcPr>
            <w:tcW w:w="320" w:type="dxa"/>
            <w:vAlign w:val="bottom"/>
            <w:tcBorders>
              <w:bottom w:val="single" w:sz="8" w:color="D5EEEE"/>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5"/>
                <w:szCs w:val="15"/>
                <w:b w:val="1"/>
                <w:bCs w:val="1"/>
                <w:color w:val="auto"/>
              </w:rPr>
              <w:t>Level 2</w:t>
            </w:r>
          </w:p>
        </w:tc>
        <w:tc>
          <w:tcPr>
            <w:tcW w:w="320" w:type="dxa"/>
            <w:vAlign w:val="bottom"/>
            <w:tcBorders>
              <w:bottom w:val="single" w:sz="8" w:color="D5EEEE"/>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5"/>
                <w:szCs w:val="15"/>
                <w:b w:val="1"/>
                <w:bCs w:val="1"/>
                <w:color w:val="auto"/>
                <w:w w:val="99"/>
              </w:rPr>
              <w:t>Level 3</w:t>
            </w:r>
          </w:p>
        </w:tc>
        <w:tc>
          <w:tcPr>
            <w:tcW w:w="320" w:type="dxa"/>
            <w:vAlign w:val="bottom"/>
            <w:tcBorders>
              <w:bottom w:val="single" w:sz="8" w:color="D5EEEE"/>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60" w:type="dxa"/>
            <w:vAlign w:val="bottom"/>
            <w:tcBorders>
              <w:bottom w:val="single" w:sz="8" w:color="D5EEEE"/>
            </w:tcBorders>
          </w:tcPr>
          <w:p>
            <w:pPr>
              <w:spacing w:after="0"/>
              <w:rPr>
                <w:sz w:val="16"/>
                <w:szCs w:val="16"/>
                <w:color w:val="auto"/>
              </w:rPr>
            </w:pPr>
          </w:p>
        </w:tc>
      </w:tr>
      <w:tr>
        <w:trPr>
          <w:trHeight w:val="225"/>
        </w:trPr>
        <w:tc>
          <w:tcPr>
            <w:tcW w:w="5500" w:type="dxa"/>
            <w:vAlign w:val="bottom"/>
            <w:shd w:val="clear" w:color="auto" w:fill="D5EEEE"/>
          </w:tcPr>
          <w:p>
            <w:pPr>
              <w:spacing w:after="0"/>
              <w:rPr>
                <w:sz w:val="20"/>
                <w:szCs w:val="20"/>
                <w:color w:val="auto"/>
              </w:rPr>
            </w:pPr>
            <w:r>
              <w:rPr>
                <w:rFonts w:ascii="Times New Roman" w:cs="Times New Roman" w:eastAsia="Times New Roman" w:hAnsi="Times New Roman"/>
                <w:sz w:val="19"/>
                <w:szCs w:val="19"/>
                <w:color w:val="auto"/>
              </w:rPr>
              <w:t>Financial liabilities:</w:t>
            </w:r>
          </w:p>
        </w:tc>
        <w:tc>
          <w:tcPr>
            <w:tcW w:w="140" w:type="dxa"/>
            <w:vAlign w:val="bottom"/>
            <w:shd w:val="clear" w:color="auto" w:fill="D5EEEE"/>
          </w:tcPr>
          <w:p>
            <w:pPr>
              <w:spacing w:after="0"/>
              <w:rPr>
                <w:sz w:val="19"/>
                <w:szCs w:val="19"/>
                <w:color w:val="auto"/>
              </w:rPr>
            </w:pPr>
          </w:p>
        </w:tc>
        <w:tc>
          <w:tcPr>
            <w:tcW w:w="780" w:type="dxa"/>
            <w:vAlign w:val="bottom"/>
            <w:shd w:val="clear" w:color="auto" w:fill="D5EEEE"/>
          </w:tcPr>
          <w:p>
            <w:pPr>
              <w:spacing w:after="0"/>
              <w:rPr>
                <w:sz w:val="19"/>
                <w:szCs w:val="19"/>
                <w:color w:val="auto"/>
              </w:rPr>
            </w:pPr>
          </w:p>
        </w:tc>
        <w:tc>
          <w:tcPr>
            <w:tcW w:w="320" w:type="dxa"/>
            <w:vAlign w:val="bottom"/>
            <w:shd w:val="clear" w:color="auto" w:fill="D5EEEE"/>
          </w:tcPr>
          <w:p>
            <w:pPr>
              <w:spacing w:after="0"/>
              <w:rPr>
                <w:sz w:val="19"/>
                <w:szCs w:val="19"/>
                <w:color w:val="auto"/>
              </w:rPr>
            </w:pPr>
          </w:p>
        </w:tc>
        <w:tc>
          <w:tcPr>
            <w:tcW w:w="100" w:type="dxa"/>
            <w:vAlign w:val="bottom"/>
            <w:shd w:val="clear" w:color="auto" w:fill="D5EEEE"/>
          </w:tcPr>
          <w:p>
            <w:pPr>
              <w:spacing w:after="0"/>
              <w:rPr>
                <w:sz w:val="19"/>
                <w:szCs w:val="19"/>
                <w:color w:val="auto"/>
              </w:rPr>
            </w:pPr>
          </w:p>
        </w:tc>
        <w:tc>
          <w:tcPr>
            <w:tcW w:w="820" w:type="dxa"/>
            <w:vAlign w:val="bottom"/>
            <w:shd w:val="clear" w:color="auto" w:fill="D5EEEE"/>
          </w:tcPr>
          <w:p>
            <w:pPr>
              <w:spacing w:after="0"/>
              <w:rPr>
                <w:sz w:val="19"/>
                <w:szCs w:val="19"/>
                <w:color w:val="auto"/>
              </w:rPr>
            </w:pPr>
          </w:p>
        </w:tc>
        <w:tc>
          <w:tcPr>
            <w:tcW w:w="320" w:type="dxa"/>
            <w:vAlign w:val="bottom"/>
            <w:shd w:val="clear" w:color="auto" w:fill="D5EEEE"/>
          </w:tcPr>
          <w:p>
            <w:pPr>
              <w:spacing w:after="0"/>
              <w:rPr>
                <w:sz w:val="19"/>
                <w:szCs w:val="19"/>
                <w:color w:val="auto"/>
              </w:rPr>
            </w:pPr>
          </w:p>
        </w:tc>
        <w:tc>
          <w:tcPr>
            <w:tcW w:w="100" w:type="dxa"/>
            <w:vAlign w:val="bottom"/>
            <w:shd w:val="clear" w:color="auto" w:fill="D5EEEE"/>
          </w:tcPr>
          <w:p>
            <w:pPr>
              <w:spacing w:after="0"/>
              <w:rPr>
                <w:sz w:val="19"/>
                <w:szCs w:val="19"/>
                <w:color w:val="auto"/>
              </w:rPr>
            </w:pPr>
          </w:p>
        </w:tc>
        <w:tc>
          <w:tcPr>
            <w:tcW w:w="820" w:type="dxa"/>
            <w:vAlign w:val="bottom"/>
            <w:shd w:val="clear" w:color="auto" w:fill="D5EEEE"/>
          </w:tcPr>
          <w:p>
            <w:pPr>
              <w:spacing w:after="0"/>
              <w:rPr>
                <w:sz w:val="19"/>
                <w:szCs w:val="19"/>
                <w:color w:val="auto"/>
              </w:rPr>
            </w:pPr>
          </w:p>
        </w:tc>
        <w:tc>
          <w:tcPr>
            <w:tcW w:w="320" w:type="dxa"/>
            <w:vAlign w:val="bottom"/>
            <w:shd w:val="clear" w:color="auto" w:fill="D5EEEE"/>
          </w:tcPr>
          <w:p>
            <w:pPr>
              <w:spacing w:after="0"/>
              <w:rPr>
                <w:sz w:val="19"/>
                <w:szCs w:val="19"/>
                <w:color w:val="auto"/>
              </w:rPr>
            </w:pPr>
          </w:p>
        </w:tc>
        <w:tc>
          <w:tcPr>
            <w:tcW w:w="180" w:type="dxa"/>
            <w:vAlign w:val="bottom"/>
            <w:shd w:val="clear" w:color="auto" w:fill="D5EEEE"/>
          </w:tcPr>
          <w:p>
            <w:pPr>
              <w:spacing w:after="0"/>
              <w:rPr>
                <w:sz w:val="19"/>
                <w:szCs w:val="19"/>
                <w:color w:val="auto"/>
              </w:rPr>
            </w:pPr>
          </w:p>
        </w:tc>
        <w:tc>
          <w:tcPr>
            <w:tcW w:w="740" w:type="dxa"/>
            <w:vAlign w:val="bottom"/>
            <w:shd w:val="clear" w:color="auto" w:fill="D5EEEE"/>
          </w:tcPr>
          <w:p>
            <w:pPr>
              <w:spacing w:after="0"/>
              <w:rPr>
                <w:sz w:val="19"/>
                <w:szCs w:val="19"/>
                <w:color w:val="auto"/>
              </w:rPr>
            </w:pPr>
          </w:p>
        </w:tc>
        <w:tc>
          <w:tcPr>
            <w:tcW w:w="60" w:type="dxa"/>
            <w:vAlign w:val="bottom"/>
            <w:shd w:val="clear" w:color="auto" w:fill="D5EEEE"/>
          </w:tcPr>
          <w:p>
            <w:pPr>
              <w:spacing w:after="0"/>
              <w:rPr>
                <w:sz w:val="19"/>
                <w:szCs w:val="19"/>
                <w:color w:val="auto"/>
              </w:rPr>
            </w:pPr>
          </w:p>
        </w:tc>
      </w:tr>
      <w:tr>
        <w:trPr>
          <w:trHeight w:val="230"/>
        </w:trPr>
        <w:tc>
          <w:tcPr>
            <w:tcW w:w="5500" w:type="dxa"/>
            <w:vAlign w:val="bottom"/>
          </w:tcPr>
          <w:p>
            <w:pPr>
              <w:jc w:val="center"/>
              <w:ind w:right="1806"/>
              <w:spacing w:after="0"/>
              <w:rPr>
                <w:sz w:val="20"/>
                <w:szCs w:val="20"/>
                <w:color w:val="auto"/>
              </w:rPr>
            </w:pPr>
            <w:r>
              <w:rPr>
                <w:rFonts w:ascii="Times New Roman" w:cs="Times New Roman" w:eastAsia="Times New Roman" w:hAnsi="Times New Roman"/>
                <w:sz w:val="19"/>
                <w:szCs w:val="19"/>
                <w:color w:val="auto"/>
                <w:w w:val="99"/>
              </w:rPr>
              <w:t>Series A warrants to purchase common stock</w:t>
            </w:r>
          </w:p>
        </w:tc>
        <w:tc>
          <w:tcPr>
            <w:tcW w:w="14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780" w:type="dxa"/>
            <w:vAlign w:val="bottom"/>
          </w:tcPr>
          <w:p>
            <w:pPr>
              <w:ind w:left="580"/>
              <w:spacing w:after="0"/>
              <w:rPr>
                <w:sz w:val="20"/>
                <w:szCs w:val="20"/>
                <w:color w:val="auto"/>
              </w:rPr>
            </w:pPr>
            <w:r>
              <w:rPr>
                <w:rFonts w:ascii="Times New Roman" w:cs="Times New Roman" w:eastAsia="Times New Roman" w:hAnsi="Times New Roman"/>
                <w:sz w:val="19"/>
                <w:szCs w:val="19"/>
                <w:color w:val="auto"/>
                <w:w w:val="94"/>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20" w:type="dxa"/>
            <w:vAlign w:val="bottom"/>
          </w:tcPr>
          <w:p>
            <w:pPr>
              <w:ind w:left="620"/>
              <w:spacing w:after="0"/>
              <w:rPr>
                <w:sz w:val="20"/>
                <w:szCs w:val="20"/>
                <w:color w:val="auto"/>
              </w:rPr>
            </w:pPr>
            <w:r>
              <w:rPr>
                <w:rFonts w:ascii="Times New Roman" w:cs="Times New Roman" w:eastAsia="Times New Roman" w:hAnsi="Times New Roman"/>
                <w:sz w:val="19"/>
                <w:szCs w:val="19"/>
                <w:color w:val="auto"/>
                <w:w w:val="94"/>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23,100</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23,100</w:t>
            </w:r>
          </w:p>
        </w:tc>
        <w:tc>
          <w:tcPr>
            <w:tcW w:w="60" w:type="dxa"/>
            <w:vAlign w:val="bottom"/>
          </w:tcPr>
          <w:p>
            <w:pPr>
              <w:spacing w:after="0"/>
              <w:rPr>
                <w:sz w:val="19"/>
                <w:szCs w:val="19"/>
                <w:color w:val="auto"/>
              </w:rPr>
            </w:pPr>
          </w:p>
        </w:tc>
      </w:tr>
      <w:tr>
        <w:trPr>
          <w:trHeight w:val="230"/>
        </w:trPr>
        <w:tc>
          <w:tcPr>
            <w:tcW w:w="5500" w:type="dxa"/>
            <w:vAlign w:val="bottom"/>
            <w:shd w:val="clear" w:color="auto" w:fill="D5EEEE"/>
          </w:tcPr>
          <w:p>
            <w:pPr>
              <w:jc w:val="center"/>
              <w:ind w:right="1806"/>
              <w:spacing w:after="0"/>
              <w:rPr>
                <w:sz w:val="20"/>
                <w:szCs w:val="20"/>
                <w:color w:val="auto"/>
              </w:rPr>
            </w:pPr>
            <w:r>
              <w:rPr>
                <w:rFonts w:ascii="Times New Roman" w:cs="Times New Roman" w:eastAsia="Times New Roman" w:hAnsi="Times New Roman"/>
                <w:sz w:val="19"/>
                <w:szCs w:val="19"/>
                <w:color w:val="auto"/>
                <w:w w:val="99"/>
              </w:rPr>
              <w:t>Series C warrants to purchase common stock</w:t>
            </w:r>
          </w:p>
        </w:tc>
        <w:tc>
          <w:tcPr>
            <w:tcW w:w="140" w:type="dxa"/>
            <w:vAlign w:val="bottom"/>
            <w:tcBorders>
              <w:bottom w:val="single" w:sz="8" w:color="auto"/>
            </w:tcBorders>
            <w:shd w:val="clear" w:color="auto" w:fill="D5EEEE"/>
          </w:tcPr>
          <w:p>
            <w:pPr>
              <w:spacing w:after="0"/>
              <w:rPr>
                <w:sz w:val="20"/>
                <w:szCs w:val="20"/>
                <w:color w:val="auto"/>
              </w:rPr>
            </w:pPr>
          </w:p>
        </w:tc>
        <w:tc>
          <w:tcPr>
            <w:tcW w:w="780" w:type="dxa"/>
            <w:vAlign w:val="bottom"/>
            <w:tcBorders>
              <w:bottom w:val="single" w:sz="8" w:color="auto"/>
            </w:tcBorders>
            <w:shd w:val="clear" w:color="auto" w:fill="D5EEEE"/>
          </w:tcPr>
          <w:p>
            <w:pPr>
              <w:ind w:left="580"/>
              <w:spacing w:after="0"/>
              <w:rPr>
                <w:sz w:val="20"/>
                <w:szCs w:val="20"/>
                <w:color w:val="auto"/>
              </w:rPr>
            </w:pPr>
            <w:r>
              <w:rPr>
                <w:rFonts w:ascii="Times New Roman" w:cs="Times New Roman" w:eastAsia="Times New Roman" w:hAnsi="Times New Roman"/>
                <w:sz w:val="19"/>
                <w:szCs w:val="19"/>
                <w:color w:val="auto"/>
                <w:w w:val="94"/>
              </w:rPr>
              <w:t>—</w:t>
            </w:r>
          </w:p>
        </w:tc>
        <w:tc>
          <w:tcPr>
            <w:tcW w:w="320" w:type="dxa"/>
            <w:vAlign w:val="bottom"/>
            <w:shd w:val="clear" w:color="auto" w:fill="D5EEEE"/>
          </w:tcPr>
          <w:p>
            <w:pPr>
              <w:spacing w:after="0"/>
              <w:rPr>
                <w:sz w:val="20"/>
                <w:szCs w:val="20"/>
                <w:color w:val="auto"/>
              </w:rPr>
            </w:pPr>
          </w:p>
        </w:tc>
        <w:tc>
          <w:tcPr>
            <w:tcW w:w="100" w:type="dxa"/>
            <w:vAlign w:val="bottom"/>
            <w:tcBorders>
              <w:bottom w:val="single" w:sz="8" w:color="auto"/>
            </w:tcBorders>
            <w:shd w:val="clear" w:color="auto" w:fill="D5EEEE"/>
          </w:tcPr>
          <w:p>
            <w:pPr>
              <w:spacing w:after="0"/>
              <w:rPr>
                <w:sz w:val="20"/>
                <w:szCs w:val="20"/>
                <w:color w:val="auto"/>
              </w:rPr>
            </w:pPr>
          </w:p>
        </w:tc>
        <w:tc>
          <w:tcPr>
            <w:tcW w:w="820" w:type="dxa"/>
            <w:vAlign w:val="bottom"/>
            <w:tcBorders>
              <w:bottom w:val="single" w:sz="8" w:color="auto"/>
            </w:tcBorders>
            <w:shd w:val="clear" w:color="auto" w:fill="D5EEEE"/>
          </w:tcPr>
          <w:p>
            <w:pPr>
              <w:ind w:left="620"/>
              <w:spacing w:after="0"/>
              <w:rPr>
                <w:sz w:val="20"/>
                <w:szCs w:val="20"/>
                <w:color w:val="auto"/>
              </w:rPr>
            </w:pPr>
            <w:r>
              <w:rPr>
                <w:rFonts w:ascii="Times New Roman" w:cs="Times New Roman" w:eastAsia="Times New Roman" w:hAnsi="Times New Roman"/>
                <w:sz w:val="19"/>
                <w:szCs w:val="19"/>
                <w:color w:val="auto"/>
                <w:w w:val="94"/>
              </w:rPr>
              <w:t>—</w:t>
            </w:r>
          </w:p>
        </w:tc>
        <w:tc>
          <w:tcPr>
            <w:tcW w:w="320" w:type="dxa"/>
            <w:vAlign w:val="bottom"/>
            <w:shd w:val="clear" w:color="auto" w:fill="D5EEEE"/>
          </w:tcPr>
          <w:p>
            <w:pPr>
              <w:spacing w:after="0"/>
              <w:rPr>
                <w:sz w:val="20"/>
                <w:szCs w:val="20"/>
                <w:color w:val="auto"/>
              </w:rPr>
            </w:pPr>
          </w:p>
        </w:tc>
        <w:tc>
          <w:tcPr>
            <w:tcW w:w="100" w:type="dxa"/>
            <w:vAlign w:val="bottom"/>
            <w:tcBorders>
              <w:bottom w:val="single" w:sz="8" w:color="auto"/>
            </w:tcBorders>
            <w:shd w:val="clear" w:color="auto" w:fill="D5EEEE"/>
          </w:tcPr>
          <w:p>
            <w:pPr>
              <w:spacing w:after="0"/>
              <w:rPr>
                <w:sz w:val="20"/>
                <w:szCs w:val="20"/>
                <w:color w:val="auto"/>
              </w:rPr>
            </w:pPr>
          </w:p>
        </w:tc>
        <w:tc>
          <w:tcPr>
            <w:tcW w:w="8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6,460</w:t>
            </w:r>
          </w:p>
        </w:tc>
        <w:tc>
          <w:tcPr>
            <w:tcW w:w="320" w:type="dxa"/>
            <w:vAlign w:val="bottom"/>
            <w:shd w:val="clear" w:color="auto" w:fill="D5EEEE"/>
          </w:tcPr>
          <w:p>
            <w:pPr>
              <w:spacing w:after="0"/>
              <w:rPr>
                <w:sz w:val="20"/>
                <w:szCs w:val="20"/>
                <w:color w:val="auto"/>
              </w:rPr>
            </w:pPr>
          </w:p>
        </w:tc>
        <w:tc>
          <w:tcPr>
            <w:tcW w:w="180" w:type="dxa"/>
            <w:vAlign w:val="bottom"/>
            <w:tcBorders>
              <w:bottom w:val="single" w:sz="8" w:color="auto"/>
            </w:tcBorders>
            <w:shd w:val="clear" w:color="auto" w:fill="D5EEEE"/>
          </w:tcPr>
          <w:p>
            <w:pPr>
              <w:spacing w:after="0"/>
              <w:rPr>
                <w:sz w:val="20"/>
                <w:szCs w:val="20"/>
                <w:color w:val="auto"/>
              </w:rPr>
            </w:pPr>
          </w:p>
        </w:tc>
        <w:tc>
          <w:tcPr>
            <w:tcW w:w="7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6,460</w:t>
            </w:r>
          </w:p>
        </w:tc>
        <w:tc>
          <w:tcPr>
            <w:tcW w:w="60" w:type="dxa"/>
            <w:vAlign w:val="bottom"/>
            <w:shd w:val="clear" w:color="auto" w:fill="D5EEEE"/>
          </w:tcPr>
          <w:p>
            <w:pPr>
              <w:spacing w:after="0"/>
              <w:rPr>
                <w:sz w:val="20"/>
                <w:szCs w:val="20"/>
                <w:color w:val="auto"/>
              </w:rPr>
            </w:pPr>
          </w:p>
        </w:tc>
      </w:tr>
      <w:tr>
        <w:trPr>
          <w:trHeight w:val="225"/>
        </w:trPr>
        <w:tc>
          <w:tcPr>
            <w:tcW w:w="5500" w:type="dxa"/>
            <w:vAlign w:val="bottom"/>
          </w:tcPr>
          <w:p>
            <w:pPr>
              <w:jc w:val="center"/>
              <w:ind w:right="1826"/>
              <w:spacing w:after="0"/>
              <w:rPr>
                <w:sz w:val="20"/>
                <w:szCs w:val="20"/>
                <w:color w:val="auto"/>
              </w:rPr>
            </w:pPr>
            <w:r>
              <w:rPr>
                <w:rFonts w:ascii="Times New Roman" w:cs="Times New Roman" w:eastAsia="Times New Roman" w:hAnsi="Times New Roman"/>
                <w:sz w:val="19"/>
                <w:szCs w:val="19"/>
                <w:color w:val="auto"/>
                <w:w w:val="99"/>
              </w:rPr>
              <w:t>Total financial liabilities at December 31, 2025</w:t>
            </w:r>
          </w:p>
        </w:tc>
        <w:tc>
          <w:tcPr>
            <w:tcW w:w="14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780" w:type="dxa"/>
            <w:vAlign w:val="bottom"/>
          </w:tcPr>
          <w:p>
            <w:pPr>
              <w:ind w:left="580"/>
              <w:spacing w:after="0"/>
              <w:rPr>
                <w:sz w:val="20"/>
                <w:szCs w:val="20"/>
                <w:color w:val="auto"/>
              </w:rPr>
            </w:pPr>
            <w:r>
              <w:rPr>
                <w:rFonts w:ascii="Times New Roman" w:cs="Times New Roman" w:eastAsia="Times New Roman" w:hAnsi="Times New Roman"/>
                <w:sz w:val="19"/>
                <w:szCs w:val="19"/>
                <w:color w:val="auto"/>
                <w:w w:val="94"/>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20" w:type="dxa"/>
            <w:vAlign w:val="bottom"/>
          </w:tcPr>
          <w:p>
            <w:pPr>
              <w:ind w:left="620"/>
              <w:spacing w:after="0"/>
              <w:rPr>
                <w:sz w:val="20"/>
                <w:szCs w:val="20"/>
                <w:color w:val="auto"/>
              </w:rPr>
            </w:pPr>
            <w:r>
              <w:rPr>
                <w:rFonts w:ascii="Times New Roman" w:cs="Times New Roman" w:eastAsia="Times New Roman" w:hAnsi="Times New Roman"/>
                <w:sz w:val="19"/>
                <w:szCs w:val="19"/>
                <w:color w:val="auto"/>
                <w:w w:val="94"/>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29,560</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29,560</w:t>
            </w:r>
          </w:p>
        </w:tc>
        <w:tc>
          <w:tcPr>
            <w:tcW w:w="60" w:type="dxa"/>
            <w:vAlign w:val="bottom"/>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The fair value of the common stock warrant liabilities, which are described in more detail in Note 9, are calculated utilizing a Black-Scholes option pricing model for the Series A warrants and a Monte Carlo simulation model for the Series C warrants. For the portion of the year ended December 31, 2025 that the Series B warrants were outstanding, the fair value of such warrants were calculated using a Monte Carlo simulation model. The Black-Scholes option pricing model and the Monte Carlo simulation model both require the use of assumptions, certain of which are not observable in the market, which represent Level 3 measurements within the fair value hierarchy. The Black-Scholes pricing model and the Monte Carlo simulation model assumptions include the warrant exercise price, the expected term of the warrant, the current price of the Company’s common stock, expected volatility, the risk-free interest rate for the expected term of the warrant and expected dividend yield. The Monte Carlo simulation assumptions also include the potential impacts of the warrant strike price reset features.</w:t>
      </w:r>
    </w:p>
    <w:p>
      <w:pPr>
        <w:spacing w:after="0" w:line="240"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9"/>
          <w:szCs w:val="19"/>
          <w:color w:val="auto"/>
        </w:rPr>
        <w:t>The inputs used in the fair market value of the Company’s common stock warrants liabilities as of the issuance date and December 31, 2025 were the following:</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5"/>
                <w:szCs w:val="15"/>
                <w:b w:val="1"/>
                <w:bCs w:val="1"/>
                <w:color w:val="auto"/>
              </w:rPr>
              <w:t>June 5, 2025</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260" w:type="dxa"/>
            <w:vAlign w:val="bottom"/>
          </w:tcPr>
          <w:p>
            <w:pPr>
              <w:spacing w:after="0"/>
              <w:rPr>
                <w:sz w:val="15"/>
                <w:szCs w:val="15"/>
                <w:color w:val="auto"/>
              </w:rPr>
            </w:pPr>
          </w:p>
        </w:tc>
      </w:tr>
      <w:tr>
        <w:trPr>
          <w:trHeight w:val="231"/>
        </w:trPr>
        <w:tc>
          <w:tcPr>
            <w:tcW w:w="6940" w:type="dxa"/>
            <w:vAlign w:val="bottom"/>
            <w:tcBorders>
              <w:bottom w:val="single" w:sz="8" w:color="D5EEEE"/>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(issuance date)</w:t>
            </w:r>
          </w:p>
        </w:tc>
        <w:tc>
          <w:tcPr>
            <w:tcW w:w="280" w:type="dxa"/>
            <w:vAlign w:val="bottom"/>
            <w:tcBorders>
              <w:bottom w:val="single" w:sz="8" w:color="auto"/>
            </w:tcBorders>
          </w:tcPr>
          <w:p>
            <w:pPr>
              <w:spacing w:after="0"/>
              <w:rPr>
                <w:sz w:val="20"/>
                <w:szCs w:val="20"/>
                <w:color w:val="auto"/>
              </w:rPr>
            </w:pPr>
          </w:p>
        </w:tc>
        <w:tc>
          <w:tcPr>
            <w:tcW w:w="140" w:type="dxa"/>
            <w:vAlign w:val="bottom"/>
            <w:tcBorders>
              <w:bottom w:val="single" w:sz="8" w:color="D5EEEE"/>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5"/>
                <w:szCs w:val="15"/>
                <w:b w:val="1"/>
                <w:bCs w:val="1"/>
                <w:color w:val="auto"/>
              </w:rPr>
              <w:t>2025</w:t>
            </w:r>
          </w:p>
        </w:tc>
        <w:tc>
          <w:tcPr>
            <w:tcW w:w="260" w:type="dxa"/>
            <w:vAlign w:val="bottom"/>
            <w:tcBorders>
              <w:bottom w:val="single" w:sz="8" w:color="auto"/>
            </w:tcBorders>
          </w:tcPr>
          <w:p>
            <w:pPr>
              <w:spacing w:after="0"/>
              <w:rPr>
                <w:sz w:val="20"/>
                <w:szCs w:val="20"/>
                <w:color w:val="auto"/>
              </w:rPr>
            </w:pPr>
          </w:p>
        </w:tc>
      </w:tr>
      <w:tr>
        <w:trPr>
          <w:trHeight w:val="225"/>
        </w:trPr>
        <w:tc>
          <w:tcPr>
            <w:tcW w:w="6940" w:type="dxa"/>
            <w:vAlign w:val="bottom"/>
            <w:shd w:val="clear" w:color="auto" w:fill="D5EEEE"/>
          </w:tcPr>
          <w:p>
            <w:pPr>
              <w:spacing w:after="0"/>
              <w:rPr>
                <w:sz w:val="20"/>
                <w:szCs w:val="20"/>
                <w:color w:val="auto"/>
              </w:rPr>
            </w:pPr>
            <w:r>
              <w:rPr>
                <w:rFonts w:ascii="Times New Roman" w:cs="Times New Roman" w:eastAsia="Times New Roman" w:hAnsi="Times New Roman"/>
                <w:sz w:val="19"/>
                <w:szCs w:val="19"/>
                <w:color w:val="auto"/>
              </w:rPr>
              <w:t>Closing price of common stock</w:t>
            </w:r>
          </w:p>
        </w:tc>
        <w:tc>
          <w:tcPr>
            <w:tcW w:w="200" w:type="dxa"/>
            <w:vAlign w:val="bottom"/>
            <w:shd w:val="clear" w:color="auto" w:fill="D5EEEE"/>
          </w:tcPr>
          <w:p>
            <w:pPr>
              <w:jc w:val="right"/>
              <w:ind w:right="6"/>
              <w:spacing w:after="0"/>
              <w:rPr>
                <w:sz w:val="20"/>
                <w:szCs w:val="20"/>
                <w:color w:val="auto"/>
              </w:rPr>
            </w:pPr>
            <w:r>
              <w:rPr>
                <w:rFonts w:ascii="Times New Roman" w:cs="Times New Roman" w:eastAsia="Times New Roman" w:hAnsi="Times New Roman"/>
                <w:sz w:val="19"/>
                <w:szCs w:val="19"/>
                <w:color w:val="auto"/>
                <w:w w:val="83"/>
              </w:rPr>
              <w:t>$</w:t>
            </w:r>
          </w:p>
        </w:tc>
        <w:tc>
          <w:tcPr>
            <w:tcW w:w="10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9.52</w:t>
            </w:r>
          </w:p>
        </w:tc>
        <w:tc>
          <w:tcPr>
            <w:tcW w:w="280" w:type="dxa"/>
            <w:vAlign w:val="bottom"/>
            <w:shd w:val="clear" w:color="auto" w:fill="D5EEEE"/>
          </w:tcPr>
          <w:p>
            <w:pPr>
              <w:spacing w:after="0"/>
              <w:rPr>
                <w:sz w:val="19"/>
                <w:szCs w:val="19"/>
                <w:color w:val="auto"/>
              </w:rPr>
            </w:pPr>
          </w:p>
        </w:tc>
        <w:tc>
          <w:tcPr>
            <w:tcW w:w="140" w:type="dxa"/>
            <w:vAlign w:val="bottom"/>
            <w:shd w:val="clear" w:color="auto" w:fill="D5EEEE"/>
          </w:tcPr>
          <w:p>
            <w:pPr>
              <w:spacing w:after="0"/>
              <w:rPr>
                <w:sz w:val="19"/>
                <w:szCs w:val="19"/>
                <w:color w:val="auto"/>
              </w:rPr>
            </w:pPr>
          </w:p>
        </w:tc>
        <w:tc>
          <w:tcPr>
            <w:tcW w:w="200" w:type="dxa"/>
            <w:vAlign w:val="bottom"/>
            <w:shd w:val="clear" w:color="auto" w:fill="D5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9"/>
                <w:szCs w:val="19"/>
                <w:color w:val="auto"/>
              </w:rPr>
              <w:t>8.96</w:t>
            </w:r>
          </w:p>
        </w:tc>
        <w:tc>
          <w:tcPr>
            <w:tcW w:w="260" w:type="dxa"/>
            <w:vAlign w:val="bottom"/>
            <w:shd w:val="clear" w:color="auto" w:fill="D5EEEE"/>
          </w:tcPr>
          <w:p>
            <w:pPr>
              <w:spacing w:after="0"/>
              <w:rPr>
                <w:sz w:val="19"/>
                <w:szCs w:val="19"/>
                <w:color w:val="auto"/>
              </w:rPr>
            </w:pPr>
          </w:p>
        </w:tc>
      </w:tr>
      <w:tr>
        <w:trPr>
          <w:trHeight w:val="230"/>
        </w:trPr>
        <w:tc>
          <w:tcPr>
            <w:tcW w:w="6940" w:type="dxa"/>
            <w:vAlign w:val="bottom"/>
          </w:tcPr>
          <w:p>
            <w:pPr>
              <w:spacing w:after="0"/>
              <w:rPr>
                <w:sz w:val="20"/>
                <w:szCs w:val="20"/>
                <w:color w:val="auto"/>
              </w:rPr>
            </w:pPr>
            <w:r>
              <w:rPr>
                <w:rFonts w:ascii="Times New Roman" w:cs="Times New Roman" w:eastAsia="Times New Roman" w:hAnsi="Times New Roman"/>
                <w:sz w:val="19"/>
                <w:szCs w:val="19"/>
                <w:color w:val="auto"/>
              </w:rPr>
              <w:t>Warrant exercise price</w:t>
            </w:r>
          </w:p>
        </w:tc>
        <w:tc>
          <w:tcPr>
            <w:tcW w:w="20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auto"/>
                <w:w w:val="8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10.50</w:t>
            </w:r>
          </w:p>
        </w:tc>
        <w:tc>
          <w:tcPr>
            <w:tcW w:w="620" w:type="dxa"/>
            <w:vAlign w:val="bottom"/>
            <w:gridSpan w:val="3"/>
          </w:tcPr>
          <w:p>
            <w:pPr>
              <w:jc w:val="right"/>
              <w:ind w:right="36"/>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9"/>
                <w:szCs w:val="19"/>
                <w:color w:val="auto"/>
              </w:rPr>
              <w:t>10.50</w:t>
            </w:r>
          </w:p>
        </w:tc>
        <w:tc>
          <w:tcPr>
            <w:tcW w:w="260" w:type="dxa"/>
            <w:vAlign w:val="bottom"/>
          </w:tcPr>
          <w:p>
            <w:pPr>
              <w:spacing w:after="0"/>
              <w:rPr>
                <w:sz w:val="20"/>
                <w:szCs w:val="20"/>
                <w:color w:val="auto"/>
              </w:rPr>
            </w:pPr>
          </w:p>
        </w:tc>
      </w:tr>
      <w:tr>
        <w:trPr>
          <w:trHeight w:val="267"/>
        </w:trPr>
        <w:tc>
          <w:tcPr>
            <w:tcW w:w="6940" w:type="dxa"/>
            <w:vAlign w:val="bottom"/>
            <w:shd w:val="clear" w:color="auto" w:fill="D5EEEE"/>
          </w:tcPr>
          <w:p>
            <w:pPr>
              <w:spacing w:after="0"/>
              <w:rPr>
                <w:sz w:val="20"/>
                <w:szCs w:val="20"/>
                <w:color w:val="auto"/>
              </w:rPr>
            </w:pPr>
            <w:r>
              <w:rPr>
                <w:rFonts w:ascii="Times New Roman" w:cs="Times New Roman" w:eastAsia="Times New Roman" w:hAnsi="Times New Roman"/>
                <w:sz w:val="19"/>
                <w:szCs w:val="19"/>
                <w:color w:val="auto"/>
              </w:rPr>
              <w:t>Expected volatility</w:t>
            </w:r>
          </w:p>
        </w:tc>
        <w:tc>
          <w:tcPr>
            <w:tcW w:w="200" w:type="dxa"/>
            <w:vAlign w:val="bottom"/>
            <w:shd w:val="clear" w:color="auto" w:fill="D5EEEE"/>
          </w:tcPr>
          <w:p>
            <w:pPr>
              <w:spacing w:after="0"/>
              <w:rPr>
                <w:sz w:val="23"/>
                <w:szCs w:val="23"/>
                <w:color w:val="auto"/>
              </w:rPr>
            </w:pPr>
          </w:p>
        </w:tc>
        <w:tc>
          <w:tcPr>
            <w:tcW w:w="10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70</w:t>
            </w:r>
          </w:p>
        </w:tc>
        <w:tc>
          <w:tcPr>
            <w:tcW w:w="2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40" w:type="dxa"/>
            <w:vAlign w:val="bottom"/>
            <w:shd w:val="clear" w:color="auto" w:fill="D5EEEE"/>
          </w:tcPr>
          <w:p>
            <w:pPr>
              <w:spacing w:after="0"/>
              <w:rPr>
                <w:sz w:val="23"/>
                <w:szCs w:val="23"/>
                <w:color w:val="auto"/>
              </w:rPr>
            </w:pPr>
          </w:p>
        </w:tc>
        <w:tc>
          <w:tcPr>
            <w:tcW w:w="200" w:type="dxa"/>
            <w:vAlign w:val="bottom"/>
            <w:shd w:val="clear" w:color="auto" w:fill="D5EEEE"/>
          </w:tcPr>
          <w:p>
            <w:pPr>
              <w:spacing w:after="0"/>
              <w:rPr>
                <w:sz w:val="23"/>
                <w:szCs w:val="23"/>
                <w:color w:val="auto"/>
              </w:rPr>
            </w:pPr>
          </w:p>
        </w:tc>
        <w:tc>
          <w:tcPr>
            <w:tcW w:w="110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9"/>
                <w:szCs w:val="19"/>
                <w:color w:val="auto"/>
              </w:rPr>
              <w:t>70</w:t>
            </w:r>
          </w:p>
        </w:tc>
        <w:tc>
          <w:tcPr>
            <w:tcW w:w="260" w:type="dxa"/>
            <w:vAlign w:val="bottom"/>
            <w:shd w:val="clear" w:color="auto" w:fill="D5EEEE"/>
          </w:tcPr>
          <w:p>
            <w:pPr>
              <w:jc w:val="right"/>
              <w:ind w:right="6"/>
              <w:spacing w:after="0"/>
              <w:rPr>
                <w:sz w:val="20"/>
                <w:szCs w:val="20"/>
                <w:color w:val="auto"/>
              </w:rPr>
            </w:pPr>
            <w:r>
              <w:rPr>
                <w:rFonts w:ascii="Times New Roman" w:cs="Times New Roman" w:eastAsia="Times New Roman" w:hAnsi="Times New Roman"/>
                <w:sz w:val="19"/>
                <w:szCs w:val="19"/>
                <w:color w:val="auto"/>
                <w:w w:val="88"/>
              </w:rPr>
              <w:t>%</w:t>
            </w:r>
          </w:p>
        </w:tc>
      </w:tr>
      <w:tr>
        <w:trPr>
          <w:trHeight w:val="266"/>
        </w:trPr>
        <w:tc>
          <w:tcPr>
            <w:tcW w:w="6940" w:type="dxa"/>
            <w:vAlign w:val="bottom"/>
          </w:tcPr>
          <w:p>
            <w:pPr>
              <w:spacing w:after="0"/>
              <w:rPr>
                <w:sz w:val="20"/>
                <w:szCs w:val="20"/>
                <w:color w:val="auto"/>
              </w:rPr>
            </w:pPr>
            <w:r>
              <w:rPr>
                <w:rFonts w:ascii="Times New Roman" w:cs="Times New Roman" w:eastAsia="Times New Roman" w:hAnsi="Times New Roman"/>
                <w:sz w:val="19"/>
                <w:szCs w:val="19"/>
                <w:color w:val="auto"/>
              </w:rPr>
              <w:t>Risk free interest rate</w:t>
            </w:r>
          </w:p>
        </w:tc>
        <w:tc>
          <w:tcPr>
            <w:tcW w:w="2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3.91</w:t>
            </w:r>
          </w:p>
        </w:tc>
        <w:tc>
          <w:tcPr>
            <w:tcW w:w="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9"/>
                <w:szCs w:val="19"/>
                <w:color w:val="auto"/>
              </w:rPr>
              <w:t>3.62</w:t>
            </w:r>
          </w:p>
        </w:tc>
        <w:tc>
          <w:tcPr>
            <w:tcW w:w="26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auto"/>
                <w:w w:val="88"/>
              </w:rPr>
              <w:t>%</w:t>
            </w:r>
          </w:p>
        </w:tc>
      </w:tr>
      <w:tr>
        <w:trPr>
          <w:trHeight w:val="267"/>
        </w:trPr>
        <w:tc>
          <w:tcPr>
            <w:tcW w:w="6940" w:type="dxa"/>
            <w:vAlign w:val="bottom"/>
            <w:shd w:val="clear" w:color="auto" w:fill="D5EEEE"/>
          </w:tcPr>
          <w:p>
            <w:pPr>
              <w:spacing w:after="0"/>
              <w:rPr>
                <w:sz w:val="20"/>
                <w:szCs w:val="20"/>
                <w:color w:val="auto"/>
              </w:rPr>
            </w:pPr>
            <w:r>
              <w:rPr>
                <w:rFonts w:ascii="Times New Roman" w:cs="Times New Roman" w:eastAsia="Times New Roman" w:hAnsi="Times New Roman"/>
                <w:sz w:val="19"/>
                <w:szCs w:val="19"/>
                <w:color w:val="auto"/>
              </w:rPr>
              <w:t>Expected dividend yield</w:t>
            </w:r>
          </w:p>
        </w:tc>
        <w:tc>
          <w:tcPr>
            <w:tcW w:w="200" w:type="dxa"/>
            <w:vAlign w:val="bottom"/>
            <w:shd w:val="clear" w:color="auto" w:fill="D5EEEE"/>
          </w:tcPr>
          <w:p>
            <w:pPr>
              <w:spacing w:after="0"/>
              <w:rPr>
                <w:sz w:val="23"/>
                <w:szCs w:val="23"/>
                <w:color w:val="auto"/>
              </w:rPr>
            </w:pPr>
          </w:p>
        </w:tc>
        <w:tc>
          <w:tcPr>
            <w:tcW w:w="10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80" w:type="dxa"/>
            <w:vAlign w:val="bottom"/>
            <w:shd w:val="clear" w:color="auto" w:fill="D5EEEE"/>
          </w:tcPr>
          <w:p>
            <w:pPr>
              <w:spacing w:after="0"/>
              <w:rPr>
                <w:sz w:val="23"/>
                <w:szCs w:val="23"/>
                <w:color w:val="auto"/>
              </w:rPr>
            </w:pPr>
          </w:p>
        </w:tc>
        <w:tc>
          <w:tcPr>
            <w:tcW w:w="140" w:type="dxa"/>
            <w:vAlign w:val="bottom"/>
            <w:shd w:val="clear" w:color="auto" w:fill="D5EEEE"/>
          </w:tcPr>
          <w:p>
            <w:pPr>
              <w:spacing w:after="0"/>
              <w:rPr>
                <w:sz w:val="23"/>
                <w:szCs w:val="23"/>
                <w:color w:val="auto"/>
              </w:rPr>
            </w:pPr>
          </w:p>
        </w:tc>
        <w:tc>
          <w:tcPr>
            <w:tcW w:w="200" w:type="dxa"/>
            <w:vAlign w:val="bottom"/>
            <w:shd w:val="clear" w:color="auto" w:fill="D5EEEE"/>
          </w:tcPr>
          <w:p>
            <w:pPr>
              <w:spacing w:after="0"/>
              <w:rPr>
                <w:sz w:val="23"/>
                <w:szCs w:val="23"/>
                <w:color w:val="auto"/>
              </w:rPr>
            </w:pPr>
          </w:p>
        </w:tc>
        <w:tc>
          <w:tcPr>
            <w:tcW w:w="110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9"/>
                <w:szCs w:val="19"/>
                <w:color w:val="auto"/>
              </w:rPr>
              <w:t>—</w:t>
            </w:r>
          </w:p>
        </w:tc>
        <w:tc>
          <w:tcPr>
            <w:tcW w:w="260" w:type="dxa"/>
            <w:vAlign w:val="bottom"/>
            <w:shd w:val="clear" w:color="auto" w:fill="D5EEEE"/>
          </w:tcPr>
          <w:p>
            <w:pPr>
              <w:spacing w:after="0"/>
              <w:rPr>
                <w:sz w:val="23"/>
                <w:szCs w:val="23"/>
                <w:color w:val="auto"/>
              </w:rPr>
            </w:pPr>
          </w:p>
        </w:tc>
      </w:tr>
      <w:tr>
        <w:trPr>
          <w:trHeight w:val="266"/>
        </w:trPr>
        <w:tc>
          <w:tcPr>
            <w:tcW w:w="6940" w:type="dxa"/>
            <w:vAlign w:val="bottom"/>
          </w:tcPr>
          <w:p>
            <w:pPr>
              <w:spacing w:after="0"/>
              <w:rPr>
                <w:sz w:val="20"/>
                <w:szCs w:val="20"/>
                <w:color w:val="auto"/>
              </w:rPr>
            </w:pPr>
            <w:r>
              <w:rPr>
                <w:rFonts w:ascii="Times New Roman" w:cs="Times New Roman" w:eastAsia="Times New Roman" w:hAnsi="Times New Roman"/>
                <w:sz w:val="19"/>
                <w:szCs w:val="19"/>
                <w:color w:val="auto"/>
              </w:rPr>
              <w:t>Expected term (in years)</w:t>
            </w:r>
          </w:p>
        </w:tc>
        <w:tc>
          <w:tcPr>
            <w:tcW w:w="2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0.57 - 5.00</w:t>
            </w: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9"/>
                <w:szCs w:val="19"/>
                <w:color w:val="auto"/>
              </w:rPr>
              <w:t>0.92 - 4.43</w:t>
            </w:r>
          </w:p>
        </w:tc>
        <w:tc>
          <w:tcPr>
            <w:tcW w:w="260" w:type="dxa"/>
            <w:vAlign w:val="bottom"/>
          </w:tcPr>
          <w:p>
            <w:pPr>
              <w:spacing w:after="0"/>
              <w:rPr>
                <w:sz w:val="23"/>
                <w:szCs w:val="23"/>
                <w:color w:val="auto"/>
              </w:rPr>
            </w:pPr>
          </w:p>
        </w:tc>
      </w:tr>
    </w:tbl>
    <w:p>
      <w:pPr>
        <w:spacing w:after="0" w:line="200" w:lineRule="exact"/>
        <w:rPr>
          <w:sz w:val="20"/>
          <w:szCs w:val="20"/>
          <w:color w:val="auto"/>
        </w:rPr>
      </w:pPr>
    </w:p>
    <w:p>
      <w:pPr>
        <w:sectPr>
          <w:pgSz w:w="12240" w:h="15840" w:orient="portrait"/>
          <w:cols w:equalWidth="0" w:num="1">
            <w:col w:w="10200"/>
          </w:cols>
          <w:pgMar w:left="1020" w:top="1310" w:right="1020" w:bottom="556"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F-14</w:t>
      </w:r>
    </w:p>
    <w:p>
      <w:pPr>
        <w:sectPr>
          <w:pgSz w:w="12240" w:h="15840" w:orient="portrait"/>
          <w:cols w:equalWidth="0" w:num="1">
            <w:col w:w="10200"/>
          </w:cols>
          <w:pgMar w:left="1020" w:top="1310" w:right="1020" w:bottom="556" w:gutter="0" w:footer="0" w:header="0"/>
          <w:type w:val="continuous"/>
        </w:sectPr>
      </w:pPr>
    </w:p>
    <w:bookmarkStart w:id="137" w:name="page138"/>
    <w:bookmarkEnd w:id="137"/>
    <w:p>
      <w:pPr>
        <w:jc w:val="both"/>
        <w:spacing w:after="0" w:line="232" w:lineRule="auto"/>
        <w:rPr>
          <w:sz w:val="20"/>
          <w:szCs w:val="20"/>
          <w:color w:val="auto"/>
        </w:rPr>
      </w:pPr>
      <w:r>
        <w:rPr>
          <w:rFonts w:ascii="Times New Roman" w:cs="Times New Roman" w:eastAsia="Times New Roman" w:hAnsi="Times New Roman"/>
          <w:sz w:val="19"/>
          <w:szCs w:val="19"/>
          <w:color w:val="auto"/>
        </w:rPr>
        <w:t>The following table summarizes the changes in the fair market value of the Company’s common stock warrant liabilities, which are classified within the Level 3 fair value hierarchy:</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Total level 3</w:t>
            </w:r>
          </w:p>
        </w:tc>
      </w:tr>
      <w:tr>
        <w:trPr>
          <w:trHeight w:val="187"/>
        </w:trPr>
        <w:tc>
          <w:tcPr>
            <w:tcW w:w="4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financial</w:t>
            </w:r>
          </w:p>
        </w:tc>
      </w:tr>
      <w:tr>
        <w:trPr>
          <w:trHeight w:val="187"/>
        </w:trPr>
        <w:tc>
          <w:tcPr>
            <w:tcW w:w="4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jc w:val="right"/>
              <w:ind w:right="660"/>
              <w:spacing w:after="0"/>
              <w:rPr>
                <w:sz w:val="20"/>
                <w:szCs w:val="20"/>
                <w:color w:val="auto"/>
              </w:rPr>
            </w:pPr>
            <w:r>
              <w:rPr>
                <w:rFonts w:ascii="Times New Roman" w:cs="Times New Roman" w:eastAsia="Times New Roman" w:hAnsi="Times New Roman"/>
                <w:sz w:val="15"/>
                <w:szCs w:val="15"/>
                <w:b w:val="1"/>
                <w:bCs w:val="1"/>
                <w:color w:val="auto"/>
              </w:rPr>
              <w:t>Series A</w:t>
            </w:r>
          </w:p>
        </w:tc>
        <w:tc>
          <w:tcPr>
            <w:tcW w:w="220" w:type="dxa"/>
            <w:vAlign w:val="bottom"/>
          </w:tcPr>
          <w:p>
            <w:pPr>
              <w:spacing w:after="0"/>
              <w:rPr>
                <w:sz w:val="16"/>
                <w:szCs w:val="16"/>
                <w:color w:val="auto"/>
              </w:rPr>
            </w:pPr>
          </w:p>
        </w:tc>
        <w:tc>
          <w:tcPr>
            <w:tcW w:w="1320" w:type="dxa"/>
            <w:vAlign w:val="bottom"/>
            <w:gridSpan w:val="2"/>
          </w:tcPr>
          <w:p>
            <w:pPr>
              <w:jc w:val="right"/>
              <w:ind w:right="680"/>
              <w:spacing w:after="0"/>
              <w:rPr>
                <w:sz w:val="20"/>
                <w:szCs w:val="20"/>
                <w:color w:val="auto"/>
              </w:rPr>
            </w:pPr>
            <w:r>
              <w:rPr>
                <w:rFonts w:ascii="Times New Roman" w:cs="Times New Roman" w:eastAsia="Times New Roman" w:hAnsi="Times New Roman"/>
                <w:sz w:val="15"/>
                <w:szCs w:val="15"/>
                <w:b w:val="1"/>
                <w:bCs w:val="1"/>
                <w:color w:val="auto"/>
              </w:rPr>
              <w:t>Series B</w:t>
            </w:r>
          </w:p>
        </w:tc>
        <w:tc>
          <w:tcPr>
            <w:tcW w:w="220" w:type="dxa"/>
            <w:vAlign w:val="bottom"/>
          </w:tcPr>
          <w:p>
            <w:pPr>
              <w:spacing w:after="0"/>
              <w:rPr>
                <w:sz w:val="16"/>
                <w:szCs w:val="16"/>
                <w:color w:val="auto"/>
              </w:rPr>
            </w:pPr>
          </w:p>
        </w:tc>
        <w:tc>
          <w:tcPr>
            <w:tcW w:w="1020" w:type="dxa"/>
            <w:vAlign w:val="bottom"/>
          </w:tcPr>
          <w:p>
            <w:pPr>
              <w:jc w:val="right"/>
              <w:ind w:right="269"/>
              <w:spacing w:after="0"/>
              <w:rPr>
                <w:sz w:val="20"/>
                <w:szCs w:val="20"/>
                <w:color w:val="auto"/>
              </w:rPr>
            </w:pPr>
            <w:r>
              <w:rPr>
                <w:rFonts w:ascii="Times New Roman" w:cs="Times New Roman" w:eastAsia="Times New Roman" w:hAnsi="Times New Roman"/>
                <w:sz w:val="15"/>
                <w:szCs w:val="15"/>
                <w:b w:val="1"/>
                <w:bCs w:val="1"/>
                <w:color w:val="auto"/>
              </w:rPr>
              <w:t>Series C</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liabilities</w:t>
            </w:r>
          </w:p>
        </w:tc>
      </w:tr>
      <w:tr>
        <w:trPr>
          <w:trHeight w:val="225"/>
        </w:trPr>
        <w:tc>
          <w:tcPr>
            <w:tcW w:w="4300" w:type="dxa"/>
            <w:vAlign w:val="bottom"/>
            <w:tcBorders>
              <w:top w:val="single" w:sz="8" w:color="D5EEEE"/>
            </w:tcBorders>
            <w:shd w:val="clear" w:color="auto" w:fill="D5EEEE"/>
          </w:tcPr>
          <w:p>
            <w:pPr>
              <w:spacing w:after="0"/>
              <w:rPr>
                <w:sz w:val="20"/>
                <w:szCs w:val="20"/>
                <w:color w:val="auto"/>
              </w:rPr>
            </w:pPr>
            <w:r>
              <w:rPr>
                <w:rFonts w:ascii="Times New Roman" w:cs="Times New Roman" w:eastAsia="Times New Roman" w:hAnsi="Times New Roman"/>
                <w:sz w:val="19"/>
                <w:szCs w:val="19"/>
                <w:color w:val="auto"/>
              </w:rPr>
              <w:t>Balance at December 31, 2024</w:t>
            </w:r>
          </w:p>
        </w:tc>
        <w:tc>
          <w:tcPr>
            <w:tcW w:w="200" w:type="dxa"/>
            <w:vAlign w:val="bottom"/>
            <w:tcBorders>
              <w:top w:val="single" w:sz="8" w:color="auto"/>
            </w:tcBorders>
            <w:shd w:val="clear" w:color="auto" w:fill="D5EEEE"/>
          </w:tcPr>
          <w:p>
            <w:pPr>
              <w:jc w:val="right"/>
              <w:ind w:right="6"/>
              <w:spacing w:after="0"/>
              <w:rPr>
                <w:sz w:val="20"/>
                <w:szCs w:val="20"/>
                <w:color w:val="auto"/>
              </w:rPr>
            </w:pPr>
            <w:r>
              <w:rPr>
                <w:rFonts w:ascii="Times New Roman" w:cs="Times New Roman" w:eastAsia="Times New Roman" w:hAnsi="Times New Roman"/>
                <w:sz w:val="19"/>
                <w:szCs w:val="19"/>
                <w:color w:val="auto"/>
                <w:w w:val="83"/>
              </w:rPr>
              <w:t>$</w:t>
            </w:r>
          </w:p>
        </w:tc>
        <w:tc>
          <w:tcPr>
            <w:tcW w:w="98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320" w:type="dxa"/>
            <w:vAlign w:val="bottom"/>
            <w:tcBorders>
              <w:top w:val="single" w:sz="8" w:color="D5EEEE"/>
            </w:tcBorders>
            <w:shd w:val="clear" w:color="auto" w:fill="D5EEEE"/>
          </w:tcPr>
          <w:p>
            <w:pPr>
              <w:spacing w:after="0"/>
              <w:rPr>
                <w:sz w:val="19"/>
                <w:szCs w:val="19"/>
                <w:color w:val="auto"/>
              </w:rPr>
            </w:pPr>
          </w:p>
        </w:tc>
        <w:tc>
          <w:tcPr>
            <w:tcW w:w="220" w:type="dxa"/>
            <w:vAlign w:val="bottom"/>
            <w:tcBorders>
              <w:top w:val="single" w:sz="8" w:color="auto"/>
            </w:tcBorders>
            <w:shd w:val="clear" w:color="auto" w:fill="D5EEEE"/>
          </w:tcPr>
          <w:p>
            <w:pPr>
              <w:jc w:val="right"/>
              <w:ind w:right="26"/>
              <w:spacing w:after="0"/>
              <w:rPr>
                <w:sz w:val="20"/>
                <w:szCs w:val="20"/>
                <w:color w:val="auto"/>
              </w:rPr>
            </w:pPr>
            <w:r>
              <w:rPr>
                <w:rFonts w:ascii="Times New Roman" w:cs="Times New Roman" w:eastAsia="Times New Roman" w:hAnsi="Times New Roman"/>
                <w:sz w:val="19"/>
                <w:szCs w:val="19"/>
                <w:color w:val="auto"/>
                <w:w w:val="83"/>
              </w:rPr>
              <w:t>$</w:t>
            </w:r>
          </w:p>
        </w:tc>
        <w:tc>
          <w:tcPr>
            <w:tcW w:w="100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320" w:type="dxa"/>
            <w:vAlign w:val="bottom"/>
            <w:tcBorders>
              <w:top w:val="single" w:sz="8" w:color="D5EEEE"/>
            </w:tcBorders>
            <w:shd w:val="clear" w:color="auto" w:fill="D5EEEE"/>
          </w:tcPr>
          <w:p>
            <w:pPr>
              <w:spacing w:after="0"/>
              <w:rPr>
                <w:sz w:val="19"/>
                <w:szCs w:val="19"/>
                <w:color w:val="auto"/>
              </w:rPr>
            </w:pPr>
          </w:p>
        </w:tc>
        <w:tc>
          <w:tcPr>
            <w:tcW w:w="220" w:type="dxa"/>
            <w:vAlign w:val="bottom"/>
            <w:tcBorders>
              <w:top w:val="single" w:sz="8" w:color="auto"/>
            </w:tcBorders>
            <w:shd w:val="clear" w:color="auto" w:fill="D5EEEE"/>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320" w:type="dxa"/>
            <w:vAlign w:val="bottom"/>
            <w:tcBorders>
              <w:top w:val="single" w:sz="8" w:color="D5EEEE"/>
            </w:tcBorders>
            <w:shd w:val="clear" w:color="auto" w:fill="D5EEEE"/>
          </w:tcPr>
          <w:p>
            <w:pPr>
              <w:spacing w:after="0"/>
              <w:rPr>
                <w:sz w:val="19"/>
                <w:szCs w:val="19"/>
                <w:color w:val="auto"/>
              </w:rPr>
            </w:pPr>
          </w:p>
        </w:tc>
        <w:tc>
          <w:tcPr>
            <w:tcW w:w="14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Borders>
              <w:top w:val="single" w:sz="8" w:color="D5EEEE"/>
            </w:tcBorders>
            <w:shd w:val="clear" w:color="auto" w:fill="D5EEEE"/>
          </w:tcPr>
          <w:p>
            <w:pPr>
              <w:spacing w:after="0"/>
              <w:rPr>
                <w:sz w:val="19"/>
                <w:szCs w:val="19"/>
                <w:color w:val="auto"/>
              </w:rPr>
            </w:pPr>
          </w:p>
        </w:tc>
      </w:tr>
      <w:tr>
        <w:trPr>
          <w:trHeight w:val="230"/>
        </w:trPr>
        <w:tc>
          <w:tcPr>
            <w:tcW w:w="430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Initial fair value of common stock warrant liabilities</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26,840</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6,600</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5,060</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38,500</w:t>
            </w:r>
          </w:p>
        </w:tc>
        <w:tc>
          <w:tcPr>
            <w:tcW w:w="80" w:type="dxa"/>
            <w:vAlign w:val="bottom"/>
          </w:tcPr>
          <w:p>
            <w:pPr>
              <w:spacing w:after="0"/>
              <w:rPr>
                <w:sz w:val="20"/>
                <w:szCs w:val="20"/>
                <w:color w:val="auto"/>
              </w:rPr>
            </w:pPr>
          </w:p>
        </w:tc>
      </w:tr>
      <w:tr>
        <w:trPr>
          <w:trHeight w:val="230"/>
        </w:trPr>
        <w:tc>
          <w:tcPr>
            <w:tcW w:w="4300" w:type="dxa"/>
            <w:vAlign w:val="bottom"/>
            <w:shd w:val="clear" w:color="auto" w:fill="D5EEEE"/>
          </w:tcPr>
          <w:p>
            <w:pPr>
              <w:ind w:left="100"/>
              <w:spacing w:after="0"/>
              <w:rPr>
                <w:sz w:val="20"/>
                <w:szCs w:val="20"/>
                <w:color w:val="auto"/>
              </w:rPr>
            </w:pPr>
            <w:r>
              <w:rPr>
                <w:rFonts w:ascii="Times New Roman" w:cs="Times New Roman" w:eastAsia="Times New Roman" w:hAnsi="Times New Roman"/>
                <w:sz w:val="19"/>
                <w:szCs w:val="19"/>
                <w:color w:val="auto"/>
              </w:rPr>
              <w:t>Change in fair value of common stock warrant</w:t>
            </w:r>
          </w:p>
        </w:tc>
        <w:tc>
          <w:tcPr>
            <w:tcW w:w="200" w:type="dxa"/>
            <w:vAlign w:val="bottom"/>
            <w:shd w:val="clear" w:color="auto" w:fill="D5EEEE"/>
          </w:tcPr>
          <w:p>
            <w:pPr>
              <w:spacing w:after="0"/>
              <w:rPr>
                <w:sz w:val="20"/>
                <w:szCs w:val="20"/>
                <w:color w:val="auto"/>
              </w:rPr>
            </w:pPr>
          </w:p>
        </w:tc>
        <w:tc>
          <w:tcPr>
            <w:tcW w:w="980" w:type="dxa"/>
            <w:vAlign w:val="bottom"/>
            <w:shd w:val="clear" w:color="auto" w:fill="D5EEEE"/>
          </w:tcPr>
          <w:p>
            <w:pPr>
              <w:spacing w:after="0"/>
              <w:rPr>
                <w:sz w:val="20"/>
                <w:szCs w:val="20"/>
                <w:color w:val="auto"/>
              </w:rPr>
            </w:pPr>
          </w:p>
        </w:tc>
        <w:tc>
          <w:tcPr>
            <w:tcW w:w="320" w:type="dxa"/>
            <w:vAlign w:val="bottom"/>
            <w:shd w:val="clear" w:color="auto" w:fill="D5EEEE"/>
          </w:tcPr>
          <w:p>
            <w:pPr>
              <w:spacing w:after="0"/>
              <w:rPr>
                <w:sz w:val="20"/>
                <w:szCs w:val="20"/>
                <w:color w:val="auto"/>
              </w:rPr>
            </w:pPr>
          </w:p>
        </w:tc>
        <w:tc>
          <w:tcPr>
            <w:tcW w:w="220" w:type="dxa"/>
            <w:vAlign w:val="bottom"/>
            <w:shd w:val="clear" w:color="auto" w:fill="D5EEEE"/>
          </w:tcPr>
          <w:p>
            <w:pPr>
              <w:spacing w:after="0"/>
              <w:rPr>
                <w:sz w:val="20"/>
                <w:szCs w:val="20"/>
                <w:color w:val="auto"/>
              </w:rPr>
            </w:pPr>
          </w:p>
        </w:tc>
        <w:tc>
          <w:tcPr>
            <w:tcW w:w="1000" w:type="dxa"/>
            <w:vAlign w:val="bottom"/>
            <w:shd w:val="clear" w:color="auto" w:fill="D5EEEE"/>
          </w:tcPr>
          <w:p>
            <w:pPr>
              <w:spacing w:after="0"/>
              <w:rPr>
                <w:sz w:val="20"/>
                <w:szCs w:val="20"/>
                <w:color w:val="auto"/>
              </w:rPr>
            </w:pPr>
          </w:p>
        </w:tc>
        <w:tc>
          <w:tcPr>
            <w:tcW w:w="320" w:type="dxa"/>
            <w:vAlign w:val="bottom"/>
            <w:shd w:val="clear" w:color="auto" w:fill="D5EEEE"/>
          </w:tcPr>
          <w:p>
            <w:pPr>
              <w:spacing w:after="0"/>
              <w:rPr>
                <w:sz w:val="20"/>
                <w:szCs w:val="20"/>
                <w:color w:val="auto"/>
              </w:rPr>
            </w:pPr>
          </w:p>
        </w:tc>
        <w:tc>
          <w:tcPr>
            <w:tcW w:w="220" w:type="dxa"/>
            <w:vAlign w:val="bottom"/>
            <w:shd w:val="clear" w:color="auto" w:fill="D5EEEE"/>
          </w:tcPr>
          <w:p>
            <w:pPr>
              <w:spacing w:after="0"/>
              <w:rPr>
                <w:sz w:val="20"/>
                <w:szCs w:val="20"/>
                <w:color w:val="auto"/>
              </w:rPr>
            </w:pPr>
          </w:p>
        </w:tc>
        <w:tc>
          <w:tcPr>
            <w:tcW w:w="1020" w:type="dxa"/>
            <w:vAlign w:val="bottom"/>
            <w:shd w:val="clear" w:color="auto" w:fill="D5EEEE"/>
          </w:tcPr>
          <w:p>
            <w:pPr>
              <w:spacing w:after="0"/>
              <w:rPr>
                <w:sz w:val="20"/>
                <w:szCs w:val="20"/>
                <w:color w:val="auto"/>
              </w:rPr>
            </w:pPr>
          </w:p>
        </w:tc>
        <w:tc>
          <w:tcPr>
            <w:tcW w:w="320" w:type="dxa"/>
            <w:vAlign w:val="bottom"/>
            <w:shd w:val="clear" w:color="auto" w:fill="D5EEEE"/>
          </w:tcPr>
          <w:p>
            <w:pPr>
              <w:spacing w:after="0"/>
              <w:rPr>
                <w:sz w:val="20"/>
                <w:szCs w:val="20"/>
                <w:color w:val="auto"/>
              </w:rPr>
            </w:pPr>
          </w:p>
        </w:tc>
        <w:tc>
          <w:tcPr>
            <w:tcW w:w="140" w:type="dxa"/>
            <w:vAlign w:val="bottom"/>
            <w:shd w:val="clear" w:color="auto" w:fill="D5EEEE"/>
          </w:tcPr>
          <w:p>
            <w:pPr>
              <w:spacing w:after="0"/>
              <w:rPr>
                <w:sz w:val="20"/>
                <w:szCs w:val="20"/>
                <w:color w:val="auto"/>
              </w:rPr>
            </w:pPr>
          </w:p>
        </w:tc>
        <w:tc>
          <w:tcPr>
            <w:tcW w:w="1080" w:type="dxa"/>
            <w:vAlign w:val="bottom"/>
            <w:shd w:val="clear" w:color="auto" w:fill="D5EEEE"/>
          </w:tcPr>
          <w:p>
            <w:pPr>
              <w:spacing w:after="0"/>
              <w:rPr>
                <w:sz w:val="20"/>
                <w:szCs w:val="20"/>
                <w:color w:val="auto"/>
              </w:rPr>
            </w:pPr>
          </w:p>
        </w:tc>
        <w:tc>
          <w:tcPr>
            <w:tcW w:w="80" w:type="dxa"/>
            <w:vAlign w:val="bottom"/>
            <w:shd w:val="clear" w:color="auto" w:fill="D5EEEE"/>
          </w:tcPr>
          <w:p>
            <w:pPr>
              <w:spacing w:after="0"/>
              <w:rPr>
                <w:sz w:val="20"/>
                <w:szCs w:val="20"/>
                <w:color w:val="auto"/>
              </w:rPr>
            </w:pPr>
          </w:p>
        </w:tc>
      </w:tr>
      <w:tr>
        <w:trPr>
          <w:trHeight w:val="218"/>
        </w:trPr>
        <w:tc>
          <w:tcPr>
            <w:tcW w:w="4300" w:type="dxa"/>
            <w:vAlign w:val="bottom"/>
            <w:shd w:val="clear" w:color="auto" w:fill="D5EEEE"/>
          </w:tcPr>
          <w:p>
            <w:pPr>
              <w:ind w:left="100"/>
              <w:spacing w:after="0" w:line="217" w:lineRule="exact"/>
              <w:rPr>
                <w:sz w:val="20"/>
                <w:szCs w:val="20"/>
                <w:color w:val="auto"/>
              </w:rPr>
            </w:pPr>
            <w:r>
              <w:rPr>
                <w:rFonts w:ascii="Times New Roman" w:cs="Times New Roman" w:eastAsia="Times New Roman" w:hAnsi="Times New Roman"/>
                <w:sz w:val="19"/>
                <w:szCs w:val="19"/>
                <w:color w:val="auto"/>
              </w:rPr>
              <w:t>liabilities</w:t>
            </w:r>
          </w:p>
        </w:tc>
        <w:tc>
          <w:tcPr>
            <w:tcW w:w="200" w:type="dxa"/>
            <w:vAlign w:val="bottom"/>
            <w:shd w:val="clear" w:color="auto" w:fill="D5EEEE"/>
          </w:tcPr>
          <w:p>
            <w:pPr>
              <w:spacing w:after="0"/>
              <w:rPr>
                <w:sz w:val="18"/>
                <w:szCs w:val="18"/>
                <w:color w:val="auto"/>
              </w:rPr>
            </w:pPr>
          </w:p>
        </w:tc>
        <w:tc>
          <w:tcPr>
            <w:tcW w:w="1300" w:type="dxa"/>
            <w:vAlign w:val="bottom"/>
            <w:gridSpan w:val="2"/>
            <w:shd w:val="clear" w:color="auto" w:fill="D5EEEE"/>
          </w:tcPr>
          <w:p>
            <w:pPr>
              <w:jc w:val="right"/>
              <w:ind w:right="260"/>
              <w:spacing w:after="0" w:line="217" w:lineRule="exact"/>
              <w:rPr>
                <w:sz w:val="20"/>
                <w:szCs w:val="20"/>
                <w:color w:val="auto"/>
              </w:rPr>
            </w:pPr>
            <w:r>
              <w:rPr>
                <w:rFonts w:ascii="Times New Roman" w:cs="Times New Roman" w:eastAsia="Times New Roman" w:hAnsi="Times New Roman"/>
                <w:sz w:val="19"/>
                <w:szCs w:val="19"/>
                <w:color w:val="auto"/>
              </w:rPr>
              <w:t>(3,740)</w:t>
            </w:r>
          </w:p>
        </w:tc>
        <w:tc>
          <w:tcPr>
            <w:tcW w:w="220" w:type="dxa"/>
            <w:vAlign w:val="bottom"/>
            <w:shd w:val="clear" w:color="auto" w:fill="D5EEEE"/>
          </w:tcPr>
          <w:p>
            <w:pPr>
              <w:spacing w:after="0"/>
              <w:rPr>
                <w:sz w:val="18"/>
                <w:szCs w:val="18"/>
                <w:color w:val="auto"/>
              </w:rPr>
            </w:pPr>
          </w:p>
        </w:tc>
        <w:tc>
          <w:tcPr>
            <w:tcW w:w="1320" w:type="dxa"/>
            <w:vAlign w:val="bottom"/>
            <w:gridSpan w:val="2"/>
            <w:shd w:val="clear" w:color="auto" w:fill="D5EEEE"/>
          </w:tcPr>
          <w:p>
            <w:pPr>
              <w:jc w:val="right"/>
              <w:ind w:right="260"/>
              <w:spacing w:after="0" w:line="217" w:lineRule="exact"/>
              <w:rPr>
                <w:sz w:val="20"/>
                <w:szCs w:val="20"/>
                <w:color w:val="auto"/>
              </w:rPr>
            </w:pPr>
            <w:r>
              <w:rPr>
                <w:rFonts w:ascii="Times New Roman" w:cs="Times New Roman" w:eastAsia="Times New Roman" w:hAnsi="Times New Roman"/>
                <w:sz w:val="19"/>
                <w:szCs w:val="19"/>
                <w:color w:val="auto"/>
              </w:rPr>
              <w:t>(3,505)</w:t>
            </w:r>
          </w:p>
        </w:tc>
        <w:tc>
          <w:tcPr>
            <w:tcW w:w="220" w:type="dxa"/>
            <w:vAlign w:val="bottom"/>
            <w:shd w:val="clear" w:color="auto" w:fill="D5EEEE"/>
          </w:tcPr>
          <w:p>
            <w:pPr>
              <w:spacing w:after="0"/>
              <w:rPr>
                <w:sz w:val="18"/>
                <w:szCs w:val="18"/>
                <w:color w:val="auto"/>
              </w:rPr>
            </w:pPr>
          </w:p>
        </w:tc>
        <w:tc>
          <w:tcPr>
            <w:tcW w:w="1020" w:type="dxa"/>
            <w:vAlign w:val="bottom"/>
            <w:shd w:val="clear" w:color="auto" w:fill="D5EEEE"/>
          </w:tcPr>
          <w:p>
            <w:pPr>
              <w:jc w:val="right"/>
              <w:spacing w:after="0" w:line="217" w:lineRule="exact"/>
              <w:rPr>
                <w:sz w:val="20"/>
                <w:szCs w:val="20"/>
                <w:color w:val="auto"/>
              </w:rPr>
            </w:pPr>
            <w:r>
              <w:rPr>
                <w:rFonts w:ascii="Times New Roman" w:cs="Times New Roman" w:eastAsia="Times New Roman" w:hAnsi="Times New Roman"/>
                <w:sz w:val="19"/>
                <w:szCs w:val="19"/>
                <w:color w:val="auto"/>
              </w:rPr>
              <w:t>1,400</w:t>
            </w:r>
          </w:p>
        </w:tc>
        <w:tc>
          <w:tcPr>
            <w:tcW w:w="320" w:type="dxa"/>
            <w:vAlign w:val="bottom"/>
            <w:shd w:val="clear" w:color="auto" w:fill="D5EEEE"/>
          </w:tcPr>
          <w:p>
            <w:pPr>
              <w:spacing w:after="0"/>
              <w:rPr>
                <w:sz w:val="18"/>
                <w:szCs w:val="18"/>
                <w:color w:val="auto"/>
              </w:rPr>
            </w:pPr>
          </w:p>
        </w:tc>
        <w:tc>
          <w:tcPr>
            <w:tcW w:w="140" w:type="dxa"/>
            <w:vAlign w:val="bottom"/>
            <w:shd w:val="clear" w:color="auto" w:fill="D5EEEE"/>
          </w:tcPr>
          <w:p>
            <w:pPr>
              <w:spacing w:after="0"/>
              <w:rPr>
                <w:sz w:val="18"/>
                <w:szCs w:val="18"/>
                <w:color w:val="auto"/>
              </w:rPr>
            </w:pPr>
          </w:p>
        </w:tc>
        <w:tc>
          <w:tcPr>
            <w:tcW w:w="1160" w:type="dxa"/>
            <w:vAlign w:val="bottom"/>
            <w:gridSpan w:val="2"/>
            <w:shd w:val="clear" w:color="auto" w:fill="D5EEEE"/>
          </w:tcPr>
          <w:p>
            <w:pPr>
              <w:jc w:val="right"/>
              <w:ind w:right="20"/>
              <w:spacing w:after="0" w:line="217" w:lineRule="exact"/>
              <w:rPr>
                <w:sz w:val="20"/>
                <w:szCs w:val="20"/>
                <w:color w:val="auto"/>
              </w:rPr>
            </w:pPr>
            <w:r>
              <w:rPr>
                <w:rFonts w:ascii="Times New Roman" w:cs="Times New Roman" w:eastAsia="Times New Roman" w:hAnsi="Times New Roman"/>
                <w:sz w:val="19"/>
                <w:szCs w:val="19"/>
                <w:color w:val="auto"/>
              </w:rPr>
              <w:t>(5,845)</w:t>
            </w:r>
          </w:p>
        </w:tc>
      </w:tr>
      <w:tr>
        <w:trPr>
          <w:trHeight w:val="230"/>
        </w:trPr>
        <w:tc>
          <w:tcPr>
            <w:tcW w:w="430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Conversion of common stock warrant liabilities to</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8"/>
        </w:trPr>
        <w:tc>
          <w:tcPr>
            <w:tcW w:w="4300" w:type="dxa"/>
            <w:vAlign w:val="bottom"/>
          </w:tcPr>
          <w:p>
            <w:pPr>
              <w:ind w:left="100"/>
              <w:spacing w:after="0" w:line="217" w:lineRule="exact"/>
              <w:rPr>
                <w:sz w:val="20"/>
                <w:szCs w:val="20"/>
                <w:color w:val="auto"/>
              </w:rPr>
            </w:pPr>
            <w:r>
              <w:rPr>
                <w:rFonts w:ascii="Times New Roman" w:cs="Times New Roman" w:eastAsia="Times New Roman" w:hAnsi="Times New Roman"/>
                <w:sz w:val="19"/>
                <w:szCs w:val="19"/>
                <w:color w:val="auto"/>
              </w:rPr>
              <w:t>equity</w:t>
            </w:r>
          </w:p>
        </w:tc>
        <w:tc>
          <w:tcPr>
            <w:tcW w:w="200" w:type="dxa"/>
            <w:vAlign w:val="bottom"/>
          </w:tcPr>
          <w:p>
            <w:pPr>
              <w:spacing w:after="0"/>
              <w:rPr>
                <w:sz w:val="18"/>
                <w:szCs w:val="18"/>
                <w:color w:val="auto"/>
              </w:rPr>
            </w:pPr>
          </w:p>
        </w:tc>
        <w:tc>
          <w:tcPr>
            <w:tcW w:w="1300" w:type="dxa"/>
            <w:vAlign w:val="bottom"/>
            <w:gridSpan w:val="2"/>
          </w:tcPr>
          <w:p>
            <w:pPr>
              <w:jc w:val="right"/>
              <w:ind w:right="340"/>
              <w:spacing w:after="0" w:line="217" w:lineRule="exact"/>
              <w:rPr>
                <w:sz w:val="20"/>
                <w:szCs w:val="20"/>
                <w:color w:val="auto"/>
              </w:rPr>
            </w:pPr>
            <w:r>
              <w:rPr>
                <w:rFonts w:ascii="Times New Roman" w:cs="Times New Roman" w:eastAsia="Times New Roman" w:hAnsi="Times New Roman"/>
                <w:sz w:val="19"/>
                <w:szCs w:val="19"/>
                <w:color w:val="auto"/>
              </w:rPr>
              <w:t>—</w:t>
            </w:r>
          </w:p>
        </w:tc>
        <w:tc>
          <w:tcPr>
            <w:tcW w:w="220" w:type="dxa"/>
            <w:vAlign w:val="bottom"/>
          </w:tcPr>
          <w:p>
            <w:pPr>
              <w:spacing w:after="0"/>
              <w:rPr>
                <w:sz w:val="18"/>
                <w:szCs w:val="18"/>
                <w:color w:val="auto"/>
              </w:rPr>
            </w:pPr>
          </w:p>
        </w:tc>
        <w:tc>
          <w:tcPr>
            <w:tcW w:w="1320" w:type="dxa"/>
            <w:vAlign w:val="bottom"/>
            <w:gridSpan w:val="2"/>
          </w:tcPr>
          <w:p>
            <w:pPr>
              <w:jc w:val="right"/>
              <w:ind w:right="260"/>
              <w:spacing w:after="0" w:line="217" w:lineRule="exact"/>
              <w:rPr>
                <w:sz w:val="20"/>
                <w:szCs w:val="20"/>
                <w:color w:val="auto"/>
              </w:rPr>
            </w:pPr>
            <w:r>
              <w:rPr>
                <w:rFonts w:ascii="Times New Roman" w:cs="Times New Roman" w:eastAsia="Times New Roman" w:hAnsi="Times New Roman"/>
                <w:sz w:val="19"/>
                <w:szCs w:val="19"/>
                <w:color w:val="auto"/>
              </w:rPr>
              <w:t>(3,095)</w:t>
            </w:r>
          </w:p>
        </w:tc>
        <w:tc>
          <w:tcPr>
            <w:tcW w:w="220" w:type="dxa"/>
            <w:vAlign w:val="bottom"/>
          </w:tcPr>
          <w:p>
            <w:pPr>
              <w:spacing w:after="0"/>
              <w:rPr>
                <w:sz w:val="18"/>
                <w:szCs w:val="18"/>
                <w:color w:val="auto"/>
              </w:rPr>
            </w:pPr>
          </w:p>
        </w:tc>
        <w:tc>
          <w:tcPr>
            <w:tcW w:w="1020" w:type="dxa"/>
            <w:vAlign w:val="bottom"/>
          </w:tcPr>
          <w:p>
            <w:pPr>
              <w:jc w:val="right"/>
              <w:spacing w:after="0" w:line="217" w:lineRule="exact"/>
              <w:rPr>
                <w:sz w:val="20"/>
                <w:szCs w:val="20"/>
                <w:color w:val="auto"/>
              </w:rPr>
            </w:pPr>
            <w:r>
              <w:rPr>
                <w:rFonts w:ascii="Times New Roman" w:cs="Times New Roman" w:eastAsia="Times New Roman" w:hAnsi="Times New Roman"/>
                <w:sz w:val="19"/>
                <w:szCs w:val="19"/>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0"/>
              <w:spacing w:after="0" w:line="217" w:lineRule="exact"/>
              <w:rPr>
                <w:sz w:val="20"/>
                <w:szCs w:val="20"/>
                <w:color w:val="auto"/>
              </w:rPr>
            </w:pPr>
            <w:r>
              <w:rPr>
                <w:rFonts w:ascii="Times New Roman" w:cs="Times New Roman" w:eastAsia="Times New Roman" w:hAnsi="Times New Roman"/>
                <w:sz w:val="19"/>
                <w:szCs w:val="19"/>
                <w:color w:val="auto"/>
              </w:rPr>
              <w:t>(3,095)</w:t>
            </w:r>
          </w:p>
        </w:tc>
      </w:tr>
      <w:tr>
        <w:trPr>
          <w:trHeight w:val="245"/>
        </w:trPr>
        <w:tc>
          <w:tcPr>
            <w:tcW w:w="4300" w:type="dxa"/>
            <w:vAlign w:val="bottom"/>
            <w:tcBorders>
              <w:top w:val="single" w:sz="8" w:color="D5EEEE"/>
              <w:bottom w:val="single" w:sz="8" w:color="D5EEEE"/>
            </w:tcBorders>
            <w:shd w:val="clear" w:color="auto" w:fill="D5EEEE"/>
          </w:tcPr>
          <w:p>
            <w:pPr>
              <w:spacing w:after="0"/>
              <w:rPr>
                <w:sz w:val="20"/>
                <w:szCs w:val="20"/>
                <w:color w:val="auto"/>
              </w:rPr>
            </w:pPr>
            <w:r>
              <w:rPr>
                <w:rFonts w:ascii="Times New Roman" w:cs="Times New Roman" w:eastAsia="Times New Roman" w:hAnsi="Times New Roman"/>
                <w:sz w:val="19"/>
                <w:szCs w:val="19"/>
                <w:color w:val="auto"/>
              </w:rPr>
              <w:t>Balance at December 31, 2025</w:t>
            </w:r>
          </w:p>
        </w:tc>
        <w:tc>
          <w:tcPr>
            <w:tcW w:w="200" w:type="dxa"/>
            <w:vAlign w:val="bottom"/>
            <w:tcBorders>
              <w:top w:val="single" w:sz="8" w:color="auto"/>
              <w:bottom w:val="single" w:sz="8" w:color="auto"/>
            </w:tcBorders>
            <w:shd w:val="clear" w:color="auto" w:fill="D5EEEE"/>
          </w:tcPr>
          <w:p>
            <w:pPr>
              <w:jc w:val="right"/>
              <w:ind w:right="6"/>
              <w:spacing w:after="0"/>
              <w:rPr>
                <w:sz w:val="20"/>
                <w:szCs w:val="20"/>
                <w:color w:val="auto"/>
              </w:rPr>
            </w:pPr>
            <w:r>
              <w:rPr>
                <w:rFonts w:ascii="Times New Roman" w:cs="Times New Roman" w:eastAsia="Times New Roman" w:hAnsi="Times New Roman"/>
                <w:sz w:val="19"/>
                <w:szCs w:val="19"/>
                <w:color w:val="auto"/>
                <w:w w:val="83"/>
              </w:rPr>
              <w:t>$</w:t>
            </w:r>
          </w:p>
        </w:tc>
        <w:tc>
          <w:tcPr>
            <w:tcW w:w="980" w:type="dxa"/>
            <w:vAlign w:val="bottom"/>
            <w:tcBorders>
              <w:top w:val="single" w:sz="8" w:color="auto"/>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23,100</w:t>
            </w:r>
          </w:p>
        </w:tc>
        <w:tc>
          <w:tcPr>
            <w:tcW w:w="320" w:type="dxa"/>
            <w:vAlign w:val="bottom"/>
            <w:tcBorders>
              <w:top w:val="single" w:sz="8" w:color="D5EEEE"/>
              <w:bottom w:val="single" w:sz="8" w:color="D5EEEE"/>
            </w:tcBorders>
            <w:shd w:val="clear" w:color="auto" w:fill="D5EEEE"/>
          </w:tcPr>
          <w:p>
            <w:pPr>
              <w:spacing w:after="0"/>
              <w:rPr>
                <w:sz w:val="21"/>
                <w:szCs w:val="21"/>
                <w:color w:val="auto"/>
              </w:rPr>
            </w:pPr>
          </w:p>
        </w:tc>
        <w:tc>
          <w:tcPr>
            <w:tcW w:w="220" w:type="dxa"/>
            <w:vAlign w:val="bottom"/>
            <w:tcBorders>
              <w:top w:val="single" w:sz="8" w:color="auto"/>
              <w:bottom w:val="single" w:sz="8" w:color="auto"/>
            </w:tcBorders>
            <w:shd w:val="clear" w:color="auto" w:fill="D5EEEE"/>
          </w:tcPr>
          <w:p>
            <w:pPr>
              <w:jc w:val="right"/>
              <w:ind w:right="26"/>
              <w:spacing w:after="0"/>
              <w:rPr>
                <w:sz w:val="20"/>
                <w:szCs w:val="20"/>
                <w:color w:val="auto"/>
              </w:rPr>
            </w:pPr>
            <w:r>
              <w:rPr>
                <w:rFonts w:ascii="Times New Roman" w:cs="Times New Roman" w:eastAsia="Times New Roman" w:hAnsi="Times New Roman"/>
                <w:sz w:val="19"/>
                <w:szCs w:val="19"/>
                <w:color w:val="auto"/>
                <w:w w:val="83"/>
              </w:rPr>
              <w:t>$</w:t>
            </w:r>
          </w:p>
        </w:tc>
        <w:tc>
          <w:tcPr>
            <w:tcW w:w="1000" w:type="dxa"/>
            <w:vAlign w:val="bottom"/>
            <w:tcBorders>
              <w:top w:val="single" w:sz="8" w:color="auto"/>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320" w:type="dxa"/>
            <w:vAlign w:val="bottom"/>
            <w:tcBorders>
              <w:top w:val="single" w:sz="8" w:color="D5EEEE"/>
              <w:bottom w:val="single" w:sz="8" w:color="D5EEEE"/>
            </w:tcBorders>
            <w:shd w:val="clear" w:color="auto" w:fill="D5EEEE"/>
          </w:tcPr>
          <w:p>
            <w:pPr>
              <w:spacing w:after="0"/>
              <w:rPr>
                <w:sz w:val="21"/>
                <w:szCs w:val="21"/>
                <w:color w:val="auto"/>
              </w:rPr>
            </w:pPr>
          </w:p>
        </w:tc>
        <w:tc>
          <w:tcPr>
            <w:tcW w:w="220" w:type="dxa"/>
            <w:vAlign w:val="bottom"/>
            <w:tcBorders>
              <w:top w:val="single" w:sz="8" w:color="auto"/>
              <w:bottom w:val="single" w:sz="8" w:color="auto"/>
            </w:tcBorders>
            <w:shd w:val="clear" w:color="auto" w:fill="D5EEEE"/>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6,460</w:t>
            </w:r>
          </w:p>
        </w:tc>
        <w:tc>
          <w:tcPr>
            <w:tcW w:w="320" w:type="dxa"/>
            <w:vAlign w:val="bottom"/>
            <w:tcBorders>
              <w:top w:val="single" w:sz="8" w:color="D5EEEE"/>
              <w:bottom w:val="single" w:sz="8" w:color="D5EEEE"/>
            </w:tcBorders>
            <w:shd w:val="clear" w:color="auto" w:fill="D5EEEE"/>
          </w:tcPr>
          <w:p>
            <w:pPr>
              <w:spacing w:after="0"/>
              <w:rPr>
                <w:sz w:val="21"/>
                <w:szCs w:val="21"/>
                <w:color w:val="auto"/>
              </w:rPr>
            </w:pPr>
          </w:p>
        </w:tc>
        <w:tc>
          <w:tcPr>
            <w:tcW w:w="140" w:type="dxa"/>
            <w:vAlign w:val="bottom"/>
            <w:tcBorders>
              <w:top w:val="single" w:sz="8" w:color="auto"/>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29,560</w:t>
            </w:r>
          </w:p>
        </w:tc>
        <w:tc>
          <w:tcPr>
            <w:tcW w:w="80" w:type="dxa"/>
            <w:vAlign w:val="bottom"/>
            <w:tcBorders>
              <w:top w:val="single" w:sz="8" w:color="D5EEEE"/>
              <w:bottom w:val="single" w:sz="8" w:color="D5EEEE"/>
            </w:tcBorders>
            <w:shd w:val="clear" w:color="auto" w:fill="D5EEEE"/>
          </w:tcPr>
          <w:p>
            <w:pPr>
              <w:spacing w:after="0"/>
              <w:rPr>
                <w:sz w:val="21"/>
                <w:szCs w:val="21"/>
                <w:color w:val="auto"/>
              </w:rPr>
            </w:pPr>
          </w:p>
        </w:tc>
      </w:tr>
      <w:tr>
        <w:trPr>
          <w:trHeight w:val="20"/>
        </w:trPr>
        <w:tc>
          <w:tcPr>
            <w:tcW w:w="4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4. Property and Equipment, Net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Property and equipment, net consists of the following as of December 31, 2025 and 2024:</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jc w:val="right"/>
              <w:ind w:right="349"/>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ind w:right="309"/>
              <w:spacing w:after="0"/>
              <w:rPr>
                <w:sz w:val="20"/>
                <w:szCs w:val="20"/>
                <w:color w:val="auto"/>
              </w:rPr>
            </w:pPr>
            <w:r>
              <w:rPr>
                <w:rFonts w:ascii="Times New Roman" w:cs="Times New Roman" w:eastAsia="Times New Roman" w:hAnsi="Times New Roman"/>
                <w:sz w:val="15"/>
                <w:szCs w:val="15"/>
                <w:b w:val="1"/>
                <w:bCs w:val="1"/>
                <w:color w:val="auto"/>
              </w:rPr>
              <w:t>December 31,</w:t>
            </w:r>
          </w:p>
        </w:tc>
      </w:tr>
      <w:tr>
        <w:trPr>
          <w:trHeight w:val="187"/>
        </w:trPr>
        <w:tc>
          <w:tcPr>
            <w:tcW w:w="6820" w:type="dxa"/>
            <w:vAlign w:val="bottom"/>
            <w:tcBorders>
              <w:bottom w:val="single" w:sz="8" w:color="D5EEEE"/>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5"/>
                <w:szCs w:val="15"/>
                <w:b w:val="1"/>
                <w:bCs w:val="1"/>
                <w:color w:val="auto"/>
              </w:rPr>
              <w:t>2025</w:t>
            </w:r>
          </w:p>
        </w:tc>
        <w:tc>
          <w:tcPr>
            <w:tcW w:w="160" w:type="dxa"/>
            <w:vAlign w:val="bottom"/>
            <w:tcBorders>
              <w:bottom w:val="single" w:sz="8" w:color="D5EEEE"/>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225"/>
        </w:trPr>
        <w:tc>
          <w:tcPr>
            <w:tcW w:w="6820" w:type="dxa"/>
            <w:vAlign w:val="bottom"/>
            <w:shd w:val="clear" w:color="auto" w:fill="D5EEEE"/>
          </w:tcPr>
          <w:p>
            <w:pPr>
              <w:spacing w:after="0"/>
              <w:rPr>
                <w:sz w:val="20"/>
                <w:szCs w:val="20"/>
                <w:color w:val="auto"/>
              </w:rPr>
            </w:pPr>
            <w:r>
              <w:rPr>
                <w:rFonts w:ascii="Times New Roman" w:cs="Times New Roman" w:eastAsia="Times New Roman" w:hAnsi="Times New Roman"/>
                <w:sz w:val="19"/>
                <w:szCs w:val="19"/>
                <w:color w:val="auto"/>
              </w:rPr>
              <w:t>Laboratory equipment</w:t>
            </w:r>
          </w:p>
        </w:tc>
        <w:tc>
          <w:tcPr>
            <w:tcW w:w="200" w:type="dxa"/>
            <w:vAlign w:val="bottom"/>
            <w:shd w:val="clear" w:color="auto" w:fill="D5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D5EEEE"/>
          </w:tcPr>
          <w:p>
            <w:pPr>
              <w:jc w:val="right"/>
              <w:ind w:right="29"/>
              <w:spacing w:after="0"/>
              <w:rPr>
                <w:sz w:val="20"/>
                <w:szCs w:val="20"/>
                <w:color w:val="auto"/>
              </w:rPr>
            </w:pPr>
            <w:r>
              <w:rPr>
                <w:rFonts w:ascii="Times New Roman" w:cs="Times New Roman" w:eastAsia="Times New Roman" w:hAnsi="Times New Roman"/>
                <w:sz w:val="19"/>
                <w:szCs w:val="19"/>
                <w:color w:val="auto"/>
              </w:rPr>
              <w:t>6,381</w:t>
            </w:r>
          </w:p>
        </w:tc>
        <w:tc>
          <w:tcPr>
            <w:tcW w:w="160" w:type="dxa"/>
            <w:vAlign w:val="bottom"/>
            <w:shd w:val="clear" w:color="auto" w:fill="D5EEEE"/>
          </w:tcPr>
          <w:p>
            <w:pPr>
              <w:spacing w:after="0"/>
              <w:rPr>
                <w:sz w:val="19"/>
                <w:szCs w:val="19"/>
                <w:color w:val="auto"/>
              </w:rPr>
            </w:pPr>
          </w:p>
        </w:tc>
        <w:tc>
          <w:tcPr>
            <w:tcW w:w="200" w:type="dxa"/>
            <w:vAlign w:val="bottom"/>
            <w:shd w:val="clear" w:color="auto" w:fill="D5EEEE"/>
          </w:tcPr>
          <w:p>
            <w:pPr>
              <w:jc w:val="right"/>
              <w:ind w:right="6"/>
              <w:spacing w:after="0"/>
              <w:rPr>
                <w:sz w:val="20"/>
                <w:szCs w:val="20"/>
                <w:color w:val="auto"/>
              </w:rPr>
            </w:pPr>
            <w:r>
              <w:rPr>
                <w:rFonts w:ascii="Times New Roman" w:cs="Times New Roman" w:eastAsia="Times New Roman" w:hAnsi="Times New Roman"/>
                <w:sz w:val="19"/>
                <w:szCs w:val="19"/>
                <w:color w:val="auto"/>
                <w:w w:val="83"/>
              </w:rPr>
              <w:t>$</w:t>
            </w:r>
          </w:p>
        </w:tc>
        <w:tc>
          <w:tcPr>
            <w:tcW w:w="1400" w:type="dxa"/>
            <w:vAlign w:val="bottom"/>
            <w:shd w:val="clear" w:color="auto" w:fill="D5EEEE"/>
          </w:tcPr>
          <w:p>
            <w:pPr>
              <w:jc w:val="right"/>
              <w:ind w:right="9"/>
              <w:spacing w:after="0"/>
              <w:rPr>
                <w:sz w:val="20"/>
                <w:szCs w:val="20"/>
                <w:color w:val="auto"/>
              </w:rPr>
            </w:pPr>
            <w:r>
              <w:rPr>
                <w:rFonts w:ascii="Times New Roman" w:cs="Times New Roman" w:eastAsia="Times New Roman" w:hAnsi="Times New Roman"/>
                <w:sz w:val="19"/>
                <w:szCs w:val="19"/>
                <w:color w:val="auto"/>
              </w:rPr>
              <w:t>5,911</w:t>
            </w:r>
          </w:p>
        </w:tc>
      </w:tr>
      <w:tr>
        <w:trPr>
          <w:trHeight w:val="230"/>
        </w:trPr>
        <w:tc>
          <w:tcPr>
            <w:tcW w:w="6820" w:type="dxa"/>
            <w:vAlign w:val="bottom"/>
          </w:tcPr>
          <w:p>
            <w:pPr>
              <w:spacing w:after="0"/>
              <w:rPr>
                <w:sz w:val="20"/>
                <w:szCs w:val="20"/>
                <w:color w:val="auto"/>
              </w:rPr>
            </w:pPr>
            <w:r>
              <w:rPr>
                <w:rFonts w:ascii="Times New Roman" w:cs="Times New Roman" w:eastAsia="Times New Roman" w:hAnsi="Times New Roman"/>
                <w:sz w:val="19"/>
                <w:szCs w:val="19"/>
                <w:color w:val="auto"/>
              </w:rPr>
              <w:t>Computers and software</w:t>
            </w:r>
          </w:p>
        </w:tc>
        <w:tc>
          <w:tcPr>
            <w:tcW w:w="200" w:type="dxa"/>
            <w:vAlign w:val="bottom"/>
          </w:tcPr>
          <w:p>
            <w:pPr>
              <w:spacing w:after="0"/>
              <w:rPr>
                <w:sz w:val="19"/>
                <w:szCs w:val="19"/>
                <w:color w:val="auto"/>
              </w:rPr>
            </w:pPr>
          </w:p>
        </w:tc>
        <w:tc>
          <w:tcPr>
            <w:tcW w:w="1420" w:type="dxa"/>
            <w:vAlign w:val="bottom"/>
          </w:tcPr>
          <w:p>
            <w:pPr>
              <w:jc w:val="right"/>
              <w:ind w:right="29"/>
              <w:spacing w:after="0"/>
              <w:rPr>
                <w:sz w:val="20"/>
                <w:szCs w:val="20"/>
                <w:color w:val="auto"/>
              </w:rPr>
            </w:pPr>
            <w:r>
              <w:rPr>
                <w:rFonts w:ascii="Times New Roman" w:cs="Times New Roman" w:eastAsia="Times New Roman" w:hAnsi="Times New Roman"/>
                <w:sz w:val="19"/>
                <w:szCs w:val="19"/>
                <w:color w:val="auto"/>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ind w:right="9"/>
              <w:spacing w:after="0"/>
              <w:rPr>
                <w:sz w:val="20"/>
                <w:szCs w:val="20"/>
                <w:color w:val="auto"/>
              </w:rPr>
            </w:pPr>
            <w:r>
              <w:rPr>
                <w:rFonts w:ascii="Times New Roman" w:cs="Times New Roman" w:eastAsia="Times New Roman" w:hAnsi="Times New Roman"/>
                <w:sz w:val="19"/>
                <w:szCs w:val="19"/>
                <w:color w:val="auto"/>
              </w:rPr>
              <w:t>183</w:t>
            </w:r>
          </w:p>
        </w:tc>
      </w:tr>
      <w:tr>
        <w:trPr>
          <w:trHeight w:val="231"/>
        </w:trPr>
        <w:tc>
          <w:tcPr>
            <w:tcW w:w="6820" w:type="dxa"/>
            <w:vAlign w:val="bottom"/>
            <w:shd w:val="clear" w:color="auto" w:fill="D5EEEE"/>
          </w:tcPr>
          <w:p>
            <w:pPr>
              <w:spacing w:after="0"/>
              <w:rPr>
                <w:sz w:val="20"/>
                <w:szCs w:val="20"/>
                <w:color w:val="auto"/>
              </w:rPr>
            </w:pPr>
            <w:r>
              <w:rPr>
                <w:rFonts w:ascii="Times New Roman" w:cs="Times New Roman" w:eastAsia="Times New Roman" w:hAnsi="Times New Roman"/>
                <w:sz w:val="19"/>
                <w:szCs w:val="19"/>
                <w:color w:val="auto"/>
              </w:rPr>
              <w:t>Furniture and fixtures</w:t>
            </w:r>
          </w:p>
        </w:tc>
        <w:tc>
          <w:tcPr>
            <w:tcW w:w="200" w:type="dxa"/>
            <w:vAlign w:val="bottom"/>
            <w:shd w:val="clear" w:color="auto" w:fill="D5EEEE"/>
          </w:tcPr>
          <w:p>
            <w:pPr>
              <w:spacing w:after="0"/>
              <w:rPr>
                <w:sz w:val="20"/>
                <w:szCs w:val="20"/>
                <w:color w:val="auto"/>
              </w:rPr>
            </w:pPr>
          </w:p>
        </w:tc>
        <w:tc>
          <w:tcPr>
            <w:tcW w:w="1420" w:type="dxa"/>
            <w:vAlign w:val="bottom"/>
            <w:shd w:val="clear" w:color="auto" w:fill="D5EEEE"/>
          </w:tcPr>
          <w:p>
            <w:pPr>
              <w:jc w:val="right"/>
              <w:ind w:right="29"/>
              <w:spacing w:after="0"/>
              <w:rPr>
                <w:sz w:val="20"/>
                <w:szCs w:val="20"/>
                <w:color w:val="auto"/>
              </w:rPr>
            </w:pPr>
            <w:r>
              <w:rPr>
                <w:rFonts w:ascii="Times New Roman" w:cs="Times New Roman" w:eastAsia="Times New Roman" w:hAnsi="Times New Roman"/>
                <w:sz w:val="19"/>
                <w:szCs w:val="19"/>
                <w:color w:val="auto"/>
              </w:rPr>
              <w:t>681</w:t>
            </w:r>
          </w:p>
        </w:tc>
        <w:tc>
          <w:tcPr>
            <w:tcW w:w="160" w:type="dxa"/>
            <w:vAlign w:val="bottom"/>
            <w:shd w:val="clear" w:color="auto" w:fill="D5EEEE"/>
          </w:tcPr>
          <w:p>
            <w:pPr>
              <w:spacing w:after="0"/>
              <w:rPr>
                <w:sz w:val="20"/>
                <w:szCs w:val="20"/>
                <w:color w:val="auto"/>
              </w:rPr>
            </w:pPr>
          </w:p>
        </w:tc>
        <w:tc>
          <w:tcPr>
            <w:tcW w:w="200" w:type="dxa"/>
            <w:vAlign w:val="bottom"/>
            <w:shd w:val="clear" w:color="auto" w:fill="D5EEEE"/>
          </w:tcPr>
          <w:p>
            <w:pPr>
              <w:spacing w:after="0"/>
              <w:rPr>
                <w:sz w:val="20"/>
                <w:szCs w:val="20"/>
                <w:color w:val="auto"/>
              </w:rPr>
            </w:pPr>
          </w:p>
        </w:tc>
        <w:tc>
          <w:tcPr>
            <w:tcW w:w="1400" w:type="dxa"/>
            <w:vAlign w:val="bottom"/>
            <w:shd w:val="clear" w:color="auto" w:fill="D5EEEE"/>
          </w:tcPr>
          <w:p>
            <w:pPr>
              <w:jc w:val="right"/>
              <w:ind w:right="9"/>
              <w:spacing w:after="0"/>
              <w:rPr>
                <w:sz w:val="20"/>
                <w:szCs w:val="20"/>
                <w:color w:val="auto"/>
              </w:rPr>
            </w:pPr>
            <w:r>
              <w:rPr>
                <w:rFonts w:ascii="Times New Roman" w:cs="Times New Roman" w:eastAsia="Times New Roman" w:hAnsi="Times New Roman"/>
                <w:sz w:val="19"/>
                <w:szCs w:val="19"/>
                <w:color w:val="auto"/>
              </w:rPr>
              <w:t>681</w:t>
            </w:r>
          </w:p>
        </w:tc>
      </w:tr>
      <w:tr>
        <w:trPr>
          <w:trHeight w:val="230"/>
        </w:trPr>
        <w:tc>
          <w:tcPr>
            <w:tcW w:w="6820" w:type="dxa"/>
            <w:vAlign w:val="bottom"/>
          </w:tcPr>
          <w:p>
            <w:pPr>
              <w:spacing w:after="0"/>
              <w:rPr>
                <w:sz w:val="20"/>
                <w:szCs w:val="20"/>
                <w:color w:val="auto"/>
              </w:rPr>
            </w:pPr>
            <w:r>
              <w:rPr>
                <w:rFonts w:ascii="Times New Roman" w:cs="Times New Roman" w:eastAsia="Times New Roman" w:hAnsi="Times New Roman"/>
                <w:sz w:val="19"/>
                <w:szCs w:val="19"/>
                <w:color w:val="auto"/>
              </w:rPr>
              <w:t>Leasehold improvements</w:t>
            </w:r>
          </w:p>
        </w:tc>
        <w:tc>
          <w:tcPr>
            <w:tcW w:w="200" w:type="dxa"/>
            <w:vAlign w:val="bottom"/>
          </w:tcPr>
          <w:p>
            <w:pPr>
              <w:spacing w:after="0"/>
              <w:rPr>
                <w:sz w:val="20"/>
                <w:szCs w:val="20"/>
                <w:color w:val="auto"/>
              </w:rPr>
            </w:pPr>
          </w:p>
        </w:tc>
        <w:tc>
          <w:tcPr>
            <w:tcW w:w="1420" w:type="dxa"/>
            <w:vAlign w:val="bottom"/>
          </w:tcPr>
          <w:p>
            <w:pPr>
              <w:jc w:val="right"/>
              <w:ind w:right="29"/>
              <w:spacing w:after="0"/>
              <w:rPr>
                <w:sz w:val="20"/>
                <w:szCs w:val="20"/>
                <w:color w:val="auto"/>
              </w:rPr>
            </w:pPr>
            <w:r>
              <w:rPr>
                <w:rFonts w:ascii="Times New Roman" w:cs="Times New Roman" w:eastAsia="Times New Roman" w:hAnsi="Times New Roman"/>
                <w:sz w:val="19"/>
                <w:szCs w:val="19"/>
                <w:color w:val="auto"/>
              </w:rPr>
              <w:t>5,124</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9"/>
              <w:spacing w:after="0"/>
              <w:rPr>
                <w:sz w:val="20"/>
                <w:szCs w:val="20"/>
                <w:color w:val="auto"/>
              </w:rPr>
            </w:pPr>
            <w:r>
              <w:rPr>
                <w:rFonts w:ascii="Times New Roman" w:cs="Times New Roman" w:eastAsia="Times New Roman" w:hAnsi="Times New Roman"/>
                <w:sz w:val="19"/>
                <w:szCs w:val="19"/>
                <w:color w:val="auto"/>
              </w:rPr>
              <w:t>5,124</w:t>
            </w:r>
          </w:p>
        </w:tc>
      </w:tr>
      <w:tr>
        <w:trPr>
          <w:trHeight w:val="230"/>
        </w:trPr>
        <w:tc>
          <w:tcPr>
            <w:tcW w:w="6820" w:type="dxa"/>
            <w:vAlign w:val="bottom"/>
            <w:tcBorders>
              <w:bottom w:val="single" w:sz="8" w:color="D5EEEE"/>
            </w:tcBorders>
            <w:shd w:val="clear" w:color="auto" w:fill="D5EEEE"/>
          </w:tcPr>
          <w:p>
            <w:pPr>
              <w:spacing w:after="0"/>
              <w:rPr>
                <w:sz w:val="20"/>
                <w:szCs w:val="20"/>
                <w:color w:val="auto"/>
              </w:rPr>
            </w:pPr>
            <w:r>
              <w:rPr>
                <w:rFonts w:ascii="Times New Roman" w:cs="Times New Roman" w:eastAsia="Times New Roman" w:hAnsi="Times New Roman"/>
                <w:sz w:val="19"/>
                <w:szCs w:val="19"/>
                <w:color w:val="auto"/>
              </w:rPr>
              <w:t>Construction in process</w:t>
            </w:r>
          </w:p>
        </w:tc>
        <w:tc>
          <w:tcPr>
            <w:tcW w:w="200" w:type="dxa"/>
            <w:vAlign w:val="bottom"/>
            <w:tcBorders>
              <w:bottom w:val="single" w:sz="8" w:color="auto"/>
            </w:tcBorders>
            <w:shd w:val="clear" w:color="auto" w:fill="D5EEEE"/>
          </w:tcPr>
          <w:p>
            <w:pPr>
              <w:spacing w:after="0"/>
              <w:rPr>
                <w:sz w:val="20"/>
                <w:szCs w:val="20"/>
                <w:color w:val="auto"/>
              </w:rPr>
            </w:pPr>
          </w:p>
        </w:tc>
        <w:tc>
          <w:tcPr>
            <w:tcW w:w="1420" w:type="dxa"/>
            <w:vAlign w:val="bottom"/>
            <w:tcBorders>
              <w:bottom w:val="single" w:sz="8" w:color="auto"/>
            </w:tcBorders>
            <w:shd w:val="clear" w:color="auto" w:fill="D5EEEE"/>
          </w:tcPr>
          <w:p>
            <w:pPr>
              <w:jc w:val="right"/>
              <w:ind w:right="29"/>
              <w:spacing w:after="0"/>
              <w:rPr>
                <w:sz w:val="20"/>
                <w:szCs w:val="20"/>
                <w:color w:val="auto"/>
              </w:rPr>
            </w:pPr>
            <w:r>
              <w:rPr>
                <w:rFonts w:ascii="Times New Roman" w:cs="Times New Roman" w:eastAsia="Times New Roman" w:hAnsi="Times New Roman"/>
                <w:sz w:val="19"/>
                <w:szCs w:val="19"/>
                <w:color w:val="auto"/>
              </w:rPr>
              <w:t>459</w:t>
            </w:r>
          </w:p>
        </w:tc>
        <w:tc>
          <w:tcPr>
            <w:tcW w:w="160" w:type="dxa"/>
            <w:vAlign w:val="bottom"/>
            <w:tcBorders>
              <w:bottom w:val="single" w:sz="8" w:color="D5EEEE"/>
            </w:tcBorders>
            <w:shd w:val="clear" w:color="auto" w:fill="D5EEEE"/>
          </w:tcPr>
          <w:p>
            <w:pPr>
              <w:spacing w:after="0"/>
              <w:rPr>
                <w:sz w:val="20"/>
                <w:szCs w:val="20"/>
                <w:color w:val="auto"/>
              </w:rPr>
            </w:pPr>
          </w:p>
        </w:tc>
        <w:tc>
          <w:tcPr>
            <w:tcW w:w="200" w:type="dxa"/>
            <w:vAlign w:val="bottom"/>
            <w:tcBorders>
              <w:bottom w:val="single" w:sz="8" w:color="auto"/>
            </w:tcBorders>
            <w:shd w:val="clear" w:color="auto" w:fill="D5EEEE"/>
          </w:tcPr>
          <w:p>
            <w:pPr>
              <w:spacing w:after="0"/>
              <w:rPr>
                <w:sz w:val="20"/>
                <w:szCs w:val="20"/>
                <w:color w:val="auto"/>
              </w:rPr>
            </w:pPr>
          </w:p>
        </w:tc>
        <w:tc>
          <w:tcPr>
            <w:tcW w:w="1400" w:type="dxa"/>
            <w:vAlign w:val="bottom"/>
            <w:tcBorders>
              <w:bottom w:val="single" w:sz="8" w:color="auto"/>
            </w:tcBorders>
            <w:shd w:val="clear" w:color="auto" w:fill="D5EEEE"/>
          </w:tcPr>
          <w:p>
            <w:pPr>
              <w:jc w:val="right"/>
              <w:ind w:right="9"/>
              <w:spacing w:after="0"/>
              <w:rPr>
                <w:sz w:val="20"/>
                <w:szCs w:val="20"/>
                <w:color w:val="auto"/>
              </w:rPr>
            </w:pPr>
            <w:r>
              <w:rPr>
                <w:rFonts w:ascii="Times New Roman" w:cs="Times New Roman" w:eastAsia="Times New Roman" w:hAnsi="Times New Roman"/>
                <w:sz w:val="19"/>
                <w:szCs w:val="19"/>
                <w:color w:val="auto"/>
              </w:rPr>
              <w:t>—</w:t>
            </w:r>
          </w:p>
        </w:tc>
      </w:tr>
      <w:tr>
        <w:trPr>
          <w:trHeight w:val="225"/>
        </w:trPr>
        <w:tc>
          <w:tcPr>
            <w:tcW w:w="682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Total property and equipment</w:t>
            </w:r>
          </w:p>
        </w:tc>
        <w:tc>
          <w:tcPr>
            <w:tcW w:w="200" w:type="dxa"/>
            <w:vAlign w:val="bottom"/>
          </w:tcPr>
          <w:p>
            <w:pPr>
              <w:spacing w:after="0"/>
              <w:rPr>
                <w:sz w:val="19"/>
                <w:szCs w:val="19"/>
                <w:color w:val="auto"/>
              </w:rPr>
            </w:pPr>
          </w:p>
        </w:tc>
        <w:tc>
          <w:tcPr>
            <w:tcW w:w="1420" w:type="dxa"/>
            <w:vAlign w:val="bottom"/>
          </w:tcPr>
          <w:p>
            <w:pPr>
              <w:jc w:val="right"/>
              <w:ind w:right="29"/>
              <w:spacing w:after="0"/>
              <w:rPr>
                <w:sz w:val="20"/>
                <w:szCs w:val="20"/>
                <w:color w:val="auto"/>
              </w:rPr>
            </w:pPr>
            <w:r>
              <w:rPr>
                <w:rFonts w:ascii="Times New Roman" w:cs="Times New Roman" w:eastAsia="Times New Roman" w:hAnsi="Times New Roman"/>
                <w:sz w:val="19"/>
                <w:szCs w:val="19"/>
                <w:color w:val="auto"/>
              </w:rPr>
              <w:t>12,645</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ind w:right="9"/>
              <w:spacing w:after="0"/>
              <w:rPr>
                <w:sz w:val="20"/>
                <w:szCs w:val="20"/>
                <w:color w:val="auto"/>
              </w:rPr>
            </w:pPr>
            <w:r>
              <w:rPr>
                <w:rFonts w:ascii="Times New Roman" w:cs="Times New Roman" w:eastAsia="Times New Roman" w:hAnsi="Times New Roman"/>
                <w:sz w:val="19"/>
                <w:szCs w:val="19"/>
                <w:color w:val="auto"/>
              </w:rPr>
              <w:t>11,899</w:t>
            </w:r>
          </w:p>
        </w:tc>
      </w:tr>
      <w:tr>
        <w:trPr>
          <w:trHeight w:val="230"/>
        </w:trPr>
        <w:tc>
          <w:tcPr>
            <w:tcW w:w="6820" w:type="dxa"/>
            <w:vAlign w:val="bottom"/>
            <w:tcBorders>
              <w:bottom w:val="single" w:sz="8" w:color="D5EEEE"/>
            </w:tcBorders>
            <w:shd w:val="clear" w:color="auto" w:fill="D5EEEE"/>
          </w:tcPr>
          <w:p>
            <w:pPr>
              <w:spacing w:after="0"/>
              <w:rPr>
                <w:sz w:val="20"/>
                <w:szCs w:val="20"/>
                <w:color w:val="auto"/>
              </w:rPr>
            </w:pPr>
            <w:r>
              <w:rPr>
                <w:rFonts w:ascii="Times New Roman" w:cs="Times New Roman" w:eastAsia="Times New Roman" w:hAnsi="Times New Roman"/>
                <w:sz w:val="19"/>
                <w:szCs w:val="19"/>
                <w:color w:val="auto"/>
              </w:rPr>
              <w:t>Less: accumulated depreciation</w:t>
            </w:r>
          </w:p>
        </w:tc>
        <w:tc>
          <w:tcPr>
            <w:tcW w:w="200" w:type="dxa"/>
            <w:vAlign w:val="bottom"/>
            <w:tcBorders>
              <w:bottom w:val="single" w:sz="8" w:color="auto"/>
            </w:tcBorders>
            <w:shd w:val="clear" w:color="auto" w:fill="D5EEEE"/>
          </w:tcPr>
          <w:p>
            <w:pPr>
              <w:spacing w:after="0"/>
              <w:rPr>
                <w:sz w:val="20"/>
                <w:szCs w:val="20"/>
                <w:color w:val="auto"/>
              </w:rPr>
            </w:pPr>
          </w:p>
        </w:tc>
        <w:tc>
          <w:tcPr>
            <w:tcW w:w="14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(8,753)</w:t>
            </w:r>
          </w:p>
        </w:tc>
        <w:tc>
          <w:tcPr>
            <w:tcW w:w="160" w:type="dxa"/>
            <w:vAlign w:val="bottom"/>
            <w:tcBorders>
              <w:bottom w:val="single" w:sz="8" w:color="D5EEEE"/>
            </w:tcBorders>
            <w:shd w:val="clear" w:color="auto" w:fill="D5EEEE"/>
          </w:tcPr>
          <w:p>
            <w:pPr>
              <w:spacing w:after="0"/>
              <w:rPr>
                <w:sz w:val="20"/>
                <w:szCs w:val="20"/>
                <w:color w:val="auto"/>
              </w:rPr>
            </w:pPr>
          </w:p>
        </w:tc>
        <w:tc>
          <w:tcPr>
            <w:tcW w:w="200" w:type="dxa"/>
            <w:vAlign w:val="bottom"/>
            <w:tcBorders>
              <w:bottom w:val="single" w:sz="8" w:color="auto"/>
            </w:tcBorders>
            <w:shd w:val="clear" w:color="auto" w:fill="D5EEEE"/>
          </w:tcPr>
          <w:p>
            <w:pPr>
              <w:spacing w:after="0"/>
              <w:rPr>
                <w:sz w:val="20"/>
                <w:szCs w:val="20"/>
                <w:color w:val="auto"/>
              </w:rPr>
            </w:pPr>
          </w:p>
        </w:tc>
        <w:tc>
          <w:tcPr>
            <w:tcW w:w="14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(7,427)</w:t>
            </w:r>
          </w:p>
        </w:tc>
      </w:tr>
      <w:tr>
        <w:trPr>
          <w:trHeight w:val="225"/>
        </w:trPr>
        <w:tc>
          <w:tcPr>
            <w:tcW w:w="682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Property and equipment, net</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ind w:right="29"/>
              <w:spacing w:after="0"/>
              <w:rPr>
                <w:sz w:val="20"/>
                <w:szCs w:val="20"/>
                <w:color w:val="auto"/>
              </w:rPr>
            </w:pPr>
            <w:r>
              <w:rPr>
                <w:rFonts w:ascii="Times New Roman" w:cs="Times New Roman" w:eastAsia="Times New Roman" w:hAnsi="Times New Roman"/>
                <w:sz w:val="19"/>
                <w:szCs w:val="19"/>
                <w:color w:val="auto"/>
              </w:rPr>
              <w:t>3,892</w:t>
            </w:r>
          </w:p>
        </w:tc>
        <w:tc>
          <w:tcPr>
            <w:tcW w:w="360" w:type="dxa"/>
            <w:vAlign w:val="bottom"/>
            <w:gridSpan w:val="2"/>
          </w:tcPr>
          <w:p>
            <w:pPr>
              <w:jc w:val="right"/>
              <w:ind w:right="6"/>
              <w:spacing w:after="0"/>
              <w:rPr>
                <w:sz w:val="20"/>
                <w:szCs w:val="20"/>
                <w:color w:val="auto"/>
              </w:rPr>
            </w:pPr>
            <w:r>
              <w:rPr>
                <w:rFonts w:ascii="Times New Roman" w:cs="Times New Roman" w:eastAsia="Times New Roman" w:hAnsi="Times New Roman"/>
                <w:sz w:val="19"/>
                <w:szCs w:val="19"/>
                <w:color w:val="auto"/>
              </w:rPr>
              <w:t>$</w:t>
            </w:r>
          </w:p>
        </w:tc>
        <w:tc>
          <w:tcPr>
            <w:tcW w:w="1400" w:type="dxa"/>
            <w:vAlign w:val="bottom"/>
          </w:tcPr>
          <w:p>
            <w:pPr>
              <w:jc w:val="right"/>
              <w:ind w:right="9"/>
              <w:spacing w:after="0"/>
              <w:rPr>
                <w:sz w:val="20"/>
                <w:szCs w:val="20"/>
                <w:color w:val="auto"/>
              </w:rPr>
            </w:pPr>
            <w:r>
              <w:rPr>
                <w:rFonts w:ascii="Times New Roman" w:cs="Times New Roman" w:eastAsia="Times New Roman" w:hAnsi="Times New Roman"/>
                <w:sz w:val="19"/>
                <w:szCs w:val="19"/>
                <w:color w:val="auto"/>
              </w:rPr>
              <w:t>4,472</w:t>
            </w:r>
          </w:p>
        </w:tc>
      </w:tr>
      <w:tr>
        <w:trPr>
          <w:trHeight w:val="20"/>
        </w:trPr>
        <w:tc>
          <w:tcPr>
            <w:tcW w:w="6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9"/>
          <w:szCs w:val="19"/>
          <w:color w:val="auto"/>
        </w:rPr>
        <w:t>The Company incurred depreciation and amortization expense related to property and equipment of $1.5 million and $1.6 million for years ended December 31, 2025 and 2024, respectively.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5. Accrued Expenses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Accrued expenses consist of the following as of December 31, 2025 and 2024:</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ind w:right="351"/>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ind w:right="311"/>
              <w:spacing w:after="0"/>
              <w:rPr>
                <w:sz w:val="20"/>
                <w:szCs w:val="20"/>
                <w:color w:val="auto"/>
              </w:rPr>
            </w:pPr>
            <w:r>
              <w:rPr>
                <w:rFonts w:ascii="Times New Roman" w:cs="Times New Roman" w:eastAsia="Times New Roman" w:hAnsi="Times New Roman"/>
                <w:sz w:val="15"/>
                <w:szCs w:val="15"/>
                <w:b w:val="1"/>
                <w:bCs w:val="1"/>
                <w:color w:val="auto"/>
              </w:rPr>
              <w:t>December 31,</w:t>
            </w:r>
          </w:p>
        </w:tc>
      </w:tr>
      <w:tr>
        <w:trPr>
          <w:trHeight w:val="187"/>
        </w:trPr>
        <w:tc>
          <w:tcPr>
            <w:tcW w:w="6800" w:type="dxa"/>
            <w:vAlign w:val="bottom"/>
            <w:tcBorders>
              <w:bottom w:val="single" w:sz="8" w:color="D5EEEE"/>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5"/>
                <w:szCs w:val="15"/>
                <w:b w:val="1"/>
                <w:bCs w:val="1"/>
                <w:color w:val="auto"/>
              </w:rPr>
              <w:t>2025</w:t>
            </w:r>
          </w:p>
        </w:tc>
        <w:tc>
          <w:tcPr>
            <w:tcW w:w="160" w:type="dxa"/>
            <w:vAlign w:val="bottom"/>
            <w:tcBorders>
              <w:bottom w:val="single" w:sz="8" w:color="D5EEEE"/>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225"/>
        </w:trPr>
        <w:tc>
          <w:tcPr>
            <w:tcW w:w="6800" w:type="dxa"/>
            <w:vAlign w:val="bottom"/>
            <w:shd w:val="clear" w:color="auto" w:fill="D5EEEE"/>
          </w:tcPr>
          <w:p>
            <w:pPr>
              <w:spacing w:after="0"/>
              <w:rPr>
                <w:sz w:val="20"/>
                <w:szCs w:val="20"/>
                <w:color w:val="auto"/>
              </w:rPr>
            </w:pPr>
            <w:r>
              <w:rPr>
                <w:rFonts w:ascii="Times New Roman" w:cs="Times New Roman" w:eastAsia="Times New Roman" w:hAnsi="Times New Roman"/>
                <w:sz w:val="19"/>
                <w:szCs w:val="19"/>
                <w:color w:val="auto"/>
              </w:rPr>
              <w:t>External research and development</w:t>
            </w:r>
          </w:p>
        </w:tc>
        <w:tc>
          <w:tcPr>
            <w:tcW w:w="220" w:type="dxa"/>
            <w:vAlign w:val="bottom"/>
            <w:shd w:val="clear" w:color="auto" w:fill="D5EEEE"/>
          </w:tcPr>
          <w:p>
            <w:pPr>
              <w:jc w:val="right"/>
              <w:ind w:right="26"/>
              <w:spacing w:after="0"/>
              <w:rPr>
                <w:sz w:val="20"/>
                <w:szCs w:val="20"/>
                <w:color w:val="auto"/>
              </w:rPr>
            </w:pPr>
            <w:r>
              <w:rPr>
                <w:rFonts w:ascii="Times New Roman" w:cs="Times New Roman" w:eastAsia="Times New Roman" w:hAnsi="Times New Roman"/>
                <w:sz w:val="19"/>
                <w:szCs w:val="19"/>
                <w:color w:val="auto"/>
                <w:w w:val="83"/>
              </w:rPr>
              <w:t>$</w:t>
            </w:r>
          </w:p>
        </w:tc>
        <w:tc>
          <w:tcPr>
            <w:tcW w:w="1420" w:type="dxa"/>
            <w:vAlign w:val="bottom"/>
            <w:shd w:val="clear" w:color="auto" w:fill="D5EEEE"/>
          </w:tcPr>
          <w:p>
            <w:pPr>
              <w:jc w:val="right"/>
              <w:ind w:right="31"/>
              <w:spacing w:after="0"/>
              <w:rPr>
                <w:sz w:val="20"/>
                <w:szCs w:val="20"/>
                <w:color w:val="auto"/>
              </w:rPr>
            </w:pPr>
            <w:r>
              <w:rPr>
                <w:rFonts w:ascii="Times New Roman" w:cs="Times New Roman" w:eastAsia="Times New Roman" w:hAnsi="Times New Roman"/>
                <w:sz w:val="19"/>
                <w:szCs w:val="19"/>
                <w:color w:val="auto"/>
              </w:rPr>
              <w:t>3,767</w:t>
            </w:r>
          </w:p>
        </w:tc>
        <w:tc>
          <w:tcPr>
            <w:tcW w:w="160" w:type="dxa"/>
            <w:vAlign w:val="bottom"/>
            <w:shd w:val="clear" w:color="auto" w:fill="D5EEEE"/>
          </w:tcPr>
          <w:p>
            <w:pPr>
              <w:spacing w:after="0"/>
              <w:rPr>
                <w:sz w:val="19"/>
                <w:szCs w:val="19"/>
                <w:color w:val="auto"/>
              </w:rPr>
            </w:pPr>
          </w:p>
        </w:tc>
        <w:tc>
          <w:tcPr>
            <w:tcW w:w="200" w:type="dxa"/>
            <w:vAlign w:val="bottom"/>
            <w:shd w:val="clear" w:color="auto" w:fill="D5EEEE"/>
          </w:tcPr>
          <w:p>
            <w:pPr>
              <w:jc w:val="right"/>
              <w:ind w:right="6"/>
              <w:spacing w:after="0"/>
              <w:rPr>
                <w:sz w:val="20"/>
                <w:szCs w:val="20"/>
                <w:color w:val="auto"/>
              </w:rPr>
            </w:pPr>
            <w:r>
              <w:rPr>
                <w:rFonts w:ascii="Times New Roman" w:cs="Times New Roman" w:eastAsia="Times New Roman" w:hAnsi="Times New Roman"/>
                <w:sz w:val="19"/>
                <w:szCs w:val="19"/>
                <w:color w:val="auto"/>
                <w:w w:val="83"/>
              </w:rPr>
              <w:t>$</w:t>
            </w:r>
          </w:p>
        </w:tc>
        <w:tc>
          <w:tcPr>
            <w:tcW w:w="14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4,899</w:t>
            </w:r>
          </w:p>
        </w:tc>
      </w:tr>
      <w:tr>
        <w:trPr>
          <w:trHeight w:val="230"/>
        </w:trPr>
        <w:tc>
          <w:tcPr>
            <w:tcW w:w="6800" w:type="dxa"/>
            <w:vAlign w:val="bottom"/>
          </w:tcPr>
          <w:p>
            <w:pPr>
              <w:spacing w:after="0"/>
              <w:rPr>
                <w:sz w:val="20"/>
                <w:szCs w:val="20"/>
                <w:color w:val="auto"/>
              </w:rPr>
            </w:pPr>
            <w:r>
              <w:rPr>
                <w:rFonts w:ascii="Times New Roman" w:cs="Times New Roman" w:eastAsia="Times New Roman" w:hAnsi="Times New Roman"/>
                <w:sz w:val="19"/>
                <w:szCs w:val="19"/>
                <w:color w:val="auto"/>
              </w:rPr>
              <w:t>Personnel-related</w:t>
            </w:r>
          </w:p>
        </w:tc>
        <w:tc>
          <w:tcPr>
            <w:tcW w:w="22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9"/>
                <w:szCs w:val="19"/>
                <w:color w:val="auto"/>
              </w:rPr>
              <w:t>5,733</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4,208</w:t>
            </w:r>
          </w:p>
        </w:tc>
      </w:tr>
      <w:tr>
        <w:trPr>
          <w:trHeight w:val="231"/>
        </w:trPr>
        <w:tc>
          <w:tcPr>
            <w:tcW w:w="6800" w:type="dxa"/>
            <w:vAlign w:val="bottom"/>
            <w:shd w:val="clear" w:color="auto" w:fill="D5EEEE"/>
          </w:tcPr>
          <w:p>
            <w:pPr>
              <w:spacing w:after="0"/>
              <w:rPr>
                <w:sz w:val="20"/>
                <w:szCs w:val="20"/>
                <w:color w:val="auto"/>
              </w:rPr>
            </w:pPr>
            <w:r>
              <w:rPr>
                <w:rFonts w:ascii="Times New Roman" w:cs="Times New Roman" w:eastAsia="Times New Roman" w:hAnsi="Times New Roman"/>
                <w:sz w:val="19"/>
                <w:szCs w:val="19"/>
                <w:color w:val="auto"/>
              </w:rPr>
              <w:t>Professional and consulting fees</w:t>
            </w:r>
          </w:p>
        </w:tc>
        <w:tc>
          <w:tcPr>
            <w:tcW w:w="220" w:type="dxa"/>
            <w:vAlign w:val="bottom"/>
            <w:shd w:val="clear" w:color="auto" w:fill="D5EEEE"/>
          </w:tcPr>
          <w:p>
            <w:pPr>
              <w:spacing w:after="0"/>
              <w:rPr>
                <w:sz w:val="20"/>
                <w:szCs w:val="20"/>
                <w:color w:val="auto"/>
              </w:rPr>
            </w:pPr>
          </w:p>
        </w:tc>
        <w:tc>
          <w:tcPr>
            <w:tcW w:w="1420" w:type="dxa"/>
            <w:vAlign w:val="bottom"/>
            <w:shd w:val="clear" w:color="auto" w:fill="D5EEEE"/>
          </w:tcPr>
          <w:p>
            <w:pPr>
              <w:jc w:val="right"/>
              <w:ind w:right="31"/>
              <w:spacing w:after="0"/>
              <w:rPr>
                <w:sz w:val="20"/>
                <w:szCs w:val="20"/>
                <w:color w:val="auto"/>
              </w:rPr>
            </w:pPr>
            <w:r>
              <w:rPr>
                <w:rFonts w:ascii="Times New Roman" w:cs="Times New Roman" w:eastAsia="Times New Roman" w:hAnsi="Times New Roman"/>
                <w:sz w:val="19"/>
                <w:szCs w:val="19"/>
                <w:color w:val="auto"/>
              </w:rPr>
              <w:t>2,156</w:t>
            </w:r>
          </w:p>
        </w:tc>
        <w:tc>
          <w:tcPr>
            <w:tcW w:w="160" w:type="dxa"/>
            <w:vAlign w:val="bottom"/>
            <w:shd w:val="clear" w:color="auto" w:fill="D5EEEE"/>
          </w:tcPr>
          <w:p>
            <w:pPr>
              <w:spacing w:after="0"/>
              <w:rPr>
                <w:sz w:val="20"/>
                <w:szCs w:val="20"/>
                <w:color w:val="auto"/>
              </w:rPr>
            </w:pPr>
          </w:p>
        </w:tc>
        <w:tc>
          <w:tcPr>
            <w:tcW w:w="200" w:type="dxa"/>
            <w:vAlign w:val="bottom"/>
            <w:shd w:val="clear" w:color="auto" w:fill="D5EEEE"/>
          </w:tcPr>
          <w:p>
            <w:pPr>
              <w:spacing w:after="0"/>
              <w:rPr>
                <w:sz w:val="20"/>
                <w:szCs w:val="20"/>
                <w:color w:val="auto"/>
              </w:rPr>
            </w:pPr>
          </w:p>
        </w:tc>
        <w:tc>
          <w:tcPr>
            <w:tcW w:w="14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743</w:t>
            </w:r>
          </w:p>
        </w:tc>
      </w:tr>
      <w:tr>
        <w:trPr>
          <w:trHeight w:val="230"/>
        </w:trPr>
        <w:tc>
          <w:tcPr>
            <w:tcW w:w="6800" w:type="dxa"/>
            <w:vAlign w:val="bottom"/>
            <w:tcBorders>
              <w:bottom w:val="single" w:sz="8" w:color="D5EEEE"/>
            </w:tcBorders>
          </w:tcPr>
          <w:p>
            <w:pPr>
              <w:spacing w:after="0"/>
              <w:rPr>
                <w:sz w:val="20"/>
                <w:szCs w:val="20"/>
                <w:color w:val="auto"/>
              </w:rPr>
            </w:pPr>
            <w:r>
              <w:rPr>
                <w:rFonts w:ascii="Times New Roman" w:cs="Times New Roman" w:eastAsia="Times New Roman" w:hAnsi="Times New Roman"/>
                <w:sz w:val="19"/>
                <w:szCs w:val="19"/>
                <w:color w:val="auto"/>
              </w:rPr>
              <w:t>Other</w:t>
            </w: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9"/>
                <w:szCs w:val="19"/>
                <w:color w:val="auto"/>
              </w:rPr>
              <w:t>83</w:t>
            </w:r>
          </w:p>
        </w:tc>
        <w:tc>
          <w:tcPr>
            <w:tcW w:w="160" w:type="dxa"/>
            <w:vAlign w:val="bottom"/>
            <w:tcBorders>
              <w:bottom w:val="single" w:sz="8" w:color="D5EEEE"/>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131</w:t>
            </w:r>
          </w:p>
        </w:tc>
      </w:tr>
      <w:tr>
        <w:trPr>
          <w:trHeight w:val="245"/>
        </w:trPr>
        <w:tc>
          <w:tcPr>
            <w:tcW w:w="6800" w:type="dxa"/>
            <w:vAlign w:val="bottom"/>
            <w:tcBorders>
              <w:bottom w:val="single" w:sz="8" w:color="D5EEEE"/>
            </w:tcBorders>
            <w:shd w:val="clear" w:color="auto" w:fill="D5EEEE"/>
          </w:tcPr>
          <w:p>
            <w:pPr>
              <w:ind w:left="100"/>
              <w:spacing w:after="0"/>
              <w:rPr>
                <w:sz w:val="20"/>
                <w:szCs w:val="20"/>
                <w:color w:val="auto"/>
              </w:rPr>
            </w:pPr>
            <w:r>
              <w:rPr>
                <w:rFonts w:ascii="Times New Roman" w:cs="Times New Roman" w:eastAsia="Times New Roman" w:hAnsi="Times New Roman"/>
                <w:sz w:val="19"/>
                <w:szCs w:val="19"/>
                <w:color w:val="auto"/>
              </w:rPr>
              <w:t>Total accrued expenses</w:t>
            </w:r>
          </w:p>
        </w:tc>
        <w:tc>
          <w:tcPr>
            <w:tcW w:w="220" w:type="dxa"/>
            <w:vAlign w:val="bottom"/>
            <w:tcBorders>
              <w:bottom w:val="single" w:sz="8" w:color="auto"/>
            </w:tcBorders>
            <w:shd w:val="clear" w:color="auto" w:fill="D5EEEE"/>
          </w:tcPr>
          <w:p>
            <w:pPr>
              <w:jc w:val="right"/>
              <w:ind w:right="26"/>
              <w:spacing w:after="0"/>
              <w:rPr>
                <w:sz w:val="20"/>
                <w:szCs w:val="20"/>
                <w:color w:val="auto"/>
              </w:rPr>
            </w:pPr>
            <w:r>
              <w:rPr>
                <w:rFonts w:ascii="Times New Roman" w:cs="Times New Roman" w:eastAsia="Times New Roman" w:hAnsi="Times New Roman"/>
                <w:sz w:val="19"/>
                <w:szCs w:val="19"/>
                <w:color w:val="auto"/>
                <w:w w:val="83"/>
              </w:rPr>
              <w:t>$</w:t>
            </w:r>
          </w:p>
        </w:tc>
        <w:tc>
          <w:tcPr>
            <w:tcW w:w="1420" w:type="dxa"/>
            <w:vAlign w:val="bottom"/>
            <w:tcBorders>
              <w:bottom w:val="single" w:sz="8" w:color="auto"/>
            </w:tcBorders>
            <w:shd w:val="clear" w:color="auto" w:fill="D5EEEE"/>
          </w:tcPr>
          <w:p>
            <w:pPr>
              <w:jc w:val="right"/>
              <w:ind w:right="31"/>
              <w:spacing w:after="0"/>
              <w:rPr>
                <w:sz w:val="20"/>
                <w:szCs w:val="20"/>
                <w:color w:val="auto"/>
              </w:rPr>
            </w:pPr>
            <w:r>
              <w:rPr>
                <w:rFonts w:ascii="Times New Roman" w:cs="Times New Roman" w:eastAsia="Times New Roman" w:hAnsi="Times New Roman"/>
                <w:sz w:val="19"/>
                <w:szCs w:val="19"/>
                <w:color w:val="auto"/>
              </w:rPr>
              <w:t>11,739</w:t>
            </w:r>
          </w:p>
        </w:tc>
        <w:tc>
          <w:tcPr>
            <w:tcW w:w="160" w:type="dxa"/>
            <w:vAlign w:val="bottom"/>
            <w:tcBorders>
              <w:bottom w:val="single" w:sz="8" w:color="D5EEEE"/>
            </w:tcBorders>
            <w:shd w:val="clear" w:color="auto" w:fill="D5EEEE"/>
          </w:tcPr>
          <w:p>
            <w:pPr>
              <w:spacing w:after="0"/>
              <w:rPr>
                <w:sz w:val="21"/>
                <w:szCs w:val="21"/>
                <w:color w:val="auto"/>
              </w:rPr>
            </w:pPr>
          </w:p>
        </w:tc>
        <w:tc>
          <w:tcPr>
            <w:tcW w:w="200" w:type="dxa"/>
            <w:vAlign w:val="bottom"/>
            <w:tcBorders>
              <w:bottom w:val="single" w:sz="8" w:color="auto"/>
            </w:tcBorders>
            <w:shd w:val="clear" w:color="auto" w:fill="D5EEEE"/>
          </w:tcPr>
          <w:p>
            <w:pPr>
              <w:jc w:val="right"/>
              <w:ind w:right="6"/>
              <w:spacing w:after="0"/>
              <w:rPr>
                <w:sz w:val="20"/>
                <w:szCs w:val="20"/>
                <w:color w:val="auto"/>
              </w:rPr>
            </w:pPr>
            <w:r>
              <w:rPr>
                <w:rFonts w:ascii="Times New Roman" w:cs="Times New Roman" w:eastAsia="Times New Roman" w:hAnsi="Times New Roman"/>
                <w:sz w:val="19"/>
                <w:szCs w:val="19"/>
                <w:color w:val="auto"/>
                <w:w w:val="83"/>
              </w:rPr>
              <w:t>$</w:t>
            </w:r>
          </w:p>
        </w:tc>
        <w:tc>
          <w:tcPr>
            <w:tcW w:w="14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9,981</w:t>
            </w:r>
          </w:p>
        </w:tc>
      </w:tr>
      <w:tr>
        <w:trPr>
          <w:trHeight w:val="20"/>
        </w:trPr>
        <w:tc>
          <w:tcPr>
            <w:tcW w:w="6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6. Collaboration, License and Option Agreements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Collaboration, License and Option Agreement with AbbVie</w:t>
      </w:r>
    </w:p>
    <w:p>
      <w:pPr>
        <w:spacing w:after="0" w:line="26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In February 2025, Xilio Development entered into a collaboration, license and option agreement (the “Collaboration Agreement”) with AbbVie Group Holdings Limited ("AbbVie") for up to four programs leveraging the Company’s proprietary masking technology and platform, consisting of (i) an exclusive license for a program to develop and commercialize a masked antibody-based immunotherapy (the “Collaboration Program”) and (ii) an exclusive option for (a) an initial program to discover, develop and commercialize masked T cell engager molecules for an agreed upon initial target and backup target (“Initial Option Program”), and (b) subject to the terms of the Collaboration Agreement, up to two additional programs (each, an “Additional Option Program” and together with the Initial Option Program, the “Option Programs”).</w:t>
      </w:r>
    </w:p>
    <w:p>
      <w:pPr>
        <w:sectPr>
          <w:pgSz w:w="12240" w:h="15840" w:orient="portrait"/>
          <w:cols w:equalWidth="0" w:num="1">
            <w:col w:w="10200"/>
          </w:cols>
          <w:pgMar w:left="1020" w:top="1347" w:right="1020" w:bottom="5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F-15</w:t>
      </w:r>
    </w:p>
    <w:p>
      <w:pPr>
        <w:sectPr>
          <w:pgSz w:w="12240" w:h="15840" w:orient="portrait"/>
          <w:cols w:equalWidth="0" w:num="1">
            <w:col w:w="10200"/>
          </w:cols>
          <w:pgMar w:left="1020" w:top="1347" w:right="1020" w:bottom="556" w:gutter="0" w:footer="0" w:header="0"/>
          <w:type w:val="continuous"/>
        </w:sectPr>
      </w:pPr>
    </w:p>
    <w:bookmarkStart w:id="138" w:name="page139"/>
    <w:bookmarkEnd w:id="138"/>
    <w:p>
      <w:pPr>
        <w:jc w:val="both"/>
        <w:spacing w:after="0" w:line="237" w:lineRule="auto"/>
        <w:rPr>
          <w:sz w:val="20"/>
          <w:szCs w:val="20"/>
          <w:color w:val="auto"/>
        </w:rPr>
      </w:pPr>
      <w:r>
        <w:rPr>
          <w:rFonts w:ascii="Times New Roman" w:cs="Times New Roman" w:eastAsia="Times New Roman" w:hAnsi="Times New Roman"/>
          <w:sz w:val="19"/>
          <w:szCs w:val="19"/>
          <w:color w:val="auto"/>
        </w:rPr>
        <w:t>In connection with the Collaboration Program, Xilio Development is responsible for conducting all preclinical development through lead generation (“Collaboration Program Services”). For the Initial Option Program, AbbVie’s option right is exercisable beginning on the effective date of the Collaboration Agreement, and for each Additional Option Program, AbbVie’s option right is exercisable following delivery of written notice of nomination of such Additional Option Program. During the three-year period following the effective date of the Collaboration Agreement, AbbVie has the right to initiate up to two Additional Option Programs by (a) selecting an initial target and backup target for each such Additional Option Program (excluding the target known as prostate-specific membrane antigen and any other target for which Xilio Development has completed specified activities prior to lead selection) and (b) paying Xilio Development an additional program nomination fee for each Additional Option Program. For each Option Program, prior to option exercise, Xilio Development is responsible for conducting preclinical discovery and development up to the completion of investigational new drug application (“IND”) enabling studies, subject to AbbVie paying Xilio Development option extension fees upon completion of specified stages of preclinical discovery and development (“Option Program Services”). Unless AbbVie elects to extend preclinical development through the next stage and pays the applicable option extension fee, AbbVie’s option right terminates within a specified time period following completion of each stage of preclinical development. Upon exercising its option for an Option Program, AbbVie will be responsible for any remaining preclinical development, if applicable, and all clinical development, regulatory and commercialization activities with respect to licensed products under the applicable Option Program.</w:t>
      </w:r>
    </w:p>
    <w:p>
      <w:pPr>
        <w:spacing w:after="0" w:line="24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In addition, on an Option Program-by-Option Program basis, prior to the initiation of specified activities related to lead optimization and selection for the initial target for such Option Program, AbbVie has a one-time right to substitute the initial target with the backup target agreed upon by the parties at the time of Option Program initiation, subject to the payment by AbbVie of a one-time substitution fee with respect to such substituted target and the other terms of the Collaboration Agreement.</w:t>
      </w:r>
    </w:p>
    <w:p>
      <w:pPr>
        <w:spacing w:after="0" w:line="24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9"/>
          <w:szCs w:val="19"/>
          <w:color w:val="auto"/>
        </w:rPr>
        <w:t>In connection with the execution of the Collaboration Agreement, in February 2025, the Company also entered into a stock purchase agreement with AbbVie Inc. pursuant to which the Company issued and sold 310,559 shares of its common stock to AbbVie Inc. in a private placement at a purchase price of $32.20 per share for an aggregate purchase price of $10.0 million.</w:t>
      </w:r>
    </w:p>
    <w:p>
      <w:pPr>
        <w:spacing w:after="0" w:line="23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As of December 31, 2025, the Company has received $52.0 million in payments under the AbbVie agreements, consisting of a $42.0 million upfront cash payment under the Collaboration Agreement and $10.0 million in gross proceeds from the private placement under the stock purchase agreement. In the fourth quarter of 2025, the Company earned a $5.0 million development milestone related to the Collaboration Program, which was recorded as a receivable on the consolidated balance sheet as of December 31, 2025 and was received in the first quarter of 2026. The Company is eligible to receive up to approximately $2.1 billion in additional contingent payments under the Collaboration Agreement, consisting of (i) up to $305.0 million in aggregate program nomination fees, preclinical development option extension fees and option fees for the Option Programs and (ii) up to $1.8 billion in aggregate development, regulatory and sales-based milestones for all Option Programs and the Collaboration Program. In addition, the Company is eligible to receive tiered royalties ranging in the high single digits on annual global net product sales for the Option Program and is eligible to receive tiered royalties ranging in the mid-single digits on annual global net product sales for the Collaboration Program.</w:t>
      </w:r>
    </w:p>
    <w:p>
      <w:pPr>
        <w:spacing w:after="0" w:line="19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 xml:space="preserve">The Company considered the criteria of ASC 606, </w:t>
      </w:r>
      <w:r>
        <w:rPr>
          <w:rFonts w:ascii="Times New Roman" w:cs="Times New Roman" w:eastAsia="Times New Roman" w:hAnsi="Times New Roman"/>
          <w:sz w:val="19"/>
          <w:szCs w:val="19"/>
          <w:i w:val="1"/>
          <w:iCs w:val="1"/>
          <w:color w:val="auto"/>
        </w:rPr>
        <w:t>Revenue from Contracts with Customers</w:t>
      </w:r>
      <w:r>
        <w:rPr>
          <w:rFonts w:ascii="Times New Roman" w:cs="Times New Roman" w:eastAsia="Times New Roman" w:hAnsi="Times New Roman"/>
          <w:sz w:val="19"/>
          <w:szCs w:val="19"/>
          <w:color w:val="auto"/>
        </w:rPr>
        <w:t xml:space="preserve"> (“ASC 606”) for combining contracts and determined the Collaboration Agreement and the stock purchase agreement should be combined into a single contract because they were negotiated and entered into in contemplation of one another. The Company accounted for the common stock issued to AbbVie Inc. based on the fair market value of the common stock on the date of issuance. The fair market value of the common stock issued to AbbVie Inc. was $2.9 million, based on the closing price of the Company’s common stock on the date of issuance, resulting in a $7.1 million premium. The Company determined that the premium paid by AbbVie Inc. for the common stock purchased should be attributed to the transaction price of the Collaboration Agreement.</w:t>
      </w:r>
    </w:p>
    <w:p>
      <w:pPr>
        <w:spacing w:after="0" w:line="23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The Company determined that the Collaboration Agreement represents a contract with a customer within the scope of ASC 606 and identified the following promises under the Collaboration Agreement: (i) the exclusive license granted to AbbVie related to the Collaboration Program, (ii) the Collaboration Program Services and (iii) the Option Program Services for the Initial Option Program. In addition, the Company identified several customer options that were evaluated to determine if such options represented material rights, each of which would be considered a performance obligation at contract inception only if the option provides a material right to AbbVie that it would not receive without entering into that contract.</w:t>
      </w:r>
    </w:p>
    <w:p>
      <w:pPr>
        <w:spacing w:after="0" w:line="24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determined that the exclusive license and development services related to the Collaboration Program Services were not capable of being distinct on the basis that the services to be provided by Xilio Development are specialized in nature, specifically with respect to its specialized expertise in developing masked antibody-based immunotherapies and the Company’s proprietary platform for masked biologics. Accordingly, the Company concluded that these promises should be a combined performance obligation consisting of the exclusive license and the development services for the Collaboration Program Services. As such, the Company identified the following performance obligations at contract inception: (i) the performance obligation consisting of the exclusive license and the Collaboration Program Services (the “Collaboration Program Performance Obligation”); (ii) the Option Program Services for the Initial Option Program (the “Initial Option Program Performance Obligation”); (iii) a material right to receive an</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F-16</w:t>
      </w:r>
    </w:p>
    <w:p>
      <w:pPr>
        <w:sectPr>
          <w:pgSz w:w="12240" w:h="15840" w:orient="portrait"/>
          <w:cols w:equalWidth="0" w:num="1">
            <w:col w:w="10200"/>
          </w:cols>
          <w:pgMar w:left="1020" w:top="1347" w:right="1020" w:bottom="556" w:gutter="0" w:footer="0" w:header="0"/>
        </w:sectPr>
      </w:pPr>
    </w:p>
    <w:bookmarkStart w:id="139" w:name="page140"/>
    <w:bookmarkEnd w:id="139"/>
    <w:p>
      <w:pPr>
        <w:jc w:val="both"/>
        <w:spacing w:after="0" w:line="234" w:lineRule="auto"/>
        <w:rPr>
          <w:sz w:val="20"/>
          <w:szCs w:val="20"/>
          <w:color w:val="auto"/>
        </w:rPr>
      </w:pPr>
      <w:r>
        <w:rPr>
          <w:rFonts w:ascii="Times New Roman" w:cs="Times New Roman" w:eastAsia="Times New Roman" w:hAnsi="Times New Roman"/>
          <w:sz w:val="19"/>
          <w:szCs w:val="19"/>
          <w:color w:val="auto"/>
        </w:rPr>
        <w:t>exclusive license to the Initial Option Program; (iv) a material right to receive additional services related to the Initial Option Program; and (v) a material right related to AbbVie’s one-time right to substitute the initial target with the backup target for the Initial Option Program.</w:t>
      </w:r>
    </w:p>
    <w:p>
      <w:pPr>
        <w:spacing w:after="0" w:line="23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For purposes of ASC 606, the transaction price at the outset of the arrangement was determined to be $49.1 million, which consisted of the upfront cash payment of $42.0 million under the Collaboration Agreement and the $7.1 million premium on the sale of common stock to AbbVie Inc. The Company used the most likely amount method to estimate variable consideration. During the year ended December 31, 2025, the overall transaction price was adjusted to include the achievement of the $5.0 million development milestone related to the Collaboration Program in the fourth quarter of 2025. All additional contingent payments are fully constrained as of December 31, 2025, as the achievement of the milestones underlying such contingent payments is based on either the Company or AbbVie’s ability to execute under the development plan which is not certain at contact inception. Accordingly, all such contingent payments are excluded from the transaction price. The Company reevaluates the transaction price at the end of each reporting period and as uncertain events are resolved or other changes in circumstances occur and may adjust the transaction price as necessary. Sales-based royalties, including milestone payments based on the level of sales, were also excluded from the transaction price, as the license is deemed to be the predominant item to which the royalties relate. The Company plans to recognize such revenue at the later of (i) when the related sales occur or (ii) when the performance obligation to which some or all of the royalty has been allocated has been satisfied (or partially satisfied).</w:t>
      </w:r>
    </w:p>
    <w:p>
      <w:pPr>
        <w:spacing w:after="0" w:line="24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The Company allocated the transaction price at the outset of the arrangements to the performance obligations on a relative selling price basis as follows: (i) $32.4 million related to the Collaboration Program Performance Obligation; (ii) $6.9 million related to the Initial Option Program Performance Obligation; (iii) $8.2 million related to the material right to receive an exclusive license to the Initial Option Program; (iv) $1.1 million related to the material right to receive additional services related to the Initial Option Program; and (v) $0.5 million related to the material right for AbbVie’s one-time right to substitute the initial target with the backup target for the Initial Option Program. The Company determined the estimated standalone selling price for the licenses using an adjusted market assessment approach, whereby the Company adjusted a comparable transaction previously entered into by the Company and comparable third-party transactions to reflect the stage of development of the Company’s assets under the Collaboration Agreement. The Company determined the estimated standalone selling price for services based on estimated costs to be incurred plus a reasonable margin. The Company determined the estimated standalone selling price for material rights by estimating the standalone selling price of the underlying performance obligations included in the material right and estimating the probability that AbbVie will exercise such material right.</w:t>
      </w:r>
    </w:p>
    <w:p>
      <w:pPr>
        <w:spacing w:after="0" w:line="24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Revenue associated with the Collaboration Program Performance Obligation and the Initial Option Program Performance Obligation is recognized as the underlying services are provided as control is transferred over time. The Company measures progress based on the amount of costs incurred relative to the total costs expected to fulfill the combined performance obligation. In management’s judgment, this input method is the best measure of progress towards satisfying the combined performance obligation and reflects a faithful depiction of the transfer of goods and services. Revenue associated with the material rights will be recognized upon expiry if the option is not exercised. If the material right is exercised, the Company will evaluate the performance obligations underlying the option exercised and recognize the amount allocated to the material right and any additional consideration over the appropriate recognition period associated with the underlying performance obligations.</w:t>
      </w:r>
    </w:p>
    <w:p>
      <w:pPr>
        <w:spacing w:after="0" w:line="23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During the year ended December 31, 2025, the Company recognized collaboration and license revenue of $20.1 million under the Collaboration Agreement and the stock purchase agreement, which includes a cumulative catch-up of revenue of $2.4 million related to the adjustment of the overall transaction price due to the achievement of the $5.0 million development milestone related to the Collaboration Program during the fourth quarter of 2025. As of December 31, 2025, the Company recorded deferred revenue of $34.0 million, of which $24.1 million was recorded as a current liability on the Company’s consolidated balance sheet. The deferred revenue is expected to be recognized as collaboration and license revenue through at least 2026 depending on (i) the timing of services being provided for the Collaboration Program and the Initial Option Program and (ii) the timing of AbbVie’s exercise or expiration of the material rights.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License Agreement with Gilead Sciences, Inc.</w:t>
      </w:r>
    </w:p>
    <w:p>
      <w:pPr>
        <w:spacing w:after="0" w:line="26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In March 2024, Xilio Development entered into a license agreement (the "License Agreement") with Gilead Sciences, Inc. ("Gilead"), pursuant to which it granted Gilead an exclusive global license to develop and commercialize efarindodekin alfa, the Company’s masked IL-12 product candidate, and specified other molecules directed to IL-12. Xilio Development is responsible for conducting clinical development for efarindodekin alfa through an initial Phase 2 clinical trial. Following the delivery by Xilio Development of a specified clinical data package for efarindodekin alfa related to the Phase 1 clinical trial and the initial Phase 2 clinical trial, Gilead can elect to transition responsibilities for the development and commercialization of efarindodekin alfa to Gilead, subject to the terms of the License Agreement and payment by Gilead of a $75.0 million transition fee.</w:t>
      </w:r>
    </w:p>
    <w:p>
      <w:pPr>
        <w:sectPr>
          <w:pgSz w:w="12240" w:h="15840" w:orient="portrait"/>
          <w:cols w:equalWidth="0" w:num="1">
            <w:col w:w="10200"/>
          </w:cols>
          <w:pgMar w:left="1020" w:top="1347" w:right="1020" w:bottom="556"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F-17</w:t>
      </w:r>
    </w:p>
    <w:p>
      <w:pPr>
        <w:sectPr>
          <w:pgSz w:w="12240" w:h="15840" w:orient="portrait"/>
          <w:cols w:equalWidth="0" w:num="1">
            <w:col w:w="10200"/>
          </w:cols>
          <w:pgMar w:left="1020" w:top="1347" w:right="1020" w:bottom="556" w:gutter="0" w:footer="0" w:header="0"/>
          <w:type w:val="continuous"/>
        </w:sectPr>
      </w:pPr>
    </w:p>
    <w:bookmarkStart w:id="140" w:name="page141"/>
    <w:bookmarkEnd w:id="140"/>
    <w:p>
      <w:pPr>
        <w:jc w:val="both"/>
        <w:spacing w:after="0" w:line="236" w:lineRule="auto"/>
        <w:rPr>
          <w:sz w:val="20"/>
          <w:szCs w:val="20"/>
          <w:color w:val="auto"/>
        </w:rPr>
      </w:pPr>
      <w:r>
        <w:rPr>
          <w:rFonts w:ascii="Times New Roman" w:cs="Times New Roman" w:eastAsia="Times New Roman" w:hAnsi="Times New Roman"/>
          <w:sz w:val="19"/>
          <w:szCs w:val="19"/>
          <w:color w:val="auto"/>
        </w:rPr>
        <w:t>In connection with the execution of the License Agreement, in March 2024, the Company also entered into a stock purchase agreement with Gilead. Under the stock purchase agreement, Gilead purchased $25.0 million of the Company’s common stock and prefunded warrants in three private placements, consisting of an aggregate of 650,387 shares of common stock and prefunded warrants to purchase up to an aggregate of 712,514 shares of its common stock. The prefunded warrants are exercisable any time at an exercise price of $0.0014 per share, subject to Gilead not being deemed a beneficial owner of greater than 19.9% of the Company’s common stock upon the exercise of the prefunded warrants.</w:t>
      </w:r>
    </w:p>
    <w:p>
      <w:pPr>
        <w:spacing w:after="0" w:line="24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As of December 31, 2025, the Company has received $72.5 million in payments under the Gilead agreements, consisting of the $30.0 million upfront cash payment under the License Agreement, $25.0 million in gross proceeds from private placements under the stock purchase agreement and a $17.5 million development milestone. The Company is eligible to receive up to $575.0 million in additional contingent payments, which consist of a $75.0 million transition fee if Gilead exercises its option for the IL-12 program and up to $500.0 million in specified development, regulatory and sales-based milestones after opt-in. In addition, the Company is eligible to receive tiered royalties ranging from high single digits to mid-teens on annual global net product sales.</w:t>
      </w:r>
    </w:p>
    <w:p>
      <w:pPr>
        <w:spacing w:after="0" w:line="24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The Company considered the ASC 606 criteria for combining contracts and determined the License Agreement and the stock purchase agreement should be combined into a single contract because they were negotiated and entered into in contemplation of one another. The Company concluded the initial private placement and the additional private placements do not represent freestanding financial instruments as such instruments are not legally detachable due to contractual transfer restrictions. The Company accounted for the common stock issued to Gilead in the initial private placement based on the fair market value of the common stock on the date of issuance. The fair market value of the common stock issued to Gilead in the initial private placement was $4.4 million, based on the closing price of the Company’s common stock on the date of issuance, resulting in a $9.1 million premium. The Company determined that the premium paid by Gilead for the common stock purchased in the initial private placement should be attributed to the transaction price of the License Agreement.</w:t>
      </w:r>
    </w:p>
    <w:p>
      <w:pPr>
        <w:spacing w:after="0" w:line="24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The Company determined that the License Agreement represents a contract with a customer within the scope of ASC 606 and identified two promises under the License Agreement: (i) the exclusive licenses granted to Gilead related to the Company’s IL-12 program and (ii) the provision by Xilio Development and its affiliates of development services related to ongoing and planned clinical trials for efarindodekin alfa through an initial Phase 2 clinical trial. The Company determined that the exclusive license and development services were not capable of being distinct on the basis that the development services to be provided by Xilio Development are specialized in nature, specifically with respect to its specialized expertise related to efarindodekin alfa, the IL-12 program and the Company’s proprietary platform for masked biologics. Accordingly, the Company concluded that there is a single identified combined performance obligation consisting of the exclusive license and the development services.</w:t>
      </w:r>
    </w:p>
    <w:p>
      <w:pPr>
        <w:spacing w:after="0" w:line="23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For purposes of ASC 606, the transaction price of the License Agreement at the outset of the arrangement was determined to be $39.1 million, which consisted of the upfront cash payment of $30.0 million under the License Agreement and the $9.1 million premium on the sale of common stock to Gilead in the initial private placement, which was allocated to the single combined performance obligation. The Company used the most likely amount method to estimate variable consideration. During the year ended December 31, 2025, the overall transaction price was adjusted to include the achievement of the $17.5 million development milestone in the third quarter of 2025. All additional contingent payments are fully constrained as of December 31, 2025, as the achievement of the milestones underlying such contingent payments are uncertain and highly susceptible to factors outside of the Company’s control. Accordingly, all such additional contingent payments are excluded from the transaction price. The Company reevaluates the transaction price at the end of each reporting period and as uncertain events are resolved or other changes in circumstances occur and may adjust the transaction price as necessary. Sales-based royalties, including milestone payments based on the level of sales, were also excluded from the transaction price, as the license is deemed to be the predominant item to which the royalties relate. The Company plans to recognize such revenue at the later of (i) when the related sales occur or (ii) when the performance obligation to which some or all of the royalty has been allocated has been satisfied (or partially satisfied).</w:t>
      </w:r>
    </w:p>
    <w:p>
      <w:pPr>
        <w:spacing w:after="0" w:line="24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Revenue associated with the combined performance obligation is recognized as services are provided as control is transferred over time. The Company measures progress based on the amount of costs incurred relative to the total costs expected to fulfill the combined performance obligation. In management’s judgment, this input method is the best measure of progress towards satisfying the combined performance obligation and reflects a faithful depiction of the transfer of goods and services.</w:t>
      </w:r>
    </w:p>
    <w:p>
      <w:pPr>
        <w:spacing w:after="0" w:line="24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During the years ended December 31, 2025 and 2024, the Company recognized collaboration and license revenue of $23.6 million and $6.3 million, respectively, under the License Agreement and the stock purchase agreement with Gilead. Collaboration and license revenue for the year ended December 31, 2025 included a cumulative catch-up of revenue of $7.0 million related to the adjustment of the overall transaction price due to the achievement of the $17.5 million development milestone during the third quarter of 2025. As of December 31, 2025, the Company recorded deferred revenue under the License Agreement and the stock purchase agreement of $26.7 million, of which $15.9 million was recorded as a current liability on the Company’s consolidated balance sheet. The deferred</w:t>
      </w:r>
    </w:p>
    <w:p>
      <w:pPr>
        <w:sectPr>
          <w:pgSz w:w="12240" w:h="15840" w:orient="portrait"/>
          <w:cols w:equalWidth="0" w:num="1">
            <w:col w:w="10200"/>
          </w:cols>
          <w:pgMar w:left="1020" w:top="1347" w:right="1020" w:bottom="556"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F-18</w:t>
      </w:r>
    </w:p>
    <w:p>
      <w:pPr>
        <w:sectPr>
          <w:pgSz w:w="12240" w:h="15840" w:orient="portrait"/>
          <w:cols w:equalWidth="0" w:num="1">
            <w:col w:w="10200"/>
          </w:cols>
          <w:pgMar w:left="1020" w:top="1347" w:right="1020" w:bottom="556" w:gutter="0" w:footer="0" w:header="0"/>
          <w:type w:val="continuous"/>
        </w:sectPr>
      </w:pPr>
    </w:p>
    <w:bookmarkStart w:id="141" w:name="page142"/>
    <w:bookmarkEnd w:id="141"/>
    <w:p>
      <w:pPr>
        <w:jc w:val="both"/>
        <w:spacing w:after="0" w:line="232" w:lineRule="auto"/>
        <w:rPr>
          <w:sz w:val="20"/>
          <w:szCs w:val="20"/>
          <w:color w:val="auto"/>
        </w:rPr>
      </w:pPr>
      <w:r>
        <w:rPr>
          <w:rFonts w:ascii="Times New Roman" w:cs="Times New Roman" w:eastAsia="Times New Roman" w:hAnsi="Times New Roman"/>
          <w:sz w:val="19"/>
          <w:szCs w:val="19"/>
          <w:color w:val="auto"/>
        </w:rPr>
        <w:t>revenue is expected to be recognized as collaboration and license revenue through at least 2027 depending on the timing of certain clinical development activities.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Summary of Contract Assets and Liabilities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presents changes in the balances of the Company's contract liabilities:</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gridSpan w:val="2"/>
          </w:tcPr>
          <w:p>
            <w:pPr>
              <w:jc w:val="right"/>
              <w:ind w:right="700"/>
              <w:spacing w:after="0"/>
              <w:rPr>
                <w:sz w:val="20"/>
                <w:szCs w:val="20"/>
                <w:color w:val="auto"/>
              </w:rPr>
            </w:pPr>
            <w:r>
              <w:rPr>
                <w:rFonts w:ascii="Times New Roman" w:cs="Times New Roman" w:eastAsia="Times New Roman" w:hAnsi="Times New Roman"/>
                <w:sz w:val="15"/>
                <w:szCs w:val="15"/>
                <w:b w:val="1"/>
                <w:bCs w:val="1"/>
                <w:color w:val="auto"/>
              </w:rPr>
              <w:t>Gilead</w:t>
            </w:r>
          </w:p>
        </w:tc>
        <w:tc>
          <w:tcPr>
            <w:tcW w:w="260" w:type="dxa"/>
            <w:vAlign w:val="bottom"/>
          </w:tcPr>
          <w:p>
            <w:pPr>
              <w:spacing w:after="0"/>
              <w:rPr>
                <w:sz w:val="15"/>
                <w:szCs w:val="15"/>
                <w:color w:val="auto"/>
              </w:rPr>
            </w:pPr>
          </w:p>
        </w:tc>
        <w:tc>
          <w:tcPr>
            <w:tcW w:w="1260" w:type="dxa"/>
            <w:vAlign w:val="bottom"/>
            <w:gridSpan w:val="2"/>
          </w:tcPr>
          <w:p>
            <w:pPr>
              <w:jc w:val="right"/>
              <w:ind w:right="580"/>
              <w:spacing w:after="0"/>
              <w:rPr>
                <w:sz w:val="20"/>
                <w:szCs w:val="20"/>
                <w:color w:val="auto"/>
              </w:rPr>
            </w:pPr>
            <w:r>
              <w:rPr>
                <w:rFonts w:ascii="Times New Roman" w:cs="Times New Roman" w:eastAsia="Times New Roman" w:hAnsi="Times New Roman"/>
                <w:sz w:val="15"/>
                <w:szCs w:val="15"/>
                <w:b w:val="1"/>
                <w:bCs w:val="1"/>
                <w:color w:val="auto"/>
              </w:rPr>
              <w:t>AbbVie</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225"/>
        </w:trPr>
        <w:tc>
          <w:tcPr>
            <w:tcW w:w="5580" w:type="dxa"/>
            <w:vAlign w:val="bottom"/>
            <w:tcBorders>
              <w:top w:val="single" w:sz="8" w:color="D5EEEE"/>
            </w:tcBorders>
            <w:shd w:val="clear" w:color="auto" w:fill="D5EEEE"/>
          </w:tcPr>
          <w:p>
            <w:pPr>
              <w:spacing w:after="0"/>
              <w:rPr>
                <w:sz w:val="20"/>
                <w:szCs w:val="20"/>
                <w:color w:val="auto"/>
              </w:rPr>
            </w:pPr>
            <w:r>
              <w:rPr>
                <w:rFonts w:ascii="Times New Roman" w:cs="Times New Roman" w:eastAsia="Times New Roman" w:hAnsi="Times New Roman"/>
                <w:sz w:val="19"/>
                <w:szCs w:val="19"/>
                <w:color w:val="auto"/>
              </w:rPr>
              <w:t>Deferred revenue as of December 31, 2024</w:t>
            </w:r>
          </w:p>
        </w:tc>
        <w:tc>
          <w:tcPr>
            <w:tcW w:w="280" w:type="dxa"/>
            <w:vAlign w:val="bottom"/>
            <w:tcBorders>
              <w:top w:val="single" w:sz="8" w:color="auto"/>
            </w:tcBorders>
            <w:shd w:val="clear" w:color="auto" w:fill="D5EEEE"/>
          </w:tcPr>
          <w:p>
            <w:pPr>
              <w:jc w:val="right"/>
              <w:ind w:right="86"/>
              <w:spacing w:after="0"/>
              <w:rPr>
                <w:sz w:val="20"/>
                <w:szCs w:val="20"/>
                <w:color w:val="auto"/>
              </w:rPr>
            </w:pPr>
            <w:r>
              <w:rPr>
                <w:rFonts w:ascii="Times New Roman" w:cs="Times New Roman" w:eastAsia="Times New Roman" w:hAnsi="Times New Roman"/>
                <w:sz w:val="19"/>
                <w:szCs w:val="19"/>
                <w:color w:val="auto"/>
                <w:w w:val="83"/>
              </w:rPr>
              <w:t>$</w:t>
            </w:r>
          </w:p>
        </w:tc>
        <w:tc>
          <w:tcPr>
            <w:tcW w:w="106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32,780</w:t>
            </w:r>
          </w:p>
        </w:tc>
        <w:tc>
          <w:tcPr>
            <w:tcW w:w="240" w:type="dxa"/>
            <w:vAlign w:val="bottom"/>
            <w:tcBorders>
              <w:top w:val="single" w:sz="8" w:color="D5EEEE"/>
            </w:tcBorders>
            <w:shd w:val="clear" w:color="auto" w:fill="D5EEEE"/>
          </w:tcPr>
          <w:p>
            <w:pPr>
              <w:spacing w:after="0"/>
              <w:rPr>
                <w:sz w:val="19"/>
                <w:szCs w:val="19"/>
                <w:color w:val="auto"/>
              </w:rPr>
            </w:pPr>
          </w:p>
        </w:tc>
        <w:tc>
          <w:tcPr>
            <w:tcW w:w="260" w:type="dxa"/>
            <w:vAlign w:val="bottom"/>
            <w:tcBorders>
              <w:top w:val="single" w:sz="8" w:color="auto"/>
            </w:tcBorders>
            <w:shd w:val="clear" w:color="auto" w:fill="D5EEEE"/>
          </w:tcPr>
          <w:p>
            <w:pPr>
              <w:jc w:val="right"/>
              <w:ind w:right="66"/>
              <w:spacing w:after="0"/>
              <w:rPr>
                <w:sz w:val="20"/>
                <w:szCs w:val="20"/>
                <w:color w:val="auto"/>
              </w:rPr>
            </w:pPr>
            <w:r>
              <w:rPr>
                <w:rFonts w:ascii="Times New Roman" w:cs="Times New Roman" w:eastAsia="Times New Roman" w:hAnsi="Times New Roman"/>
                <w:sz w:val="19"/>
                <w:szCs w:val="19"/>
                <w:color w:val="auto"/>
                <w:w w:val="83"/>
              </w:rPr>
              <w:t>$</w:t>
            </w:r>
          </w:p>
        </w:tc>
        <w:tc>
          <w:tcPr>
            <w:tcW w:w="112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40" w:type="dxa"/>
            <w:vAlign w:val="bottom"/>
            <w:tcBorders>
              <w:top w:val="single" w:sz="8" w:color="D5EEEE"/>
            </w:tcBorders>
            <w:shd w:val="clear" w:color="auto" w:fill="D5EEEE"/>
          </w:tcPr>
          <w:p>
            <w:pPr>
              <w:spacing w:after="0"/>
              <w:rPr>
                <w:sz w:val="19"/>
                <w:szCs w:val="19"/>
                <w:color w:val="auto"/>
              </w:rPr>
            </w:pPr>
          </w:p>
        </w:tc>
        <w:tc>
          <w:tcPr>
            <w:tcW w:w="100" w:type="dxa"/>
            <w:vAlign w:val="bottom"/>
            <w:tcBorders>
              <w:top w:val="single" w:sz="8" w:color="D5EEEE"/>
            </w:tcBorders>
            <w:shd w:val="clear" w:color="auto" w:fill="D5EEEE"/>
          </w:tcPr>
          <w:p>
            <w:pPr>
              <w:spacing w:after="0"/>
              <w:rPr>
                <w:sz w:val="19"/>
                <w:szCs w:val="19"/>
                <w:color w:val="auto"/>
              </w:rPr>
            </w:pPr>
          </w:p>
        </w:tc>
        <w:tc>
          <w:tcPr>
            <w:tcW w:w="280" w:type="dxa"/>
            <w:vAlign w:val="bottom"/>
            <w:tcBorders>
              <w:top w:val="single" w:sz="8" w:color="auto"/>
            </w:tcBorders>
            <w:shd w:val="clear" w:color="auto" w:fill="D5EEEE"/>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32,780</w:t>
            </w:r>
          </w:p>
        </w:tc>
        <w:tc>
          <w:tcPr>
            <w:tcW w:w="80" w:type="dxa"/>
            <w:vAlign w:val="bottom"/>
            <w:tcBorders>
              <w:top w:val="single" w:sz="8" w:color="D5EEEE"/>
            </w:tcBorders>
            <w:shd w:val="clear" w:color="auto" w:fill="D5EEEE"/>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Times New Roman" w:cs="Times New Roman" w:eastAsia="Times New Roman" w:hAnsi="Times New Roman"/>
                <w:sz w:val="19"/>
                <w:szCs w:val="19"/>
                <w:color w:val="auto"/>
              </w:rPr>
              <w:t>Additions</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17,500</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54,144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71,644</w:t>
            </w:r>
          </w:p>
        </w:tc>
        <w:tc>
          <w:tcPr>
            <w:tcW w:w="80" w:type="dxa"/>
            <w:vAlign w:val="bottom"/>
          </w:tcPr>
          <w:p>
            <w:pPr>
              <w:spacing w:after="0"/>
              <w:rPr>
                <w:sz w:val="20"/>
                <w:szCs w:val="20"/>
                <w:color w:val="auto"/>
              </w:rPr>
            </w:pPr>
          </w:p>
        </w:tc>
      </w:tr>
      <w:tr>
        <w:trPr>
          <w:trHeight w:val="230"/>
        </w:trPr>
        <w:tc>
          <w:tcPr>
            <w:tcW w:w="5580" w:type="dxa"/>
            <w:vAlign w:val="bottom"/>
            <w:shd w:val="clear" w:color="auto" w:fill="D5EEEE"/>
          </w:tcPr>
          <w:p>
            <w:pPr>
              <w:spacing w:after="0"/>
              <w:rPr>
                <w:sz w:val="20"/>
                <w:szCs w:val="20"/>
                <w:color w:val="auto"/>
              </w:rPr>
            </w:pPr>
            <w:r>
              <w:rPr>
                <w:rFonts w:ascii="Times New Roman" w:cs="Times New Roman" w:eastAsia="Times New Roman" w:hAnsi="Times New Roman"/>
                <w:sz w:val="19"/>
                <w:szCs w:val="19"/>
                <w:color w:val="auto"/>
              </w:rPr>
              <w:t>Collaboration and license revenue recognized</w:t>
            </w:r>
          </w:p>
        </w:tc>
        <w:tc>
          <w:tcPr>
            <w:tcW w:w="280" w:type="dxa"/>
            <w:vAlign w:val="bottom"/>
            <w:shd w:val="clear" w:color="auto" w:fill="D5EEEE"/>
          </w:tcPr>
          <w:p>
            <w:pPr>
              <w:spacing w:after="0"/>
              <w:rPr>
                <w:sz w:val="20"/>
                <w:szCs w:val="20"/>
                <w:color w:val="auto"/>
              </w:rPr>
            </w:pPr>
          </w:p>
        </w:tc>
        <w:tc>
          <w:tcPr>
            <w:tcW w:w="1300" w:type="dxa"/>
            <w:vAlign w:val="bottom"/>
            <w:gridSpan w:val="2"/>
            <w:shd w:val="clear" w:color="auto" w:fill="D5EEEE"/>
          </w:tcPr>
          <w:p>
            <w:pPr>
              <w:jc w:val="right"/>
              <w:ind w:right="160"/>
              <w:spacing w:after="0"/>
              <w:rPr>
                <w:sz w:val="20"/>
                <w:szCs w:val="20"/>
                <w:color w:val="auto"/>
              </w:rPr>
            </w:pPr>
            <w:r>
              <w:rPr>
                <w:rFonts w:ascii="Times New Roman" w:cs="Times New Roman" w:eastAsia="Times New Roman" w:hAnsi="Times New Roman"/>
                <w:sz w:val="19"/>
                <w:szCs w:val="19"/>
                <w:color w:val="auto"/>
              </w:rPr>
              <w:t>(23,629)</w:t>
            </w:r>
          </w:p>
        </w:tc>
        <w:tc>
          <w:tcPr>
            <w:tcW w:w="260" w:type="dxa"/>
            <w:vAlign w:val="bottom"/>
            <w:shd w:val="clear" w:color="auto" w:fill="D5EEEE"/>
          </w:tcPr>
          <w:p>
            <w:pPr>
              <w:spacing w:after="0"/>
              <w:rPr>
                <w:sz w:val="20"/>
                <w:szCs w:val="20"/>
                <w:color w:val="auto"/>
              </w:rPr>
            </w:pPr>
          </w:p>
        </w:tc>
        <w:tc>
          <w:tcPr>
            <w:tcW w:w="1260" w:type="dxa"/>
            <w:vAlign w:val="bottom"/>
            <w:gridSpan w:val="2"/>
            <w:shd w:val="clear" w:color="auto" w:fill="D5EEEE"/>
          </w:tcPr>
          <w:p>
            <w:pPr>
              <w:jc w:val="right"/>
              <w:ind w:right="80"/>
              <w:spacing w:after="0"/>
              <w:rPr>
                <w:sz w:val="20"/>
                <w:szCs w:val="20"/>
                <w:color w:val="auto"/>
              </w:rPr>
            </w:pPr>
            <w:r>
              <w:rPr>
                <w:rFonts w:ascii="Times New Roman" w:cs="Times New Roman" w:eastAsia="Times New Roman" w:hAnsi="Times New Roman"/>
                <w:sz w:val="19"/>
                <w:szCs w:val="19"/>
                <w:color w:val="auto"/>
              </w:rPr>
              <w:t>(20,137)</w:t>
            </w:r>
          </w:p>
        </w:tc>
        <w:tc>
          <w:tcPr>
            <w:tcW w:w="100" w:type="dxa"/>
            <w:vAlign w:val="bottom"/>
            <w:shd w:val="clear" w:color="auto" w:fill="D5EEEE"/>
          </w:tcPr>
          <w:p>
            <w:pPr>
              <w:spacing w:after="0"/>
              <w:rPr>
                <w:sz w:val="20"/>
                <w:szCs w:val="20"/>
                <w:color w:val="auto"/>
              </w:rPr>
            </w:pPr>
          </w:p>
        </w:tc>
        <w:tc>
          <w:tcPr>
            <w:tcW w:w="280" w:type="dxa"/>
            <w:vAlign w:val="bottom"/>
            <w:shd w:val="clear" w:color="auto" w:fill="D5EEEE"/>
          </w:tcPr>
          <w:p>
            <w:pPr>
              <w:spacing w:after="0"/>
              <w:rPr>
                <w:sz w:val="20"/>
                <w:szCs w:val="20"/>
                <w:color w:val="auto"/>
              </w:rPr>
            </w:pPr>
          </w:p>
        </w:tc>
        <w:tc>
          <w:tcPr>
            <w:tcW w:w="1140" w:type="dxa"/>
            <w:vAlign w:val="bottom"/>
            <w:gridSpan w:val="2"/>
            <w:shd w:val="clear" w:color="auto" w:fill="D5EEEE"/>
          </w:tcPr>
          <w:p>
            <w:pPr>
              <w:jc w:val="right"/>
              <w:ind w:right="20"/>
              <w:spacing w:after="0"/>
              <w:rPr>
                <w:sz w:val="20"/>
                <w:szCs w:val="20"/>
                <w:color w:val="auto"/>
              </w:rPr>
            </w:pPr>
            <w:r>
              <w:rPr>
                <w:rFonts w:ascii="Times New Roman" w:cs="Times New Roman" w:eastAsia="Times New Roman" w:hAnsi="Times New Roman"/>
                <w:sz w:val="19"/>
                <w:szCs w:val="19"/>
                <w:color w:val="auto"/>
              </w:rPr>
              <w:t>(43,766)</w:t>
            </w:r>
          </w:p>
        </w:tc>
      </w:tr>
      <w:tr>
        <w:trPr>
          <w:trHeight w:val="20"/>
        </w:trPr>
        <w:tc>
          <w:tcPr>
            <w:tcW w:w="55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5"/>
        </w:trPr>
        <w:tc>
          <w:tcPr>
            <w:tcW w:w="5580" w:type="dxa"/>
            <w:vAlign w:val="bottom"/>
          </w:tcPr>
          <w:p>
            <w:pPr>
              <w:spacing w:after="0"/>
              <w:rPr>
                <w:sz w:val="20"/>
                <w:szCs w:val="20"/>
                <w:color w:val="auto"/>
              </w:rPr>
            </w:pPr>
            <w:r>
              <w:rPr>
                <w:rFonts w:ascii="Times New Roman" w:cs="Times New Roman" w:eastAsia="Times New Roman" w:hAnsi="Times New Roman"/>
                <w:sz w:val="19"/>
                <w:szCs w:val="19"/>
                <w:color w:val="auto"/>
              </w:rPr>
              <w:t>Deferred revenue as of December 31, 2025</w:t>
            </w:r>
          </w:p>
        </w:tc>
        <w:tc>
          <w:tcPr>
            <w:tcW w:w="280" w:type="dxa"/>
            <w:vAlign w:val="bottom"/>
          </w:tcPr>
          <w:p>
            <w:pPr>
              <w:jc w:val="right"/>
              <w:ind w:right="86"/>
              <w:spacing w:after="0"/>
              <w:rPr>
                <w:sz w:val="20"/>
                <w:szCs w:val="20"/>
                <w:color w:val="auto"/>
              </w:rPr>
            </w:pPr>
            <w:r>
              <w:rPr>
                <w:rFonts w:ascii="Times New Roman" w:cs="Times New Roman" w:eastAsia="Times New Roman" w:hAnsi="Times New Roman"/>
                <w:sz w:val="19"/>
                <w:szCs w:val="19"/>
                <w:color w:val="auto"/>
                <w:w w:val="8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26,651</w:t>
            </w:r>
          </w:p>
        </w:tc>
        <w:tc>
          <w:tcPr>
            <w:tcW w:w="240" w:type="dxa"/>
            <w:vAlign w:val="bottom"/>
          </w:tcPr>
          <w:p>
            <w:pPr>
              <w:spacing w:after="0"/>
              <w:rPr>
                <w:sz w:val="19"/>
                <w:szCs w:val="19"/>
                <w:color w:val="auto"/>
              </w:rPr>
            </w:pPr>
          </w:p>
        </w:tc>
        <w:tc>
          <w:tcPr>
            <w:tcW w:w="260" w:type="dxa"/>
            <w:vAlign w:val="bottom"/>
          </w:tcPr>
          <w:p>
            <w:pPr>
              <w:jc w:val="right"/>
              <w:ind w:right="66"/>
              <w:spacing w:after="0"/>
              <w:rPr>
                <w:sz w:val="20"/>
                <w:szCs w:val="20"/>
                <w:color w:val="auto"/>
              </w:rPr>
            </w:pPr>
            <w:r>
              <w:rPr>
                <w:rFonts w:ascii="Times New Roman" w:cs="Times New Roman" w:eastAsia="Times New Roman" w:hAnsi="Times New Roman"/>
                <w:sz w:val="19"/>
                <w:szCs w:val="19"/>
                <w:color w:val="auto"/>
                <w:w w:val="8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34,007</w:t>
            </w:r>
          </w:p>
        </w:tc>
        <w:tc>
          <w:tcPr>
            <w:tcW w:w="140" w:type="dxa"/>
            <w:vAlign w:val="bottom"/>
          </w:tcPr>
          <w:p>
            <w:pPr>
              <w:spacing w:after="0"/>
              <w:rPr>
                <w:sz w:val="19"/>
                <w:szCs w:val="19"/>
                <w:color w:val="auto"/>
              </w:rPr>
            </w:pPr>
          </w:p>
        </w:tc>
        <w:tc>
          <w:tcPr>
            <w:tcW w:w="380" w:type="dxa"/>
            <w:vAlign w:val="bottom"/>
            <w:gridSpan w:val="2"/>
          </w:tcPr>
          <w:p>
            <w:pPr>
              <w:jc w:val="right"/>
              <w:ind w:right="116"/>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60,658</w:t>
            </w:r>
          </w:p>
        </w:tc>
        <w:tc>
          <w:tcPr>
            <w:tcW w:w="80" w:type="dxa"/>
            <w:vAlign w:val="bottom"/>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Clinical Trial Collaboration with F. Hoffmann-La Roche Ltd</w:t>
      </w:r>
    </w:p>
    <w:p>
      <w:pPr>
        <w:spacing w:after="0" w:line="26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In July 2023, the Company and F. Hoffmann-La Roche Ltd (“Roche”) entered into a clinical trial collaboration pursuant to a clinical supply agreement to evaluate vilastobart in combination with atezolizumab (Tecentriq®) in a Phase 1/2 clinical trial consisting of Phase 1 dose escalation assessing the combination in patients with advanced solid tumors and Phase 2 assessing the combination in patients with microsatellite stable metastatic colorectal cancer.</w:t>
      </w:r>
    </w:p>
    <w:p>
      <w:pPr>
        <w:spacing w:after="0" w:line="24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Under the clinical supply agreement, the Company is eligible to receive specified cost-sharing payments from Roche, and each company will supply its respective anti-cancer agent to support the Phase 1/2 clinical trial. As of December 31, 2025, the Company has received $8.0 million in total cost-sharing payments from Roche. The Company is responsible for conducting the Phase 1/2 clinical trial and retains global development and commercialization rights to vilastobart.</w:t>
      </w:r>
    </w:p>
    <w:p>
      <w:pPr>
        <w:spacing w:after="0" w:line="24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The Company concluded that the cost-sharing payments under the clinical supply agreement are not in the scope of ASC 606 because the Company does not consider performing research and development services for reimbursement to be part of its ongoing major or central operations. Therefore, the Company applied a reasonable, rational, and consistently applied accounting policy election to record the cost-sharing payments under the clinical supply agreement as a reduction of research and development expenses in the consolidated statements of operations and comprehensive loss for the period in which a study development event is achieved. During the years ended December 31, 2025 and 2024, the Company recognized a reduction of research and development expense of $2.0 million and $4.0 million, respectively.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Amended and Restated Exclusive License Agreement with City of Hope</w:t>
      </w:r>
    </w:p>
    <w:p>
      <w:pPr>
        <w:spacing w:after="0" w:line="154" w:lineRule="exact"/>
        <w:rPr>
          <w:sz w:val="20"/>
          <w:szCs w:val="20"/>
          <w:color w:val="auto"/>
        </w:rPr>
      </w:pPr>
    </w:p>
    <w:p>
      <w:pPr>
        <w:ind w:right="140"/>
        <w:spacing w:after="0" w:line="232" w:lineRule="auto"/>
        <w:rPr>
          <w:sz w:val="20"/>
          <w:szCs w:val="20"/>
          <w:color w:val="auto"/>
        </w:rPr>
      </w:pPr>
      <w:r>
        <w:rPr>
          <w:rFonts w:ascii="Times New Roman" w:cs="Times New Roman" w:eastAsia="Times New Roman" w:hAnsi="Times New Roman"/>
          <w:sz w:val="19"/>
          <w:szCs w:val="19"/>
          <w:color w:val="auto"/>
        </w:rPr>
        <w:t>In August 2016, Xilio Development entered into an amended and restated exclusive license agreement with City of Hope pursuant to which City of Hope granted Xilio Development an exclusive worldwide license to specified patent rights related to the Company’s anti-CTLA-4 monoclonal antibody program.</w:t>
      </w:r>
    </w:p>
    <w:p>
      <w:pPr>
        <w:spacing w:after="0" w:line="229" w:lineRule="exact"/>
        <w:rPr>
          <w:sz w:val="20"/>
          <w:szCs w:val="20"/>
          <w:color w:val="auto"/>
        </w:rPr>
      </w:pPr>
    </w:p>
    <w:p>
      <w:pPr>
        <w:ind w:right="100"/>
        <w:spacing w:after="0" w:line="234" w:lineRule="auto"/>
        <w:rPr>
          <w:sz w:val="20"/>
          <w:szCs w:val="20"/>
          <w:color w:val="auto"/>
        </w:rPr>
      </w:pPr>
      <w:r>
        <w:rPr>
          <w:rFonts w:ascii="Times New Roman" w:cs="Times New Roman" w:eastAsia="Times New Roman" w:hAnsi="Times New Roman"/>
          <w:sz w:val="19"/>
          <w:szCs w:val="19"/>
          <w:color w:val="auto"/>
        </w:rPr>
        <w:t>Under the agreement, the Company issued 1,715 shares of common stock to City of Hope. For the first three licensed products or licensed services to achieve specified development and regulatory milestones, Xilio Development is obligated to pay City of Hope up to $10.3 million in the aggregate per licensed product or licensed service. To date, the Company has made an aggregate of</w:t>
      </w:r>
    </w:p>
    <w:p>
      <w:pPr>
        <w:spacing w:after="0" w:line="13" w:lineRule="exact"/>
        <w:rPr>
          <w:sz w:val="20"/>
          <w:szCs w:val="20"/>
          <w:color w:val="auto"/>
        </w:rPr>
      </w:pPr>
    </w:p>
    <w:p>
      <w:pPr>
        <w:ind w:right="160"/>
        <w:spacing w:after="0" w:line="236" w:lineRule="auto"/>
        <w:rPr>
          <w:sz w:val="20"/>
          <w:szCs w:val="20"/>
          <w:color w:val="auto"/>
        </w:rPr>
      </w:pPr>
      <w:r>
        <w:rPr>
          <w:rFonts w:ascii="Times New Roman" w:cs="Times New Roman" w:eastAsia="Times New Roman" w:hAnsi="Times New Roman"/>
          <w:sz w:val="19"/>
          <w:szCs w:val="19"/>
          <w:color w:val="auto"/>
        </w:rPr>
        <w:t>$0.8 million in specified development and regulatory milestone payments to City of Hope related to its anti-CTLA-4 monoclonal antibody program. In addition, subject to specified conditions, Xilio Development is obligated to pay City of Hope tiered royalties in the low single digits on aggregate annual net sales of licensed products or licensed services on a country-by-country basis until the expiration of the last-to-expire patent or patent application licensed from City of Hope covering the applicable licensed product or licensed service in such country. Xilio Development is also obligated to pay City of Hope a portion of any consideration Xilio Development receives for the grant of sublicenses under the agreement in an amount equal to a low double digit percentage of such consideration, subject to specified conditions under that agreement at the time that Xilio Development grants any such sublicense.</w:t>
      </w:r>
    </w:p>
    <w:p>
      <w:pPr>
        <w:spacing w:after="0" w:line="234" w:lineRule="exact"/>
        <w:rPr>
          <w:sz w:val="20"/>
          <w:szCs w:val="20"/>
          <w:color w:val="auto"/>
        </w:rPr>
      </w:pPr>
    </w:p>
    <w:p>
      <w:pPr>
        <w:ind w:right="220"/>
        <w:spacing w:after="0" w:line="236" w:lineRule="auto"/>
        <w:rPr>
          <w:sz w:val="20"/>
          <w:szCs w:val="20"/>
          <w:color w:val="auto"/>
        </w:rPr>
      </w:pPr>
      <w:r>
        <w:rPr>
          <w:rFonts w:ascii="Times New Roman" w:cs="Times New Roman" w:eastAsia="Times New Roman" w:hAnsi="Times New Roman"/>
          <w:sz w:val="19"/>
          <w:szCs w:val="19"/>
          <w:color w:val="auto"/>
        </w:rPr>
        <w:t>The Company incurred no costs related to the payment of specified development milestones under the agreement during the year ended December 31, 2025. The Company incurred costs of $0.5 million related to the payment of specified development milestones under the agreement during the year ended December 31, 2024. Any additional payments that are contingent upon achievement of development and regulatory milestones or upon sales of licensed products will not be recognized until it becomes probable that the Company will be required to make such payments.</w:t>
      </w:r>
    </w:p>
    <w:p>
      <w:pPr>
        <w:sectPr>
          <w:pgSz w:w="12240" w:h="15840" w:orient="portrait"/>
          <w:cols w:equalWidth="0" w:num="1">
            <w:col w:w="10200"/>
          </w:cols>
          <w:pgMar w:left="1020" w:top="1347" w:right="1020" w:bottom="5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F-19</w:t>
      </w:r>
    </w:p>
    <w:p>
      <w:pPr>
        <w:sectPr>
          <w:pgSz w:w="12240" w:h="15840" w:orient="portrait"/>
          <w:cols w:equalWidth="0" w:num="1">
            <w:col w:w="10200"/>
          </w:cols>
          <w:pgMar w:left="1020" w:top="1347" w:right="1020" w:bottom="556" w:gutter="0" w:footer="0" w:header="0"/>
          <w:type w:val="continuous"/>
        </w:sectPr>
      </w:pPr>
    </w:p>
    <w:bookmarkStart w:id="142" w:name="page143"/>
    <w:bookmarkEnd w:id="142"/>
    <w:p>
      <w:pPr>
        <w:spacing w:after="0"/>
        <w:rPr>
          <w:sz w:val="20"/>
          <w:szCs w:val="20"/>
          <w:color w:val="auto"/>
        </w:rPr>
      </w:pPr>
      <w:r>
        <w:rPr>
          <w:rFonts w:ascii="Times New Roman" w:cs="Times New Roman" w:eastAsia="Times New Roman" w:hAnsi="Times New Roman"/>
          <w:sz w:val="19"/>
          <w:szCs w:val="19"/>
          <w:b w:val="1"/>
          <w:bCs w:val="1"/>
          <w:i w:val="1"/>
          <w:iCs w:val="1"/>
          <w:color w:val="auto"/>
        </w:rPr>
        <w:t>CTLA-4 Monoclonal Antibody License Agreement with WuXi Biologics</w:t>
      </w:r>
    </w:p>
    <w:p>
      <w:pPr>
        <w:spacing w:after="0" w:line="262" w:lineRule="exact"/>
        <w:rPr>
          <w:sz w:val="20"/>
          <w:szCs w:val="20"/>
          <w:color w:val="auto"/>
        </w:rPr>
      </w:pPr>
    </w:p>
    <w:p>
      <w:pPr>
        <w:ind w:right="140"/>
        <w:spacing w:after="0" w:line="235" w:lineRule="auto"/>
        <w:rPr>
          <w:sz w:val="20"/>
          <w:szCs w:val="20"/>
          <w:color w:val="auto"/>
        </w:rPr>
      </w:pPr>
      <w:r>
        <w:rPr>
          <w:rFonts w:ascii="Times New Roman" w:cs="Times New Roman" w:eastAsia="Times New Roman" w:hAnsi="Times New Roman"/>
          <w:sz w:val="19"/>
          <w:szCs w:val="19"/>
          <w:color w:val="auto"/>
        </w:rPr>
        <w:t>In September 2016, the Company entered into a license agreement with WuXi Biologics (Hong Kong) Limited (“WuXi Biologics”), as amended in December 2017, pursuant to which WuXi Biologics granted the Company an exclusive worldwide license to specified monoclonal antibodies and patent rights and know-how controlled by WuXi Biologics, including certain patent rights related to the Company’s anti-CTLA-4 monoclonal antibody program.</w:t>
      </w:r>
    </w:p>
    <w:p>
      <w:pPr>
        <w:spacing w:after="0" w:line="230"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9"/>
          <w:szCs w:val="19"/>
          <w:color w:val="auto"/>
        </w:rPr>
        <w:t>For each product that exploits the rights licensed under the agreement, the Company is obligated to pay WuXi Biologics up to approximately $25.8 million in the aggregate for specified development and regulatory milestones. To date, the Company has made an aggregate of $5.8 million in specified development and regulatory milestone payments to WuXi Biologics related to its anti-CTLA-4 monoclonal antibody program. In addition, subject to specified conditions, the Company is obligated to pay WuXi Biologics tiered royalties in the low to mid-single digits on aggregate annual worldwide net sales of licensed products during the applicable royalty term.</w:t>
      </w:r>
    </w:p>
    <w:p>
      <w:pPr>
        <w:spacing w:after="0" w:line="232" w:lineRule="exact"/>
        <w:rPr>
          <w:sz w:val="20"/>
          <w:szCs w:val="20"/>
          <w:color w:val="auto"/>
        </w:rPr>
      </w:pPr>
    </w:p>
    <w:p>
      <w:pPr>
        <w:ind w:right="420"/>
        <w:spacing w:after="0" w:line="236" w:lineRule="auto"/>
        <w:rPr>
          <w:sz w:val="20"/>
          <w:szCs w:val="20"/>
          <w:color w:val="auto"/>
        </w:rPr>
      </w:pPr>
      <w:r>
        <w:rPr>
          <w:rFonts w:ascii="Times New Roman" w:cs="Times New Roman" w:eastAsia="Times New Roman" w:hAnsi="Times New Roman"/>
          <w:sz w:val="19"/>
          <w:szCs w:val="19"/>
          <w:color w:val="auto"/>
        </w:rPr>
        <w:t>The Company incurred no costs related to the payment of specified development milestones under the agreement during the year ended December 31, 2025.The Company incurred costs of $4.0 million related to specified development milestones under the agreement during the year ended December 31, 2024, of which $3.0 million was recorded in accrued expenses on the Company’s consolidated balance sheet as of December 31, 2024. Any additional payments that are contingent upon the achievement of development and regulatory milestones or sales of licensed products will not be recognized until it becomes probable that the Company will be required to make such payments.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7. Leases</w:t>
      </w:r>
    </w:p>
    <w:p>
      <w:pPr>
        <w:spacing w:after="0" w:line="23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The Company has an operating lease for its headquarters and a finance lease for certain lab equipment. In August 2019, the Company entered into a facility lease agreement with a landlord providing funding for tenant improvements and occupancy of approximately 27,830 square feet of office and laboratory space (the “premises”) at 828 Winter Street, Waltham, Massachusetts. The initial term of the lease expires in March 2030, unless terminated earlier in accordance with the terms of the lease. The Company has a right to a five-year option to extend at then-market rates. The Company is obligated to pay its portion of real estate taxes and costs related to the premises, including costs of operations, maintenance, repair, replacement, and management of the leased premises, which it began paying simultaneous with the rent commencement date in March 2020. As of both December 31, 2025 and 2024, the Company has a letter of credit for the benefit of its landlord in the amount of $1.8 million, collateralized by a money market account, which is recorded as restricted cash on the consolidated balance sheets.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components of lease expense were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60" w:type="dxa"/>
            <w:vAlign w:val="bottom"/>
            <w:gridSpan w:val="3"/>
          </w:tcPr>
          <w:p>
            <w:pPr>
              <w:jc w:val="right"/>
              <w:ind w:right="126"/>
              <w:spacing w:after="0"/>
              <w:rPr>
                <w:sz w:val="20"/>
                <w:szCs w:val="20"/>
                <w:color w:val="auto"/>
              </w:rPr>
            </w:pPr>
            <w:r>
              <w:rPr>
                <w:rFonts w:ascii="Times New Roman" w:cs="Times New Roman" w:eastAsia="Times New Roman" w:hAnsi="Times New Roman"/>
                <w:sz w:val="15"/>
                <w:szCs w:val="15"/>
                <w:b w:val="1"/>
                <w:bCs w:val="1"/>
                <w:color w:val="auto"/>
              </w:rPr>
              <w:t>Year Ended</w:t>
            </w: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68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60" w:type="dxa"/>
            <w:vAlign w:val="bottom"/>
            <w:gridSpan w:val="3"/>
          </w:tcPr>
          <w:p>
            <w:pPr>
              <w:jc w:val="right"/>
              <w:ind w:right="66"/>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08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800" w:type="dxa"/>
            <w:vAlign w:val="bottom"/>
            <w:tcBorders>
              <w:bottom w:val="single" w:sz="8" w:color="D5EEEE"/>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640" w:type="dxa"/>
            <w:vAlign w:val="bottom"/>
            <w:tcBorders>
              <w:bottom w:val="single" w:sz="8" w:color="auto"/>
            </w:tcBorders>
          </w:tcPr>
          <w:p>
            <w:pPr>
              <w:spacing w:after="0"/>
              <w:rPr>
                <w:sz w:val="15"/>
                <w:szCs w:val="15"/>
                <w:color w:val="auto"/>
              </w:rPr>
            </w:pPr>
          </w:p>
        </w:tc>
        <w:tc>
          <w:tcPr>
            <w:tcW w:w="160" w:type="dxa"/>
            <w:vAlign w:val="bottom"/>
            <w:tcBorders>
              <w:bottom w:val="single" w:sz="8" w:color="D5EEEE"/>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5"/>
                <w:szCs w:val="15"/>
                <w:b w:val="1"/>
                <w:bCs w:val="1"/>
                <w:color w:val="auto"/>
              </w:rPr>
              <w:t>2024</w:t>
            </w:r>
          </w:p>
        </w:tc>
        <w:tc>
          <w:tcPr>
            <w:tcW w:w="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6800" w:type="dxa"/>
            <w:vAlign w:val="bottom"/>
            <w:shd w:val="clear" w:color="auto" w:fill="D5EEEE"/>
          </w:tcPr>
          <w:p>
            <w:pPr>
              <w:spacing w:after="0"/>
              <w:rPr>
                <w:sz w:val="20"/>
                <w:szCs w:val="20"/>
                <w:color w:val="auto"/>
              </w:rPr>
            </w:pPr>
            <w:r>
              <w:rPr>
                <w:rFonts w:ascii="Times New Roman" w:cs="Times New Roman" w:eastAsia="Times New Roman" w:hAnsi="Times New Roman"/>
                <w:sz w:val="19"/>
                <w:szCs w:val="19"/>
                <w:color w:val="auto"/>
              </w:rPr>
              <w:t>Operating lease cost</w:t>
            </w:r>
          </w:p>
        </w:tc>
        <w:tc>
          <w:tcPr>
            <w:tcW w:w="1000" w:type="dxa"/>
            <w:vAlign w:val="bottom"/>
            <w:shd w:val="clear" w:color="auto" w:fill="D5EEEE"/>
          </w:tcPr>
          <w:p>
            <w:pPr>
              <w:jc w:val="right"/>
              <w:ind w:right="838"/>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D5EEEE"/>
          </w:tcPr>
          <w:p>
            <w:pPr>
              <w:jc w:val="right"/>
              <w:ind w:right="31"/>
              <w:spacing w:after="0"/>
              <w:rPr>
                <w:sz w:val="20"/>
                <w:szCs w:val="20"/>
                <w:color w:val="auto"/>
              </w:rPr>
            </w:pPr>
            <w:r>
              <w:rPr>
                <w:rFonts w:ascii="Times New Roman" w:cs="Times New Roman" w:eastAsia="Times New Roman" w:hAnsi="Times New Roman"/>
                <w:sz w:val="19"/>
                <w:szCs w:val="19"/>
                <w:color w:val="auto"/>
              </w:rPr>
              <w:t>1,225</w:t>
            </w:r>
          </w:p>
        </w:tc>
        <w:tc>
          <w:tcPr>
            <w:tcW w:w="160" w:type="dxa"/>
            <w:vAlign w:val="bottom"/>
            <w:shd w:val="clear" w:color="auto" w:fill="D5EEEE"/>
          </w:tcPr>
          <w:p>
            <w:pPr>
              <w:spacing w:after="0"/>
              <w:rPr>
                <w:sz w:val="19"/>
                <w:szCs w:val="19"/>
                <w:color w:val="auto"/>
              </w:rPr>
            </w:pPr>
          </w:p>
        </w:tc>
        <w:tc>
          <w:tcPr>
            <w:tcW w:w="460" w:type="dxa"/>
            <w:vAlign w:val="bottom"/>
            <w:shd w:val="clear" w:color="auto" w:fill="D5EEEE"/>
          </w:tcPr>
          <w:p>
            <w:pPr>
              <w:jc w:val="right"/>
              <w:ind w:right="266"/>
              <w:spacing w:after="0"/>
              <w:rPr>
                <w:sz w:val="20"/>
                <w:szCs w:val="20"/>
                <w:color w:val="auto"/>
              </w:rPr>
            </w:pPr>
            <w:r>
              <w:rPr>
                <w:rFonts w:ascii="Times New Roman" w:cs="Times New Roman" w:eastAsia="Times New Roman" w:hAnsi="Times New Roman"/>
                <w:sz w:val="19"/>
                <w:szCs w:val="19"/>
                <w:color w:val="auto"/>
                <w:w w:val="83"/>
              </w:rPr>
              <w:t>$</w:t>
            </w:r>
          </w:p>
        </w:tc>
        <w:tc>
          <w:tcPr>
            <w:tcW w:w="10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1,225</w:t>
            </w:r>
          </w:p>
        </w:tc>
        <w:tc>
          <w:tcPr>
            <w:tcW w:w="60" w:type="dxa"/>
            <w:vAlign w:val="bottom"/>
            <w:shd w:val="clear" w:color="auto" w:fill="D5EEE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800" w:type="dxa"/>
            <w:vAlign w:val="bottom"/>
            <w:tcBorders>
              <w:bottom w:val="single" w:sz="8" w:color="D5EEEE"/>
            </w:tcBorders>
          </w:tcPr>
          <w:p>
            <w:pPr>
              <w:spacing w:after="0"/>
              <w:rPr>
                <w:sz w:val="20"/>
                <w:szCs w:val="20"/>
                <w:color w:val="auto"/>
              </w:rPr>
            </w:pPr>
            <w:r>
              <w:rPr>
                <w:rFonts w:ascii="Times New Roman" w:cs="Times New Roman" w:eastAsia="Times New Roman" w:hAnsi="Times New Roman"/>
                <w:sz w:val="19"/>
                <w:szCs w:val="19"/>
                <w:color w:val="auto"/>
              </w:rPr>
              <w:t>Variable lease cost</w:t>
            </w:r>
          </w:p>
        </w:tc>
        <w:tc>
          <w:tcPr>
            <w:tcW w:w="10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9"/>
                <w:szCs w:val="19"/>
                <w:color w:val="auto"/>
              </w:rPr>
              <w:t>1,165</w:t>
            </w:r>
          </w:p>
        </w:tc>
        <w:tc>
          <w:tcPr>
            <w:tcW w:w="160" w:type="dxa"/>
            <w:vAlign w:val="bottom"/>
            <w:tcBorders>
              <w:bottom w:val="single" w:sz="8" w:color="D5EEEE"/>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1,060</w:t>
            </w:r>
          </w:p>
        </w:tc>
        <w:tc>
          <w:tcPr>
            <w:tcW w:w="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800" w:type="dxa"/>
            <w:vAlign w:val="bottom"/>
            <w:tcBorders>
              <w:bottom w:val="single" w:sz="8" w:color="D5EEEE"/>
            </w:tcBorders>
            <w:shd w:val="clear" w:color="auto" w:fill="D5EEEE"/>
          </w:tcPr>
          <w:p>
            <w:pPr>
              <w:ind w:left="100"/>
              <w:spacing w:after="0"/>
              <w:rPr>
                <w:sz w:val="20"/>
                <w:szCs w:val="20"/>
                <w:color w:val="auto"/>
              </w:rPr>
            </w:pPr>
            <w:r>
              <w:rPr>
                <w:rFonts w:ascii="Times New Roman" w:cs="Times New Roman" w:eastAsia="Times New Roman" w:hAnsi="Times New Roman"/>
                <w:sz w:val="19"/>
                <w:szCs w:val="19"/>
                <w:color w:val="auto"/>
              </w:rPr>
              <w:t>Total lease costs</w:t>
            </w:r>
          </w:p>
        </w:tc>
        <w:tc>
          <w:tcPr>
            <w:tcW w:w="1000" w:type="dxa"/>
            <w:vAlign w:val="bottom"/>
            <w:tcBorders>
              <w:bottom w:val="single" w:sz="8" w:color="auto"/>
            </w:tcBorders>
            <w:shd w:val="clear" w:color="auto" w:fill="D5EEEE"/>
          </w:tcPr>
          <w:p>
            <w:pPr>
              <w:jc w:val="right"/>
              <w:ind w:right="838"/>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D5EEEE"/>
          </w:tcPr>
          <w:p>
            <w:pPr>
              <w:jc w:val="right"/>
              <w:ind w:right="31"/>
              <w:spacing w:after="0"/>
              <w:rPr>
                <w:sz w:val="20"/>
                <w:szCs w:val="20"/>
                <w:color w:val="auto"/>
              </w:rPr>
            </w:pPr>
            <w:r>
              <w:rPr>
                <w:rFonts w:ascii="Times New Roman" w:cs="Times New Roman" w:eastAsia="Times New Roman" w:hAnsi="Times New Roman"/>
                <w:sz w:val="19"/>
                <w:szCs w:val="19"/>
                <w:color w:val="auto"/>
              </w:rPr>
              <w:t>2,390</w:t>
            </w:r>
          </w:p>
        </w:tc>
        <w:tc>
          <w:tcPr>
            <w:tcW w:w="160" w:type="dxa"/>
            <w:vAlign w:val="bottom"/>
            <w:tcBorders>
              <w:bottom w:val="single" w:sz="8" w:color="D5EEEE"/>
            </w:tcBorders>
            <w:shd w:val="clear" w:color="auto" w:fill="D5EEEE"/>
          </w:tcPr>
          <w:p>
            <w:pPr>
              <w:spacing w:after="0"/>
              <w:rPr>
                <w:sz w:val="21"/>
                <w:szCs w:val="21"/>
                <w:color w:val="auto"/>
              </w:rPr>
            </w:pPr>
          </w:p>
        </w:tc>
        <w:tc>
          <w:tcPr>
            <w:tcW w:w="460" w:type="dxa"/>
            <w:vAlign w:val="bottom"/>
            <w:tcBorders>
              <w:bottom w:val="single" w:sz="8" w:color="auto"/>
            </w:tcBorders>
            <w:shd w:val="clear" w:color="auto" w:fill="D5EEEE"/>
          </w:tcPr>
          <w:p>
            <w:pPr>
              <w:jc w:val="right"/>
              <w:ind w:right="266"/>
              <w:spacing w:after="0"/>
              <w:rPr>
                <w:sz w:val="20"/>
                <w:szCs w:val="20"/>
                <w:color w:val="auto"/>
              </w:rPr>
            </w:pPr>
            <w:r>
              <w:rPr>
                <w:rFonts w:ascii="Times New Roman" w:cs="Times New Roman" w:eastAsia="Times New Roman" w:hAnsi="Times New Roman"/>
                <w:sz w:val="19"/>
                <w:szCs w:val="19"/>
                <w:color w:val="auto"/>
                <w:w w:val="83"/>
              </w:rPr>
              <w:t>$</w:t>
            </w:r>
          </w:p>
        </w:tc>
        <w:tc>
          <w:tcPr>
            <w:tcW w:w="10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2,285</w:t>
            </w:r>
          </w:p>
        </w:tc>
        <w:tc>
          <w:tcPr>
            <w:tcW w:w="60" w:type="dxa"/>
            <w:vAlign w:val="bottom"/>
            <w:tcBorders>
              <w:bottom w:val="single" w:sz="8" w:color="auto"/>
            </w:tcBorders>
            <w:shd w:val="clear" w:color="auto" w:fill="D5EEE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Finance lease cost:</w:t>
            </w: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800" w:type="dxa"/>
            <w:vAlign w:val="bottom"/>
            <w:vMerge w:val="continue"/>
          </w:tcPr>
          <w:p>
            <w:pPr>
              <w:spacing w:after="0"/>
              <w:rPr>
                <w:sz w:val="16"/>
                <w:szCs w:val="16"/>
                <w:color w:val="auto"/>
              </w:rPr>
            </w:pPr>
          </w:p>
        </w:tc>
        <w:tc>
          <w:tcPr>
            <w:tcW w:w="10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6800" w:type="dxa"/>
            <w:vAlign w:val="bottom"/>
            <w:shd w:val="clear" w:color="auto" w:fill="D5EEEE"/>
          </w:tcPr>
          <w:p>
            <w:pPr>
              <w:ind w:left="100"/>
              <w:spacing w:after="0"/>
              <w:rPr>
                <w:sz w:val="20"/>
                <w:szCs w:val="20"/>
                <w:color w:val="auto"/>
              </w:rPr>
            </w:pPr>
            <w:r>
              <w:rPr>
                <w:rFonts w:ascii="Times New Roman" w:cs="Times New Roman" w:eastAsia="Times New Roman" w:hAnsi="Times New Roman"/>
                <w:sz w:val="19"/>
                <w:szCs w:val="19"/>
                <w:color w:val="auto"/>
              </w:rPr>
              <w:t>Amortization of right-of-use asset</w:t>
            </w:r>
          </w:p>
        </w:tc>
        <w:tc>
          <w:tcPr>
            <w:tcW w:w="1000" w:type="dxa"/>
            <w:vAlign w:val="bottom"/>
            <w:shd w:val="clear" w:color="auto" w:fill="D5EEEE"/>
          </w:tcPr>
          <w:p>
            <w:pPr>
              <w:jc w:val="right"/>
              <w:ind w:right="838"/>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D5EEEE"/>
          </w:tcPr>
          <w:p>
            <w:pPr>
              <w:jc w:val="right"/>
              <w:ind w:right="31"/>
              <w:spacing w:after="0"/>
              <w:rPr>
                <w:sz w:val="20"/>
                <w:szCs w:val="20"/>
                <w:color w:val="auto"/>
              </w:rPr>
            </w:pPr>
            <w:r>
              <w:rPr>
                <w:rFonts w:ascii="Times New Roman" w:cs="Times New Roman" w:eastAsia="Times New Roman" w:hAnsi="Times New Roman"/>
                <w:sz w:val="19"/>
                <w:szCs w:val="19"/>
                <w:color w:val="auto"/>
              </w:rPr>
              <w:t>—</w:t>
            </w:r>
          </w:p>
        </w:tc>
        <w:tc>
          <w:tcPr>
            <w:tcW w:w="620" w:type="dxa"/>
            <w:vAlign w:val="bottom"/>
            <w:gridSpan w:val="2"/>
            <w:shd w:val="clear" w:color="auto" w:fill="D5EEEE"/>
          </w:tcPr>
          <w:p>
            <w:pPr>
              <w:jc w:val="right"/>
              <w:ind w:right="226"/>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49</w:t>
            </w:r>
          </w:p>
        </w:tc>
        <w:tc>
          <w:tcPr>
            <w:tcW w:w="60" w:type="dxa"/>
            <w:vAlign w:val="bottom"/>
            <w:shd w:val="clear" w:color="auto" w:fill="D5EEE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80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Interest on lease liability</w:t>
            </w:r>
          </w:p>
        </w:tc>
        <w:tc>
          <w:tcPr>
            <w:tcW w:w="1000" w:type="dxa"/>
            <w:vAlign w:val="bottom"/>
          </w:tcPr>
          <w:p>
            <w:pPr>
              <w:spacing w:after="0"/>
              <w:rPr>
                <w:sz w:val="19"/>
                <w:szCs w:val="19"/>
                <w:color w:val="auto"/>
              </w:rPr>
            </w:pPr>
          </w:p>
        </w:tc>
        <w:tc>
          <w:tcPr>
            <w:tcW w:w="640" w:type="dxa"/>
            <w:vAlign w:val="bottom"/>
          </w:tcPr>
          <w:p>
            <w:pPr>
              <w:jc w:val="right"/>
              <w:ind w:right="31"/>
              <w:spacing w:after="0"/>
              <w:rPr>
                <w:sz w:val="20"/>
                <w:szCs w:val="20"/>
                <w:color w:val="auto"/>
              </w:rPr>
            </w:pPr>
            <w:r>
              <w:rPr>
                <w:rFonts w:ascii="Times New Roman" w:cs="Times New Roman" w:eastAsia="Times New Roman" w:hAnsi="Times New Roman"/>
                <w:sz w:val="19"/>
                <w:szCs w:val="19"/>
                <w:color w:val="auto"/>
              </w:rPr>
              <w:t>—</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4296410</wp:posOffset>
            </wp:positionH>
            <wp:positionV relativeFrom="paragraph">
              <wp:posOffset>-1071245</wp:posOffset>
            </wp:positionV>
            <wp:extent cx="2159635" cy="361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6">
                      <a:extLst>
                        <a:ext uri="{28A0092B-C50C-407E-A947-70E740481C1C}"/>
                      </a:extLst>
                    </a:blip>
                    <a:srcRect/>
                    <a:stretch>
                      <a:fillRect/>
                    </a:stretch>
                  </pic:blipFill>
                  <pic:spPr bwMode="auto">
                    <a:xfrm>
                      <a:off x="0" y="0"/>
                      <a:ext cx="2159635" cy="36195"/>
                    </a:xfrm>
                    <a:prstGeom prst="rect">
                      <a:avLst/>
                    </a:prstGeom>
                    <a:noFill/>
                  </pic:spPr>
                </pic:pic>
              </a:graphicData>
            </a:graphic>
          </wp:anchor>
        </w:drawing>
      </w:r>
    </w:p>
    <w:p>
      <w:pPr>
        <w:spacing w:after="0" w:line="21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9"/>
          <w:szCs w:val="19"/>
          <w:color w:val="auto"/>
        </w:rPr>
        <w:t>Supplemental balance sheet information related to the leases was as follows (in thousands, except for remaining lease term and discount rates):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3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40" w:type="dxa"/>
            <w:vAlign w:val="bottom"/>
            <w:gridSpan w:val="4"/>
          </w:tcPr>
          <w:p>
            <w:pPr>
              <w:jc w:val="right"/>
              <w:ind w:right="106"/>
              <w:spacing w:after="0"/>
              <w:rPr>
                <w:sz w:val="20"/>
                <w:szCs w:val="20"/>
                <w:color w:val="auto"/>
              </w:rPr>
            </w:pPr>
            <w:r>
              <w:rPr>
                <w:rFonts w:ascii="Times New Roman" w:cs="Times New Roman" w:eastAsia="Times New Roman" w:hAnsi="Times New Roman"/>
                <w:sz w:val="15"/>
                <w:szCs w:val="15"/>
                <w:b w:val="1"/>
                <w:bCs w:val="1"/>
                <w:color w:val="auto"/>
              </w:rPr>
              <w:t>Year Ended</w:t>
            </w: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87"/>
        </w:trPr>
        <w:tc>
          <w:tcPr>
            <w:tcW w:w="43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40" w:type="dxa"/>
            <w:vAlign w:val="bottom"/>
            <w:gridSpan w:val="4"/>
          </w:tcPr>
          <w:p>
            <w:pPr>
              <w:jc w:val="right"/>
              <w:ind w:right="66"/>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01"/>
        </w:trPr>
        <w:tc>
          <w:tcPr>
            <w:tcW w:w="4380" w:type="dxa"/>
            <w:vAlign w:val="bottom"/>
          </w:tcPr>
          <w:p>
            <w:pPr>
              <w:spacing w:after="0"/>
              <w:rPr>
                <w:sz w:val="17"/>
                <w:szCs w:val="17"/>
                <w:color w:val="auto"/>
              </w:rPr>
            </w:pPr>
          </w:p>
        </w:tc>
        <w:tc>
          <w:tcPr>
            <w:tcW w:w="320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jc w:val="right"/>
              <w:ind w:right="529"/>
              <w:spacing w:after="0"/>
              <w:rPr>
                <w:sz w:val="20"/>
                <w:szCs w:val="20"/>
                <w:color w:val="auto"/>
              </w:rPr>
            </w:pPr>
            <w:r>
              <w:rPr>
                <w:rFonts w:ascii="Times New Roman" w:cs="Times New Roman" w:eastAsia="Times New Roman" w:hAnsi="Times New Roman"/>
                <w:sz w:val="15"/>
                <w:szCs w:val="15"/>
                <w:b w:val="1"/>
                <w:bCs w:val="1"/>
                <w:color w:val="auto"/>
              </w:rPr>
              <w:t>2024</w:t>
            </w:r>
          </w:p>
        </w:tc>
        <w:tc>
          <w:tcPr>
            <w:tcW w:w="220" w:type="dxa"/>
            <w:vAlign w:val="bottom"/>
          </w:tcPr>
          <w:p>
            <w:pPr>
              <w:spacing w:after="0"/>
              <w:rPr>
                <w:sz w:val="17"/>
                <w:szCs w:val="17"/>
                <w:color w:val="auto"/>
              </w:rPr>
            </w:pPr>
          </w:p>
        </w:tc>
      </w:tr>
      <w:tr>
        <w:trPr>
          <w:trHeight w:val="225"/>
        </w:trPr>
        <w:tc>
          <w:tcPr>
            <w:tcW w:w="4380" w:type="dxa"/>
            <w:vAlign w:val="bottom"/>
            <w:tcBorders>
              <w:top w:val="single" w:sz="8" w:color="D5EEEE"/>
            </w:tcBorders>
            <w:shd w:val="clear" w:color="auto" w:fill="D5EEEE"/>
          </w:tcPr>
          <w:p>
            <w:pPr>
              <w:spacing w:after="0"/>
              <w:rPr>
                <w:sz w:val="20"/>
                <w:szCs w:val="20"/>
                <w:color w:val="auto"/>
              </w:rPr>
            </w:pPr>
            <w:r>
              <w:rPr>
                <w:rFonts w:ascii="Times New Roman" w:cs="Times New Roman" w:eastAsia="Times New Roman" w:hAnsi="Times New Roman"/>
                <w:sz w:val="19"/>
                <w:szCs w:val="19"/>
                <w:color w:val="auto"/>
              </w:rPr>
              <w:t>Operating Lease:</w:t>
            </w:r>
          </w:p>
        </w:tc>
        <w:tc>
          <w:tcPr>
            <w:tcW w:w="2400" w:type="dxa"/>
            <w:vAlign w:val="bottom"/>
            <w:tcBorders>
              <w:top w:val="single" w:sz="8" w:color="D5EEEE"/>
            </w:tcBorders>
            <w:shd w:val="clear" w:color="auto" w:fill="D5EEEE"/>
          </w:tcPr>
          <w:p>
            <w:pPr>
              <w:spacing w:after="0"/>
              <w:rPr>
                <w:sz w:val="19"/>
                <w:szCs w:val="19"/>
                <w:color w:val="auto"/>
              </w:rPr>
            </w:pPr>
          </w:p>
        </w:tc>
        <w:tc>
          <w:tcPr>
            <w:tcW w:w="800" w:type="dxa"/>
            <w:vAlign w:val="bottom"/>
            <w:tcBorders>
              <w:top w:val="single" w:sz="8" w:color="auto"/>
            </w:tcBorders>
            <w:shd w:val="clear" w:color="auto" w:fill="D5EEEE"/>
          </w:tcPr>
          <w:p>
            <w:pPr>
              <w:spacing w:after="0"/>
              <w:rPr>
                <w:sz w:val="19"/>
                <w:szCs w:val="19"/>
                <w:color w:val="auto"/>
              </w:rPr>
            </w:pPr>
          </w:p>
        </w:tc>
        <w:tc>
          <w:tcPr>
            <w:tcW w:w="500" w:type="dxa"/>
            <w:vAlign w:val="bottom"/>
            <w:tcBorders>
              <w:top w:val="single" w:sz="8" w:color="auto"/>
            </w:tcBorders>
            <w:shd w:val="clear" w:color="auto" w:fill="D5EEEE"/>
          </w:tcPr>
          <w:p>
            <w:pPr>
              <w:spacing w:after="0"/>
              <w:rPr>
                <w:sz w:val="19"/>
                <w:szCs w:val="19"/>
                <w:color w:val="auto"/>
              </w:rPr>
            </w:pPr>
          </w:p>
        </w:tc>
        <w:tc>
          <w:tcPr>
            <w:tcW w:w="60" w:type="dxa"/>
            <w:vAlign w:val="bottom"/>
            <w:tcBorders>
              <w:top w:val="single" w:sz="8" w:color="auto"/>
            </w:tcBorders>
            <w:shd w:val="clear" w:color="auto" w:fill="D5EEEE"/>
          </w:tcPr>
          <w:p>
            <w:pPr>
              <w:spacing w:after="0"/>
              <w:rPr>
                <w:sz w:val="19"/>
                <w:szCs w:val="19"/>
                <w:color w:val="auto"/>
              </w:rPr>
            </w:pPr>
          </w:p>
        </w:tc>
        <w:tc>
          <w:tcPr>
            <w:tcW w:w="420" w:type="dxa"/>
            <w:vAlign w:val="bottom"/>
            <w:tcBorders>
              <w:top w:val="single" w:sz="8" w:color="D5EEEE"/>
            </w:tcBorders>
            <w:shd w:val="clear" w:color="auto" w:fill="D5EEEE"/>
          </w:tcPr>
          <w:p>
            <w:pPr>
              <w:spacing w:after="0"/>
              <w:rPr>
                <w:sz w:val="19"/>
                <w:szCs w:val="19"/>
                <w:color w:val="auto"/>
              </w:rPr>
            </w:pPr>
          </w:p>
        </w:tc>
        <w:tc>
          <w:tcPr>
            <w:tcW w:w="360" w:type="dxa"/>
            <w:vAlign w:val="bottom"/>
            <w:tcBorders>
              <w:top w:val="single" w:sz="8" w:color="auto"/>
            </w:tcBorders>
            <w:shd w:val="clear" w:color="auto" w:fill="D5EEEE"/>
          </w:tcPr>
          <w:p>
            <w:pPr>
              <w:spacing w:after="0"/>
              <w:rPr>
                <w:sz w:val="19"/>
                <w:szCs w:val="19"/>
                <w:color w:val="auto"/>
              </w:rPr>
            </w:pPr>
          </w:p>
        </w:tc>
        <w:tc>
          <w:tcPr>
            <w:tcW w:w="1060" w:type="dxa"/>
            <w:vAlign w:val="bottom"/>
            <w:tcBorders>
              <w:top w:val="single" w:sz="8" w:color="auto"/>
            </w:tcBorders>
            <w:shd w:val="clear" w:color="auto" w:fill="D5EEEE"/>
          </w:tcPr>
          <w:p>
            <w:pPr>
              <w:spacing w:after="0"/>
              <w:rPr>
                <w:sz w:val="19"/>
                <w:szCs w:val="19"/>
                <w:color w:val="auto"/>
              </w:rPr>
            </w:pPr>
          </w:p>
        </w:tc>
        <w:tc>
          <w:tcPr>
            <w:tcW w:w="220" w:type="dxa"/>
            <w:vAlign w:val="bottom"/>
            <w:tcBorders>
              <w:top w:val="single" w:sz="8" w:color="D5EEEE"/>
            </w:tcBorders>
            <w:shd w:val="clear" w:color="auto" w:fill="D5EEEE"/>
          </w:tcPr>
          <w:p>
            <w:pPr>
              <w:spacing w:after="0"/>
              <w:rPr>
                <w:sz w:val="19"/>
                <w:szCs w:val="19"/>
                <w:color w:val="auto"/>
              </w:rPr>
            </w:pPr>
          </w:p>
        </w:tc>
      </w:tr>
      <w:tr>
        <w:trPr>
          <w:trHeight w:val="270"/>
        </w:trPr>
        <w:tc>
          <w:tcPr>
            <w:tcW w:w="438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Operating lease right-of-use asset</w:t>
            </w:r>
          </w:p>
        </w:tc>
        <w:tc>
          <w:tcPr>
            <w:tcW w:w="3200" w:type="dxa"/>
            <w:vAlign w:val="bottom"/>
            <w:gridSpan w:val="2"/>
          </w:tcPr>
          <w:p>
            <w:pPr>
              <w:jc w:val="right"/>
              <w:ind w:right="606"/>
              <w:spacing w:after="0"/>
              <w:rPr>
                <w:sz w:val="20"/>
                <w:szCs w:val="20"/>
                <w:color w:val="auto"/>
              </w:rPr>
            </w:pPr>
            <w:r>
              <w:rPr>
                <w:rFonts w:ascii="Times New Roman" w:cs="Times New Roman" w:eastAsia="Times New Roman" w:hAnsi="Times New Roman"/>
                <w:sz w:val="19"/>
                <w:szCs w:val="19"/>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8"/>
              </w:rPr>
              <w:t>3,959</w:t>
            </w:r>
          </w:p>
        </w:tc>
        <w:tc>
          <w:tcPr>
            <w:tcW w:w="840" w:type="dxa"/>
            <w:vAlign w:val="bottom"/>
            <w:gridSpan w:val="3"/>
          </w:tcPr>
          <w:p>
            <w:pPr>
              <w:jc w:val="right"/>
              <w:ind w:right="166"/>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Pr>
          <w:p>
            <w:pPr>
              <w:jc w:val="right"/>
              <w:ind w:right="29"/>
              <w:spacing w:after="0"/>
              <w:rPr>
                <w:sz w:val="20"/>
                <w:szCs w:val="20"/>
                <w:color w:val="auto"/>
              </w:rPr>
            </w:pPr>
            <w:r>
              <w:rPr>
                <w:rFonts w:ascii="Times New Roman" w:cs="Times New Roman" w:eastAsia="Times New Roman" w:hAnsi="Times New Roman"/>
                <w:sz w:val="19"/>
                <w:szCs w:val="19"/>
                <w:color w:val="auto"/>
              </w:rPr>
              <w:t>4,587</w:t>
            </w:r>
          </w:p>
        </w:tc>
        <w:tc>
          <w:tcPr>
            <w:tcW w:w="220" w:type="dxa"/>
            <w:vAlign w:val="bottom"/>
          </w:tcPr>
          <w:p>
            <w:pPr>
              <w:spacing w:after="0"/>
              <w:rPr>
                <w:sz w:val="23"/>
                <w:szCs w:val="23"/>
                <w:color w:val="auto"/>
              </w:rPr>
            </w:pPr>
          </w:p>
        </w:tc>
      </w:tr>
      <w:tr>
        <w:trPr>
          <w:trHeight w:val="213"/>
        </w:trPr>
        <w:tc>
          <w:tcPr>
            <w:tcW w:w="4380" w:type="dxa"/>
            <w:vAlign w:val="bottom"/>
            <w:tcBorders>
              <w:top w:val="single" w:sz="8" w:color="D5EEEE"/>
            </w:tcBorders>
            <w:shd w:val="clear" w:color="auto" w:fill="D5EEEE"/>
          </w:tcPr>
          <w:p>
            <w:pPr>
              <w:ind w:left="100"/>
              <w:spacing w:after="0" w:line="213" w:lineRule="exact"/>
              <w:rPr>
                <w:sz w:val="20"/>
                <w:szCs w:val="20"/>
                <w:color w:val="auto"/>
              </w:rPr>
            </w:pPr>
            <w:r>
              <w:rPr>
                <w:rFonts w:ascii="Times New Roman" w:cs="Times New Roman" w:eastAsia="Times New Roman" w:hAnsi="Times New Roman"/>
                <w:sz w:val="19"/>
                <w:szCs w:val="19"/>
                <w:color w:val="auto"/>
              </w:rPr>
              <w:t>Operating lease liability, current portion</w:t>
            </w:r>
          </w:p>
        </w:tc>
        <w:tc>
          <w:tcPr>
            <w:tcW w:w="2400" w:type="dxa"/>
            <w:vAlign w:val="bottom"/>
            <w:tcBorders>
              <w:top w:val="single" w:sz="8" w:color="D5EEEE"/>
            </w:tcBorders>
            <w:shd w:val="clear" w:color="auto" w:fill="D5EEEE"/>
          </w:tcPr>
          <w:p>
            <w:pPr>
              <w:spacing w:after="0"/>
              <w:rPr>
                <w:sz w:val="18"/>
                <w:szCs w:val="18"/>
                <w:color w:val="auto"/>
              </w:rPr>
            </w:pPr>
          </w:p>
        </w:tc>
        <w:tc>
          <w:tcPr>
            <w:tcW w:w="800" w:type="dxa"/>
            <w:vAlign w:val="bottom"/>
            <w:tcBorders>
              <w:top w:val="single" w:sz="8" w:color="auto"/>
              <w:bottom w:val="single" w:sz="8" w:color="auto"/>
            </w:tcBorders>
            <w:shd w:val="clear" w:color="auto" w:fill="D5EEEE"/>
          </w:tcPr>
          <w:p>
            <w:pPr>
              <w:jc w:val="right"/>
              <w:ind w:right="606"/>
              <w:spacing w:after="0" w:line="213" w:lineRule="exact"/>
              <w:rPr>
                <w:sz w:val="20"/>
                <w:szCs w:val="20"/>
                <w:color w:val="auto"/>
              </w:rPr>
            </w:pPr>
            <w:r>
              <w:rPr>
                <w:rFonts w:ascii="Times New Roman" w:cs="Times New Roman" w:eastAsia="Times New Roman" w:hAnsi="Times New Roman"/>
                <w:sz w:val="19"/>
                <w:szCs w:val="19"/>
                <w:color w:val="auto"/>
                <w:w w:val="83"/>
              </w:rPr>
              <w:t>$</w:t>
            </w:r>
          </w:p>
        </w:tc>
        <w:tc>
          <w:tcPr>
            <w:tcW w:w="500" w:type="dxa"/>
            <w:vAlign w:val="bottom"/>
            <w:tcBorders>
              <w:top w:val="single" w:sz="8" w:color="auto"/>
              <w:bottom w:val="single" w:sz="8" w:color="auto"/>
            </w:tcBorders>
            <w:shd w:val="clear" w:color="auto" w:fill="D5EEEE"/>
          </w:tcPr>
          <w:p>
            <w:pPr>
              <w:jc w:val="right"/>
              <w:spacing w:after="0" w:line="213" w:lineRule="exact"/>
              <w:rPr>
                <w:sz w:val="20"/>
                <w:szCs w:val="20"/>
                <w:color w:val="auto"/>
              </w:rPr>
            </w:pPr>
            <w:r>
              <w:rPr>
                <w:rFonts w:ascii="Times New Roman" w:cs="Times New Roman" w:eastAsia="Times New Roman" w:hAnsi="Times New Roman"/>
                <w:sz w:val="19"/>
                <w:szCs w:val="19"/>
                <w:color w:val="auto"/>
                <w:w w:val="98"/>
              </w:rPr>
              <w:t>1,343</w:t>
            </w:r>
          </w:p>
        </w:tc>
        <w:tc>
          <w:tcPr>
            <w:tcW w:w="60" w:type="dxa"/>
            <w:vAlign w:val="bottom"/>
            <w:tcBorders>
              <w:top w:val="single" w:sz="8" w:color="auto"/>
              <w:bottom w:val="single" w:sz="8" w:color="auto"/>
            </w:tcBorders>
            <w:shd w:val="clear" w:color="auto" w:fill="D5EEEE"/>
          </w:tcPr>
          <w:p>
            <w:pPr>
              <w:spacing w:after="0"/>
              <w:rPr>
                <w:sz w:val="18"/>
                <w:szCs w:val="18"/>
                <w:color w:val="auto"/>
              </w:rPr>
            </w:pPr>
          </w:p>
        </w:tc>
        <w:tc>
          <w:tcPr>
            <w:tcW w:w="420" w:type="dxa"/>
            <w:vAlign w:val="bottom"/>
            <w:tcBorders>
              <w:top w:val="single" w:sz="8" w:color="D5EEEE"/>
            </w:tcBorders>
            <w:shd w:val="clear" w:color="auto" w:fill="D5EEEE"/>
          </w:tcPr>
          <w:p>
            <w:pPr>
              <w:spacing w:after="0"/>
              <w:rPr>
                <w:sz w:val="18"/>
                <w:szCs w:val="18"/>
                <w:color w:val="auto"/>
              </w:rPr>
            </w:pPr>
          </w:p>
        </w:tc>
        <w:tc>
          <w:tcPr>
            <w:tcW w:w="360" w:type="dxa"/>
            <w:vAlign w:val="bottom"/>
            <w:tcBorders>
              <w:top w:val="single" w:sz="8" w:color="auto"/>
              <w:bottom w:val="single" w:sz="8" w:color="auto"/>
            </w:tcBorders>
            <w:shd w:val="clear" w:color="auto" w:fill="D5EEEE"/>
          </w:tcPr>
          <w:p>
            <w:pPr>
              <w:jc w:val="right"/>
              <w:ind w:right="166"/>
              <w:spacing w:after="0" w:line="213" w:lineRule="exact"/>
              <w:rPr>
                <w:sz w:val="20"/>
                <w:szCs w:val="20"/>
                <w:color w:val="auto"/>
              </w:rPr>
            </w:pPr>
            <w:r>
              <w:rPr>
                <w:rFonts w:ascii="Times New Roman" w:cs="Times New Roman" w:eastAsia="Times New Roman" w:hAnsi="Times New Roman"/>
                <w:sz w:val="19"/>
                <w:szCs w:val="19"/>
                <w:color w:val="auto"/>
                <w:w w:val="83"/>
              </w:rPr>
              <w:t>$</w:t>
            </w:r>
          </w:p>
        </w:tc>
        <w:tc>
          <w:tcPr>
            <w:tcW w:w="1060" w:type="dxa"/>
            <w:vAlign w:val="bottom"/>
            <w:tcBorders>
              <w:top w:val="single" w:sz="8" w:color="auto"/>
              <w:bottom w:val="single" w:sz="8" w:color="auto"/>
            </w:tcBorders>
            <w:shd w:val="clear" w:color="auto" w:fill="D5EEEE"/>
          </w:tcPr>
          <w:p>
            <w:pPr>
              <w:jc w:val="right"/>
              <w:ind w:right="29"/>
              <w:spacing w:after="0" w:line="213" w:lineRule="exact"/>
              <w:rPr>
                <w:sz w:val="20"/>
                <w:szCs w:val="20"/>
                <w:color w:val="auto"/>
              </w:rPr>
            </w:pPr>
            <w:r>
              <w:rPr>
                <w:rFonts w:ascii="Times New Roman" w:cs="Times New Roman" w:eastAsia="Times New Roman" w:hAnsi="Times New Roman"/>
                <w:sz w:val="19"/>
                <w:szCs w:val="19"/>
                <w:color w:val="auto"/>
              </w:rPr>
              <w:t>1,188</w:t>
            </w:r>
          </w:p>
        </w:tc>
        <w:tc>
          <w:tcPr>
            <w:tcW w:w="220" w:type="dxa"/>
            <w:vAlign w:val="bottom"/>
            <w:tcBorders>
              <w:top w:val="single" w:sz="8" w:color="D5EEEE"/>
            </w:tcBorders>
            <w:shd w:val="clear" w:color="auto" w:fill="D5EEEE"/>
          </w:tcPr>
          <w:p>
            <w:pPr>
              <w:spacing w:after="0"/>
              <w:rPr>
                <w:sz w:val="18"/>
                <w:szCs w:val="18"/>
                <w:color w:val="auto"/>
              </w:rPr>
            </w:pPr>
          </w:p>
        </w:tc>
      </w:tr>
      <w:tr>
        <w:trPr>
          <w:trHeight w:val="20"/>
        </w:trPr>
        <w:tc>
          <w:tcPr>
            <w:tcW w:w="43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2"/>
        </w:trPr>
        <w:tc>
          <w:tcPr>
            <w:tcW w:w="4380" w:type="dxa"/>
            <w:vAlign w:val="bottom"/>
          </w:tcPr>
          <w:p>
            <w:pPr>
              <w:ind w:left="100"/>
              <w:spacing w:after="0" w:line="212" w:lineRule="exact"/>
              <w:rPr>
                <w:sz w:val="20"/>
                <w:szCs w:val="20"/>
                <w:color w:val="auto"/>
              </w:rPr>
            </w:pPr>
            <w:r>
              <w:rPr>
                <w:rFonts w:ascii="Times New Roman" w:cs="Times New Roman" w:eastAsia="Times New Roman" w:hAnsi="Times New Roman"/>
                <w:sz w:val="19"/>
                <w:szCs w:val="19"/>
                <w:color w:val="auto"/>
              </w:rPr>
              <w:t>Operating lease liability, net of current portion</w:t>
            </w:r>
          </w:p>
        </w:tc>
        <w:tc>
          <w:tcPr>
            <w:tcW w:w="3200" w:type="dxa"/>
            <w:vAlign w:val="bottom"/>
            <w:gridSpan w:val="2"/>
          </w:tcPr>
          <w:p>
            <w:pPr>
              <w:jc w:val="right"/>
              <w:ind w:right="606"/>
              <w:spacing w:after="0" w:line="212" w:lineRule="exact"/>
              <w:rPr>
                <w:sz w:val="20"/>
                <w:szCs w:val="20"/>
                <w:color w:val="auto"/>
              </w:rPr>
            </w:pPr>
            <w:r>
              <w:rPr>
                <w:rFonts w:ascii="Times New Roman" w:cs="Times New Roman" w:eastAsia="Times New Roman" w:hAnsi="Times New Roman"/>
                <w:sz w:val="19"/>
                <w:szCs w:val="19"/>
                <w:color w:val="auto"/>
              </w:rPr>
              <w:t>$</w:t>
            </w:r>
          </w:p>
        </w:tc>
        <w:tc>
          <w:tcPr>
            <w:tcW w:w="500" w:type="dxa"/>
            <w:vAlign w:val="bottom"/>
          </w:tcPr>
          <w:p>
            <w:pPr>
              <w:jc w:val="right"/>
              <w:spacing w:after="0" w:line="212" w:lineRule="exact"/>
              <w:rPr>
                <w:sz w:val="20"/>
                <w:szCs w:val="20"/>
                <w:color w:val="auto"/>
              </w:rPr>
            </w:pPr>
            <w:r>
              <w:rPr>
                <w:rFonts w:ascii="Times New Roman" w:cs="Times New Roman" w:eastAsia="Times New Roman" w:hAnsi="Times New Roman"/>
                <w:sz w:val="19"/>
                <w:szCs w:val="19"/>
                <w:color w:val="auto"/>
                <w:w w:val="98"/>
              </w:rPr>
              <w:t>5,611</w:t>
            </w:r>
          </w:p>
        </w:tc>
        <w:tc>
          <w:tcPr>
            <w:tcW w:w="840" w:type="dxa"/>
            <w:vAlign w:val="bottom"/>
            <w:gridSpan w:val="3"/>
          </w:tcPr>
          <w:p>
            <w:pPr>
              <w:jc w:val="right"/>
              <w:ind w:right="166"/>
              <w:spacing w:after="0" w:line="212" w:lineRule="exact"/>
              <w:rPr>
                <w:sz w:val="20"/>
                <w:szCs w:val="20"/>
                <w:color w:val="auto"/>
              </w:rPr>
            </w:pPr>
            <w:r>
              <w:rPr>
                <w:rFonts w:ascii="Times New Roman" w:cs="Times New Roman" w:eastAsia="Times New Roman" w:hAnsi="Times New Roman"/>
                <w:sz w:val="19"/>
                <w:szCs w:val="19"/>
                <w:color w:val="auto"/>
              </w:rPr>
              <w:t>$</w:t>
            </w:r>
          </w:p>
        </w:tc>
        <w:tc>
          <w:tcPr>
            <w:tcW w:w="1060" w:type="dxa"/>
            <w:vAlign w:val="bottom"/>
          </w:tcPr>
          <w:p>
            <w:pPr>
              <w:jc w:val="right"/>
              <w:ind w:right="29"/>
              <w:spacing w:after="0" w:line="212" w:lineRule="exact"/>
              <w:rPr>
                <w:sz w:val="20"/>
                <w:szCs w:val="20"/>
                <w:color w:val="auto"/>
              </w:rPr>
            </w:pPr>
            <w:r>
              <w:rPr>
                <w:rFonts w:ascii="Times New Roman" w:cs="Times New Roman" w:eastAsia="Times New Roman" w:hAnsi="Times New Roman"/>
                <w:sz w:val="19"/>
                <w:szCs w:val="19"/>
                <w:color w:val="auto"/>
              </w:rPr>
              <w:t>6,954</w:t>
            </w:r>
          </w:p>
        </w:tc>
        <w:tc>
          <w:tcPr>
            <w:tcW w:w="220" w:type="dxa"/>
            <w:vAlign w:val="bottom"/>
          </w:tcPr>
          <w:p>
            <w:pPr>
              <w:spacing w:after="0"/>
              <w:rPr>
                <w:sz w:val="21"/>
                <w:szCs w:val="21"/>
                <w:color w:val="auto"/>
              </w:rPr>
            </w:pPr>
          </w:p>
        </w:tc>
      </w:tr>
      <w:tr>
        <w:trPr>
          <w:trHeight w:val="213"/>
        </w:trPr>
        <w:tc>
          <w:tcPr>
            <w:tcW w:w="4380" w:type="dxa"/>
            <w:vAlign w:val="bottom"/>
            <w:tcBorders>
              <w:top w:val="single" w:sz="8" w:color="D5EEEE"/>
            </w:tcBorders>
            <w:shd w:val="clear" w:color="auto" w:fill="D5EEEE"/>
          </w:tcPr>
          <w:p>
            <w:pPr>
              <w:spacing w:after="0" w:line="213" w:lineRule="exact"/>
              <w:rPr>
                <w:sz w:val="20"/>
                <w:szCs w:val="20"/>
                <w:color w:val="auto"/>
              </w:rPr>
            </w:pPr>
            <w:r>
              <w:rPr>
                <w:rFonts w:ascii="Times New Roman" w:cs="Times New Roman" w:eastAsia="Times New Roman" w:hAnsi="Times New Roman"/>
                <w:sz w:val="19"/>
                <w:szCs w:val="19"/>
                <w:color w:val="auto"/>
              </w:rPr>
              <w:t>Weighted-average remaining lease term (in years):</w:t>
            </w:r>
          </w:p>
        </w:tc>
        <w:tc>
          <w:tcPr>
            <w:tcW w:w="2400" w:type="dxa"/>
            <w:vAlign w:val="bottom"/>
            <w:tcBorders>
              <w:top w:val="single" w:sz="8" w:color="D5EEEE"/>
            </w:tcBorders>
            <w:shd w:val="clear" w:color="auto" w:fill="D5EEEE"/>
          </w:tcPr>
          <w:p>
            <w:pPr>
              <w:spacing w:after="0"/>
              <w:rPr>
                <w:sz w:val="18"/>
                <w:szCs w:val="18"/>
                <w:color w:val="auto"/>
              </w:rPr>
            </w:pPr>
          </w:p>
        </w:tc>
        <w:tc>
          <w:tcPr>
            <w:tcW w:w="800" w:type="dxa"/>
            <w:vAlign w:val="bottom"/>
            <w:tcBorders>
              <w:top w:val="single" w:sz="8" w:color="auto"/>
            </w:tcBorders>
            <w:shd w:val="clear" w:color="auto" w:fill="D5EEEE"/>
          </w:tcPr>
          <w:p>
            <w:pPr>
              <w:spacing w:after="0"/>
              <w:rPr>
                <w:sz w:val="18"/>
                <w:szCs w:val="18"/>
                <w:color w:val="auto"/>
              </w:rPr>
            </w:pPr>
          </w:p>
        </w:tc>
        <w:tc>
          <w:tcPr>
            <w:tcW w:w="500" w:type="dxa"/>
            <w:vAlign w:val="bottom"/>
            <w:tcBorders>
              <w:top w:val="single" w:sz="8" w:color="auto"/>
            </w:tcBorders>
            <w:shd w:val="clear" w:color="auto" w:fill="D5EEEE"/>
          </w:tcPr>
          <w:p>
            <w:pPr>
              <w:spacing w:after="0"/>
              <w:rPr>
                <w:sz w:val="18"/>
                <w:szCs w:val="18"/>
                <w:color w:val="auto"/>
              </w:rPr>
            </w:pPr>
          </w:p>
        </w:tc>
        <w:tc>
          <w:tcPr>
            <w:tcW w:w="60" w:type="dxa"/>
            <w:vAlign w:val="bottom"/>
            <w:tcBorders>
              <w:top w:val="single" w:sz="8" w:color="auto"/>
            </w:tcBorders>
            <w:shd w:val="clear" w:color="auto" w:fill="D5EEEE"/>
          </w:tcPr>
          <w:p>
            <w:pPr>
              <w:spacing w:after="0"/>
              <w:rPr>
                <w:sz w:val="18"/>
                <w:szCs w:val="18"/>
                <w:color w:val="auto"/>
              </w:rPr>
            </w:pPr>
          </w:p>
        </w:tc>
        <w:tc>
          <w:tcPr>
            <w:tcW w:w="420" w:type="dxa"/>
            <w:vAlign w:val="bottom"/>
            <w:tcBorders>
              <w:top w:val="single" w:sz="8" w:color="D5EEEE"/>
            </w:tcBorders>
            <w:shd w:val="clear" w:color="auto" w:fill="D5EEEE"/>
          </w:tcPr>
          <w:p>
            <w:pPr>
              <w:spacing w:after="0"/>
              <w:rPr>
                <w:sz w:val="18"/>
                <w:szCs w:val="18"/>
                <w:color w:val="auto"/>
              </w:rPr>
            </w:pPr>
          </w:p>
        </w:tc>
        <w:tc>
          <w:tcPr>
            <w:tcW w:w="360" w:type="dxa"/>
            <w:vAlign w:val="bottom"/>
            <w:tcBorders>
              <w:top w:val="single" w:sz="8" w:color="auto"/>
            </w:tcBorders>
            <w:shd w:val="clear" w:color="auto" w:fill="D5EEEE"/>
          </w:tcPr>
          <w:p>
            <w:pPr>
              <w:spacing w:after="0"/>
              <w:rPr>
                <w:sz w:val="18"/>
                <w:szCs w:val="18"/>
                <w:color w:val="auto"/>
              </w:rPr>
            </w:pPr>
          </w:p>
        </w:tc>
        <w:tc>
          <w:tcPr>
            <w:tcW w:w="1060" w:type="dxa"/>
            <w:vAlign w:val="bottom"/>
            <w:tcBorders>
              <w:top w:val="single" w:sz="8" w:color="auto"/>
            </w:tcBorders>
            <w:shd w:val="clear" w:color="auto" w:fill="D5EEEE"/>
          </w:tcPr>
          <w:p>
            <w:pPr>
              <w:spacing w:after="0"/>
              <w:rPr>
                <w:sz w:val="18"/>
                <w:szCs w:val="18"/>
                <w:color w:val="auto"/>
              </w:rPr>
            </w:pPr>
          </w:p>
        </w:tc>
        <w:tc>
          <w:tcPr>
            <w:tcW w:w="220" w:type="dxa"/>
            <w:vAlign w:val="bottom"/>
            <w:tcBorders>
              <w:top w:val="single" w:sz="8" w:color="D5EEEE"/>
            </w:tcBorders>
            <w:shd w:val="clear" w:color="auto" w:fill="D5EEEE"/>
          </w:tcPr>
          <w:p>
            <w:pPr>
              <w:spacing w:after="0"/>
              <w:rPr>
                <w:sz w:val="18"/>
                <w:szCs w:val="18"/>
                <w:color w:val="auto"/>
              </w:rPr>
            </w:pPr>
          </w:p>
        </w:tc>
      </w:tr>
      <w:tr>
        <w:trPr>
          <w:trHeight w:val="230"/>
        </w:trPr>
        <w:tc>
          <w:tcPr>
            <w:tcW w:w="438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Operating lease</w:t>
            </w:r>
          </w:p>
        </w:tc>
        <w:tc>
          <w:tcPr>
            <w:tcW w:w="2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ind w:right="29"/>
              <w:spacing w:after="0"/>
              <w:rPr>
                <w:sz w:val="20"/>
                <w:szCs w:val="20"/>
                <w:color w:val="auto"/>
              </w:rPr>
            </w:pPr>
            <w:r>
              <w:rPr>
                <w:rFonts w:ascii="Times New Roman" w:cs="Times New Roman" w:eastAsia="Times New Roman" w:hAnsi="Times New Roman"/>
                <w:sz w:val="19"/>
                <w:szCs w:val="19"/>
                <w:color w:val="auto"/>
              </w:rPr>
              <w:t>5.2</w:t>
            </w:r>
          </w:p>
        </w:tc>
        <w:tc>
          <w:tcPr>
            <w:tcW w:w="220" w:type="dxa"/>
            <w:vAlign w:val="bottom"/>
          </w:tcPr>
          <w:p>
            <w:pPr>
              <w:spacing w:after="0"/>
              <w:rPr>
                <w:sz w:val="20"/>
                <w:szCs w:val="20"/>
                <w:color w:val="auto"/>
              </w:rPr>
            </w:pPr>
          </w:p>
        </w:tc>
      </w:tr>
      <w:tr>
        <w:trPr>
          <w:trHeight w:val="231"/>
        </w:trPr>
        <w:tc>
          <w:tcPr>
            <w:tcW w:w="4380" w:type="dxa"/>
            <w:vAlign w:val="bottom"/>
            <w:shd w:val="clear" w:color="auto" w:fill="D5EEEE"/>
          </w:tcPr>
          <w:p>
            <w:pPr>
              <w:spacing w:after="0"/>
              <w:rPr>
                <w:sz w:val="20"/>
                <w:szCs w:val="20"/>
                <w:color w:val="auto"/>
              </w:rPr>
            </w:pPr>
            <w:r>
              <w:rPr>
                <w:rFonts w:ascii="Times New Roman" w:cs="Times New Roman" w:eastAsia="Times New Roman" w:hAnsi="Times New Roman"/>
                <w:sz w:val="19"/>
                <w:szCs w:val="19"/>
                <w:color w:val="auto"/>
              </w:rPr>
              <w:t>Weighted-average discount rate:</w:t>
            </w:r>
          </w:p>
        </w:tc>
        <w:tc>
          <w:tcPr>
            <w:tcW w:w="2400" w:type="dxa"/>
            <w:vAlign w:val="bottom"/>
            <w:shd w:val="clear" w:color="auto" w:fill="D5EEEE"/>
          </w:tcPr>
          <w:p>
            <w:pPr>
              <w:spacing w:after="0"/>
              <w:rPr>
                <w:sz w:val="20"/>
                <w:szCs w:val="20"/>
                <w:color w:val="auto"/>
              </w:rPr>
            </w:pPr>
          </w:p>
        </w:tc>
        <w:tc>
          <w:tcPr>
            <w:tcW w:w="800" w:type="dxa"/>
            <w:vAlign w:val="bottom"/>
            <w:shd w:val="clear" w:color="auto" w:fill="D5EEEE"/>
          </w:tcPr>
          <w:p>
            <w:pPr>
              <w:spacing w:after="0"/>
              <w:rPr>
                <w:sz w:val="20"/>
                <w:szCs w:val="20"/>
                <w:color w:val="auto"/>
              </w:rPr>
            </w:pPr>
          </w:p>
        </w:tc>
        <w:tc>
          <w:tcPr>
            <w:tcW w:w="500" w:type="dxa"/>
            <w:vAlign w:val="bottom"/>
            <w:shd w:val="clear" w:color="auto" w:fill="D5EEEE"/>
          </w:tcPr>
          <w:p>
            <w:pPr>
              <w:spacing w:after="0"/>
              <w:rPr>
                <w:sz w:val="20"/>
                <w:szCs w:val="20"/>
                <w:color w:val="auto"/>
              </w:rPr>
            </w:pPr>
          </w:p>
        </w:tc>
        <w:tc>
          <w:tcPr>
            <w:tcW w:w="60" w:type="dxa"/>
            <w:vAlign w:val="bottom"/>
            <w:shd w:val="clear" w:color="auto" w:fill="D5EEEE"/>
          </w:tcPr>
          <w:p>
            <w:pPr>
              <w:spacing w:after="0"/>
              <w:rPr>
                <w:sz w:val="20"/>
                <w:szCs w:val="20"/>
                <w:color w:val="auto"/>
              </w:rPr>
            </w:pPr>
          </w:p>
        </w:tc>
        <w:tc>
          <w:tcPr>
            <w:tcW w:w="420" w:type="dxa"/>
            <w:vAlign w:val="bottom"/>
            <w:shd w:val="clear" w:color="auto" w:fill="D5EEEE"/>
          </w:tcPr>
          <w:p>
            <w:pPr>
              <w:spacing w:after="0"/>
              <w:rPr>
                <w:sz w:val="20"/>
                <w:szCs w:val="20"/>
                <w:color w:val="auto"/>
              </w:rPr>
            </w:pPr>
          </w:p>
        </w:tc>
        <w:tc>
          <w:tcPr>
            <w:tcW w:w="360" w:type="dxa"/>
            <w:vAlign w:val="bottom"/>
            <w:shd w:val="clear" w:color="auto" w:fill="D5EEEE"/>
          </w:tcPr>
          <w:p>
            <w:pPr>
              <w:spacing w:after="0"/>
              <w:rPr>
                <w:sz w:val="20"/>
                <w:szCs w:val="20"/>
                <w:color w:val="auto"/>
              </w:rPr>
            </w:pPr>
          </w:p>
        </w:tc>
        <w:tc>
          <w:tcPr>
            <w:tcW w:w="1060" w:type="dxa"/>
            <w:vAlign w:val="bottom"/>
            <w:shd w:val="clear" w:color="auto" w:fill="D5EEEE"/>
          </w:tcPr>
          <w:p>
            <w:pPr>
              <w:spacing w:after="0"/>
              <w:rPr>
                <w:sz w:val="20"/>
                <w:szCs w:val="20"/>
                <w:color w:val="auto"/>
              </w:rPr>
            </w:pPr>
          </w:p>
        </w:tc>
        <w:tc>
          <w:tcPr>
            <w:tcW w:w="220" w:type="dxa"/>
            <w:vAlign w:val="bottom"/>
            <w:shd w:val="clear" w:color="auto" w:fill="D5EEEE"/>
          </w:tcPr>
          <w:p>
            <w:pPr>
              <w:spacing w:after="0"/>
              <w:rPr>
                <w:sz w:val="20"/>
                <w:szCs w:val="20"/>
                <w:color w:val="auto"/>
              </w:rPr>
            </w:pPr>
          </w:p>
        </w:tc>
      </w:tr>
      <w:tr>
        <w:trPr>
          <w:trHeight w:val="230"/>
        </w:trPr>
        <w:tc>
          <w:tcPr>
            <w:tcW w:w="438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Operating lease</w:t>
            </w:r>
          </w:p>
        </w:tc>
        <w:tc>
          <w:tcPr>
            <w:tcW w:w="2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8.0</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9"/>
                <w:szCs w:val="19"/>
                <w:color w:val="auto"/>
              </w:rPr>
              <w:t>%</w:t>
            </w:r>
          </w:p>
        </w:tc>
        <w:tc>
          <w:tcPr>
            <w:tcW w:w="360" w:type="dxa"/>
            <w:vAlign w:val="bottom"/>
          </w:tcPr>
          <w:p>
            <w:pPr>
              <w:spacing w:after="0"/>
              <w:rPr>
                <w:sz w:val="19"/>
                <w:szCs w:val="19"/>
                <w:color w:val="auto"/>
              </w:rPr>
            </w:pPr>
          </w:p>
        </w:tc>
        <w:tc>
          <w:tcPr>
            <w:tcW w:w="1060" w:type="dxa"/>
            <w:vAlign w:val="bottom"/>
          </w:tcPr>
          <w:p>
            <w:pPr>
              <w:jc w:val="right"/>
              <w:ind w:right="29"/>
              <w:spacing w:after="0"/>
              <w:rPr>
                <w:sz w:val="20"/>
                <w:szCs w:val="20"/>
                <w:color w:val="auto"/>
              </w:rPr>
            </w:pPr>
            <w:r>
              <w:rPr>
                <w:rFonts w:ascii="Times New Roman" w:cs="Times New Roman" w:eastAsia="Times New Roman" w:hAnsi="Times New Roman"/>
                <w:sz w:val="19"/>
                <w:szCs w:val="19"/>
                <w:color w:val="auto"/>
              </w:rPr>
              <w:t>8.0</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8"/>
              </w:rPr>
              <w:t>%</w:t>
            </w:r>
          </w:p>
        </w:tc>
      </w:tr>
      <w:tr>
        <w:trPr>
          <w:trHeight w:val="479"/>
        </w:trPr>
        <w:tc>
          <w:tcPr>
            <w:tcW w:w="4380" w:type="dxa"/>
            <w:vAlign w:val="bottom"/>
          </w:tcPr>
          <w:p>
            <w:pPr>
              <w:spacing w:after="0"/>
              <w:rPr>
                <w:sz w:val="24"/>
                <w:szCs w:val="24"/>
                <w:color w:val="auto"/>
              </w:rPr>
            </w:pPr>
          </w:p>
        </w:tc>
        <w:tc>
          <w:tcPr>
            <w:tcW w:w="3200" w:type="dxa"/>
            <w:vAlign w:val="bottom"/>
            <w:gridSpan w:val="2"/>
          </w:tcPr>
          <w:p>
            <w:pPr>
              <w:jc w:val="right"/>
              <w:ind w:right="2206"/>
              <w:spacing w:after="0"/>
              <w:rPr>
                <w:sz w:val="20"/>
                <w:szCs w:val="20"/>
                <w:color w:val="auto"/>
              </w:rPr>
            </w:pPr>
            <w:r>
              <w:rPr>
                <w:rFonts w:ascii="Times New Roman" w:cs="Times New Roman" w:eastAsia="Times New Roman" w:hAnsi="Times New Roman"/>
                <w:sz w:val="19"/>
                <w:szCs w:val="19"/>
                <w:color w:val="auto"/>
              </w:rPr>
              <w:t>F-20</w:t>
            </w: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4290060</wp:posOffset>
            </wp:positionH>
            <wp:positionV relativeFrom="paragraph">
              <wp:posOffset>-1704340</wp:posOffset>
            </wp:positionV>
            <wp:extent cx="2061845" cy="36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7">
                      <a:extLst>
                        <a:ext uri="{28A0092B-C50C-407E-A947-70E740481C1C}"/>
                      </a:extLst>
                    </a:blip>
                    <a:srcRect/>
                    <a:stretch>
                      <a:fillRect/>
                    </a:stretch>
                  </pic:blipFill>
                  <pic:spPr bwMode="auto">
                    <a:xfrm>
                      <a:off x="0" y="0"/>
                      <a:ext cx="2061845" cy="36195"/>
                    </a:xfrm>
                    <a:prstGeom prst="rect">
                      <a:avLst/>
                    </a:prstGeom>
                    <a:noFill/>
                  </pic:spPr>
                </pic:pic>
              </a:graphicData>
            </a:graphic>
          </wp:anchor>
        </w:drawing>
      </w:r>
    </w:p>
    <w:p>
      <w:pPr>
        <w:sectPr>
          <w:pgSz w:w="12240" w:h="15840" w:orient="portrait"/>
          <w:cols w:equalWidth="0" w:num="1">
            <w:col w:w="10200"/>
          </w:cols>
          <w:pgMar w:left="1020" w:top="1310" w:right="1020" w:bottom="556"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9"/>
          <w:szCs w:val="19"/>
          <w:color w:val="auto"/>
        </w:rPr>
        <w:t>Supplemental cash flow information related to leases was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gridSpan w:val="4"/>
          </w:tcPr>
          <w:p>
            <w:pPr>
              <w:jc w:val="center"/>
              <w:spacing w:after="0"/>
              <w:rPr>
                <w:sz w:val="20"/>
                <w:szCs w:val="20"/>
                <w:color w:val="auto"/>
              </w:rPr>
            </w:pPr>
            <w:r>
              <w:rPr>
                <w:rFonts w:ascii="Times New Roman" w:cs="Times New Roman" w:eastAsia="Times New Roman" w:hAnsi="Times New Roman"/>
                <w:sz w:val="15"/>
                <w:szCs w:val="15"/>
                <w:b w:val="1"/>
                <w:bCs w:val="1"/>
                <w:color w:val="auto"/>
              </w:rPr>
              <w:t>Year Ended</w:t>
            </w: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87"/>
        </w:trPr>
        <w:tc>
          <w:tcPr>
            <w:tcW w:w="6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7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r>
      <w:tr>
        <w:trPr>
          <w:trHeight w:val="181"/>
        </w:trPr>
        <w:tc>
          <w:tcPr>
            <w:tcW w:w="6120" w:type="dxa"/>
            <w:vAlign w:val="bottom"/>
          </w:tcPr>
          <w:p>
            <w:pPr>
              <w:spacing w:after="0"/>
              <w:rPr>
                <w:sz w:val="15"/>
                <w:szCs w:val="15"/>
                <w:color w:val="auto"/>
              </w:rPr>
            </w:pPr>
          </w:p>
        </w:tc>
        <w:tc>
          <w:tcPr>
            <w:tcW w:w="18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2025</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jc w:val="right"/>
              <w:ind w:right="247"/>
              <w:spacing w:after="0"/>
              <w:rPr>
                <w:sz w:val="20"/>
                <w:szCs w:val="20"/>
                <w:color w:val="auto"/>
              </w:rPr>
            </w:pPr>
            <w:r>
              <w:rPr>
                <w:rFonts w:ascii="Times New Roman" w:cs="Times New Roman" w:eastAsia="Times New Roman" w:hAnsi="Times New Roman"/>
                <w:sz w:val="15"/>
                <w:szCs w:val="15"/>
                <w:b w:val="1"/>
                <w:bCs w:val="1"/>
                <w:color w:val="auto"/>
              </w:rPr>
              <w:t>2024</w:t>
            </w:r>
          </w:p>
        </w:tc>
        <w:tc>
          <w:tcPr>
            <w:tcW w:w="280" w:type="dxa"/>
            <w:vAlign w:val="bottom"/>
          </w:tcPr>
          <w:p>
            <w:pPr>
              <w:spacing w:after="0"/>
              <w:rPr>
                <w:sz w:val="15"/>
                <w:szCs w:val="15"/>
                <w:color w:val="auto"/>
              </w:rPr>
            </w:pPr>
          </w:p>
        </w:tc>
      </w:tr>
      <w:tr>
        <w:trPr>
          <w:trHeight w:val="225"/>
        </w:trPr>
        <w:tc>
          <w:tcPr>
            <w:tcW w:w="6120" w:type="dxa"/>
            <w:vAlign w:val="bottom"/>
            <w:tcBorders>
              <w:top w:val="single" w:sz="8" w:color="D5EEEE"/>
            </w:tcBorders>
            <w:shd w:val="clear" w:color="auto" w:fill="D5EEEE"/>
          </w:tcPr>
          <w:p>
            <w:pPr>
              <w:spacing w:after="0"/>
              <w:rPr>
                <w:sz w:val="20"/>
                <w:szCs w:val="20"/>
                <w:color w:val="auto"/>
              </w:rPr>
            </w:pPr>
            <w:r>
              <w:rPr>
                <w:rFonts w:ascii="Times New Roman" w:cs="Times New Roman" w:eastAsia="Times New Roman" w:hAnsi="Times New Roman"/>
                <w:sz w:val="19"/>
                <w:szCs w:val="19"/>
                <w:color w:val="auto"/>
              </w:rPr>
              <w:t>Cash paid for amounts included in the measurement of lease liabilities:</w:t>
            </w:r>
          </w:p>
        </w:tc>
        <w:tc>
          <w:tcPr>
            <w:tcW w:w="900" w:type="dxa"/>
            <w:vAlign w:val="bottom"/>
            <w:tcBorders>
              <w:top w:val="single" w:sz="8" w:color="D5EEEE"/>
            </w:tcBorders>
            <w:shd w:val="clear" w:color="auto" w:fill="D5EEEE"/>
          </w:tcPr>
          <w:p>
            <w:pPr>
              <w:spacing w:after="0"/>
              <w:rPr>
                <w:sz w:val="19"/>
                <w:szCs w:val="19"/>
                <w:color w:val="auto"/>
              </w:rPr>
            </w:pPr>
          </w:p>
        </w:tc>
        <w:tc>
          <w:tcPr>
            <w:tcW w:w="920" w:type="dxa"/>
            <w:vAlign w:val="bottom"/>
            <w:tcBorders>
              <w:top w:val="single" w:sz="8" w:color="auto"/>
            </w:tcBorders>
            <w:shd w:val="clear" w:color="auto" w:fill="D5EEEE"/>
          </w:tcPr>
          <w:p>
            <w:pPr>
              <w:spacing w:after="0"/>
              <w:rPr>
                <w:sz w:val="19"/>
                <w:szCs w:val="19"/>
                <w:color w:val="auto"/>
              </w:rPr>
            </w:pPr>
          </w:p>
        </w:tc>
        <w:tc>
          <w:tcPr>
            <w:tcW w:w="500" w:type="dxa"/>
            <w:vAlign w:val="bottom"/>
            <w:tcBorders>
              <w:top w:val="single" w:sz="8" w:color="auto"/>
            </w:tcBorders>
            <w:shd w:val="clear" w:color="auto" w:fill="D5EEEE"/>
          </w:tcPr>
          <w:p>
            <w:pPr>
              <w:spacing w:after="0"/>
              <w:rPr>
                <w:sz w:val="19"/>
                <w:szCs w:val="19"/>
                <w:color w:val="auto"/>
              </w:rPr>
            </w:pPr>
          </w:p>
        </w:tc>
        <w:tc>
          <w:tcPr>
            <w:tcW w:w="120" w:type="dxa"/>
            <w:vAlign w:val="bottom"/>
            <w:tcBorders>
              <w:top w:val="single" w:sz="8" w:color="auto"/>
            </w:tcBorders>
            <w:shd w:val="clear" w:color="auto" w:fill="D5EEEE"/>
          </w:tcPr>
          <w:p>
            <w:pPr>
              <w:spacing w:after="0"/>
              <w:rPr>
                <w:sz w:val="19"/>
                <w:szCs w:val="19"/>
                <w:color w:val="auto"/>
              </w:rPr>
            </w:pPr>
          </w:p>
        </w:tc>
        <w:tc>
          <w:tcPr>
            <w:tcW w:w="160" w:type="dxa"/>
            <w:vAlign w:val="bottom"/>
            <w:tcBorders>
              <w:top w:val="single" w:sz="8" w:color="D5EEEE"/>
            </w:tcBorders>
            <w:shd w:val="clear" w:color="auto" w:fill="D5EEEE"/>
          </w:tcPr>
          <w:p>
            <w:pPr>
              <w:spacing w:after="0"/>
              <w:rPr>
                <w:sz w:val="19"/>
                <w:szCs w:val="19"/>
                <w:color w:val="auto"/>
              </w:rPr>
            </w:pPr>
          </w:p>
        </w:tc>
        <w:tc>
          <w:tcPr>
            <w:tcW w:w="420" w:type="dxa"/>
            <w:vAlign w:val="bottom"/>
            <w:tcBorders>
              <w:top w:val="single" w:sz="8" w:color="auto"/>
            </w:tcBorders>
            <w:shd w:val="clear" w:color="auto" w:fill="D5EEEE"/>
          </w:tcPr>
          <w:p>
            <w:pPr>
              <w:spacing w:after="0"/>
              <w:rPr>
                <w:sz w:val="19"/>
                <w:szCs w:val="19"/>
                <w:color w:val="auto"/>
              </w:rPr>
            </w:pPr>
          </w:p>
        </w:tc>
        <w:tc>
          <w:tcPr>
            <w:tcW w:w="780" w:type="dxa"/>
            <w:vAlign w:val="bottom"/>
            <w:tcBorders>
              <w:top w:val="single" w:sz="8" w:color="auto"/>
            </w:tcBorders>
            <w:shd w:val="clear" w:color="auto" w:fill="D5EEEE"/>
          </w:tcPr>
          <w:p>
            <w:pPr>
              <w:spacing w:after="0"/>
              <w:rPr>
                <w:sz w:val="19"/>
                <w:szCs w:val="19"/>
                <w:color w:val="auto"/>
              </w:rPr>
            </w:pPr>
          </w:p>
        </w:tc>
        <w:tc>
          <w:tcPr>
            <w:tcW w:w="280" w:type="dxa"/>
            <w:vAlign w:val="bottom"/>
            <w:tcBorders>
              <w:top w:val="single" w:sz="8" w:color="auto"/>
            </w:tcBorders>
            <w:shd w:val="clear" w:color="auto" w:fill="D5EEEE"/>
          </w:tcPr>
          <w:p>
            <w:pPr>
              <w:spacing w:after="0"/>
              <w:rPr>
                <w:sz w:val="19"/>
                <w:szCs w:val="19"/>
                <w:color w:val="auto"/>
              </w:rPr>
            </w:pPr>
          </w:p>
        </w:tc>
      </w:tr>
      <w:tr>
        <w:trPr>
          <w:trHeight w:val="230"/>
        </w:trPr>
        <w:tc>
          <w:tcPr>
            <w:tcW w:w="61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Operating cash flows from operating leases</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9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1,785</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9"/>
                <w:szCs w:val="19"/>
                <w:color w:val="auto"/>
              </w:rPr>
              <w:t>$</w:t>
            </w:r>
          </w:p>
        </w:tc>
        <w:tc>
          <w:tcPr>
            <w:tcW w:w="42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1,733</w:t>
            </w:r>
          </w:p>
        </w:tc>
      </w:tr>
      <w:tr>
        <w:trPr>
          <w:trHeight w:val="231"/>
        </w:trPr>
        <w:tc>
          <w:tcPr>
            <w:tcW w:w="6120" w:type="dxa"/>
            <w:vAlign w:val="bottom"/>
            <w:shd w:val="clear" w:color="auto" w:fill="D5EEEE"/>
          </w:tcPr>
          <w:p>
            <w:pPr>
              <w:ind w:left="100"/>
              <w:spacing w:after="0"/>
              <w:rPr>
                <w:sz w:val="20"/>
                <w:szCs w:val="20"/>
                <w:color w:val="auto"/>
              </w:rPr>
            </w:pPr>
            <w:r>
              <w:rPr>
                <w:rFonts w:ascii="Times New Roman" w:cs="Times New Roman" w:eastAsia="Times New Roman" w:hAnsi="Times New Roman"/>
                <w:sz w:val="19"/>
                <w:szCs w:val="19"/>
                <w:color w:val="auto"/>
              </w:rPr>
              <w:t>Financing cash flows from finance leases</w:t>
            </w:r>
          </w:p>
        </w:tc>
        <w:tc>
          <w:tcPr>
            <w:tcW w:w="900" w:type="dxa"/>
            <w:vAlign w:val="bottom"/>
            <w:shd w:val="clear" w:color="auto" w:fill="D5EEEE"/>
          </w:tcPr>
          <w:p>
            <w:pPr>
              <w:spacing w:after="0"/>
              <w:rPr>
                <w:sz w:val="20"/>
                <w:szCs w:val="20"/>
                <w:color w:val="auto"/>
              </w:rPr>
            </w:pPr>
          </w:p>
        </w:tc>
        <w:tc>
          <w:tcPr>
            <w:tcW w:w="920" w:type="dxa"/>
            <w:vAlign w:val="bottom"/>
            <w:shd w:val="clear" w:color="auto" w:fill="D5EEEE"/>
          </w:tcPr>
          <w:p>
            <w:pPr>
              <w:spacing w:after="0"/>
              <w:rPr>
                <w:sz w:val="20"/>
                <w:szCs w:val="20"/>
                <w:color w:val="auto"/>
              </w:rPr>
            </w:pPr>
          </w:p>
        </w:tc>
        <w:tc>
          <w:tcPr>
            <w:tcW w:w="5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20" w:type="dxa"/>
            <w:vAlign w:val="bottom"/>
            <w:shd w:val="clear" w:color="auto" w:fill="D5EEEE"/>
          </w:tcPr>
          <w:p>
            <w:pPr>
              <w:spacing w:after="0"/>
              <w:rPr>
                <w:sz w:val="20"/>
                <w:szCs w:val="20"/>
                <w:color w:val="auto"/>
              </w:rPr>
            </w:pPr>
          </w:p>
        </w:tc>
        <w:tc>
          <w:tcPr>
            <w:tcW w:w="160" w:type="dxa"/>
            <w:vAlign w:val="bottom"/>
            <w:shd w:val="clear" w:color="auto" w:fill="D5EEEE"/>
          </w:tcPr>
          <w:p>
            <w:pPr>
              <w:spacing w:after="0"/>
              <w:rPr>
                <w:sz w:val="20"/>
                <w:szCs w:val="20"/>
                <w:color w:val="auto"/>
              </w:rPr>
            </w:pPr>
          </w:p>
        </w:tc>
        <w:tc>
          <w:tcPr>
            <w:tcW w:w="420" w:type="dxa"/>
            <w:vAlign w:val="bottom"/>
            <w:shd w:val="clear" w:color="auto" w:fill="D5EEEE"/>
          </w:tcPr>
          <w:p>
            <w:pPr>
              <w:spacing w:after="0"/>
              <w:rPr>
                <w:sz w:val="20"/>
                <w:szCs w:val="20"/>
                <w:color w:val="auto"/>
              </w:rPr>
            </w:pPr>
          </w:p>
        </w:tc>
        <w:tc>
          <w:tcPr>
            <w:tcW w:w="1060" w:type="dxa"/>
            <w:vAlign w:val="bottom"/>
            <w:gridSpan w:val="2"/>
            <w:shd w:val="clear" w:color="auto" w:fill="D5EEEE"/>
          </w:tcPr>
          <w:p>
            <w:pPr>
              <w:jc w:val="right"/>
              <w:ind w:right="80"/>
              <w:spacing w:after="0"/>
              <w:rPr>
                <w:sz w:val="20"/>
                <w:szCs w:val="20"/>
                <w:color w:val="auto"/>
              </w:rPr>
            </w:pPr>
            <w:r>
              <w:rPr>
                <w:rFonts w:ascii="Times New Roman" w:cs="Times New Roman" w:eastAsia="Times New Roman" w:hAnsi="Times New Roman"/>
                <w:sz w:val="19"/>
                <w:szCs w:val="19"/>
                <w:color w:val="auto"/>
              </w:rPr>
              <w:t>49</w:t>
            </w:r>
          </w:p>
        </w:tc>
      </w:tr>
      <w:tr>
        <w:trPr>
          <w:trHeight w:val="660"/>
        </w:trPr>
        <w:tc>
          <w:tcPr>
            <w:tcW w:w="794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Future minimum lease payments under non-cancellable leases as of December 31, 2025 are as follows:</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01"/>
        </w:trPr>
        <w:tc>
          <w:tcPr>
            <w:tcW w:w="6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gridSpan w:val="4"/>
          </w:tcPr>
          <w:p>
            <w:pPr>
              <w:ind w:left="40"/>
              <w:spacing w:after="0"/>
              <w:rPr>
                <w:sz w:val="20"/>
                <w:szCs w:val="20"/>
                <w:color w:val="auto"/>
              </w:rPr>
            </w:pPr>
            <w:r>
              <w:rPr>
                <w:rFonts w:ascii="Times New Roman" w:cs="Times New Roman" w:eastAsia="Times New Roman" w:hAnsi="Times New Roman"/>
                <w:sz w:val="15"/>
                <w:szCs w:val="15"/>
                <w:b w:val="1"/>
                <w:bCs w:val="1"/>
                <w:color w:val="auto"/>
              </w:rPr>
              <w:t>Operating Lease</w:t>
            </w:r>
          </w:p>
        </w:tc>
      </w:tr>
      <w:tr>
        <w:trPr>
          <w:trHeight w:val="225"/>
        </w:trPr>
        <w:tc>
          <w:tcPr>
            <w:tcW w:w="6120" w:type="dxa"/>
            <w:vAlign w:val="bottom"/>
            <w:tcBorders>
              <w:top w:val="single" w:sz="8" w:color="D5EEEE"/>
            </w:tcBorders>
            <w:shd w:val="clear" w:color="auto" w:fill="D5EEEE"/>
          </w:tcPr>
          <w:p>
            <w:pPr>
              <w:spacing w:after="0"/>
              <w:rPr>
                <w:sz w:val="20"/>
                <w:szCs w:val="20"/>
                <w:color w:val="auto"/>
              </w:rPr>
            </w:pPr>
            <w:r>
              <w:rPr>
                <w:rFonts w:ascii="Times New Roman" w:cs="Times New Roman" w:eastAsia="Times New Roman" w:hAnsi="Times New Roman"/>
                <w:sz w:val="19"/>
                <w:szCs w:val="19"/>
                <w:color w:val="auto"/>
              </w:rPr>
              <w:t>2026</w:t>
            </w:r>
          </w:p>
        </w:tc>
        <w:tc>
          <w:tcPr>
            <w:tcW w:w="900" w:type="dxa"/>
            <w:vAlign w:val="bottom"/>
            <w:tcBorders>
              <w:top w:val="single" w:sz="8" w:color="D5EEEE"/>
            </w:tcBorders>
            <w:shd w:val="clear" w:color="auto" w:fill="D5EEEE"/>
          </w:tcPr>
          <w:p>
            <w:pPr>
              <w:spacing w:after="0"/>
              <w:rPr>
                <w:sz w:val="19"/>
                <w:szCs w:val="19"/>
                <w:color w:val="auto"/>
              </w:rPr>
            </w:pPr>
          </w:p>
        </w:tc>
        <w:tc>
          <w:tcPr>
            <w:tcW w:w="920" w:type="dxa"/>
            <w:vAlign w:val="bottom"/>
            <w:tcBorders>
              <w:top w:val="single" w:sz="8" w:color="D5EEEE"/>
            </w:tcBorders>
            <w:shd w:val="clear" w:color="auto" w:fill="D5EEEE"/>
          </w:tcPr>
          <w:p>
            <w:pPr>
              <w:spacing w:after="0"/>
              <w:rPr>
                <w:sz w:val="19"/>
                <w:szCs w:val="19"/>
                <w:color w:val="auto"/>
              </w:rPr>
            </w:pPr>
          </w:p>
        </w:tc>
        <w:tc>
          <w:tcPr>
            <w:tcW w:w="500" w:type="dxa"/>
            <w:vAlign w:val="bottom"/>
            <w:tcBorders>
              <w:top w:val="single" w:sz="8" w:color="D5EEEE"/>
            </w:tcBorders>
            <w:shd w:val="clear" w:color="auto" w:fill="D5EEEE"/>
          </w:tcPr>
          <w:p>
            <w:pPr>
              <w:spacing w:after="0"/>
              <w:rPr>
                <w:sz w:val="19"/>
                <w:szCs w:val="19"/>
                <w:color w:val="auto"/>
              </w:rPr>
            </w:pPr>
          </w:p>
        </w:tc>
        <w:tc>
          <w:tcPr>
            <w:tcW w:w="12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60" w:type="dxa"/>
            <w:vAlign w:val="bottom"/>
            <w:tcBorders>
              <w:top w:val="single" w:sz="8" w:color="auto"/>
            </w:tcBorders>
            <w:shd w:val="clear" w:color="auto" w:fill="D5EEEE"/>
          </w:tcPr>
          <w:p>
            <w:pPr>
              <w:spacing w:after="0"/>
              <w:rPr>
                <w:sz w:val="19"/>
                <w:szCs w:val="19"/>
                <w:color w:val="auto"/>
              </w:rPr>
            </w:pPr>
          </w:p>
        </w:tc>
        <w:tc>
          <w:tcPr>
            <w:tcW w:w="420" w:type="dxa"/>
            <w:vAlign w:val="bottom"/>
            <w:tcBorders>
              <w:top w:val="single" w:sz="8" w:color="auto"/>
            </w:tcBorders>
            <w:shd w:val="clear" w:color="auto" w:fill="D5EEEE"/>
          </w:tcPr>
          <w:p>
            <w:pPr>
              <w:spacing w:after="0"/>
              <w:rPr>
                <w:sz w:val="19"/>
                <w:szCs w:val="19"/>
                <w:color w:val="auto"/>
              </w:rPr>
            </w:pPr>
          </w:p>
        </w:tc>
        <w:tc>
          <w:tcPr>
            <w:tcW w:w="780" w:type="dxa"/>
            <w:vAlign w:val="bottom"/>
            <w:tcBorders>
              <w:top w:val="single" w:sz="8" w:color="auto"/>
            </w:tcBorders>
            <w:shd w:val="clear" w:color="auto" w:fill="D5EEEE"/>
          </w:tcPr>
          <w:p>
            <w:pPr>
              <w:jc w:val="right"/>
              <w:ind w:right="7"/>
              <w:spacing w:after="0"/>
              <w:rPr>
                <w:sz w:val="20"/>
                <w:szCs w:val="20"/>
                <w:color w:val="auto"/>
              </w:rPr>
            </w:pPr>
            <w:r>
              <w:rPr>
                <w:rFonts w:ascii="Times New Roman" w:cs="Times New Roman" w:eastAsia="Times New Roman" w:hAnsi="Times New Roman"/>
                <w:sz w:val="19"/>
                <w:szCs w:val="19"/>
                <w:color w:val="auto"/>
              </w:rPr>
              <w:t>1,839</w:t>
            </w:r>
          </w:p>
        </w:tc>
        <w:tc>
          <w:tcPr>
            <w:tcW w:w="280" w:type="dxa"/>
            <w:vAlign w:val="bottom"/>
            <w:tcBorders>
              <w:top w:val="single" w:sz="8" w:color="D5EEEE"/>
            </w:tcBorders>
            <w:shd w:val="clear" w:color="auto" w:fill="D5EEEE"/>
          </w:tcPr>
          <w:p>
            <w:pPr>
              <w:spacing w:after="0"/>
              <w:rPr>
                <w:sz w:val="19"/>
                <w:szCs w:val="19"/>
                <w:color w:val="auto"/>
              </w:rPr>
            </w:pPr>
          </w:p>
        </w:tc>
      </w:tr>
      <w:tr>
        <w:trPr>
          <w:trHeight w:val="230"/>
        </w:trPr>
        <w:tc>
          <w:tcPr>
            <w:tcW w:w="6120" w:type="dxa"/>
            <w:vAlign w:val="bottom"/>
          </w:tcPr>
          <w:p>
            <w:pPr>
              <w:spacing w:after="0"/>
              <w:rPr>
                <w:sz w:val="20"/>
                <w:szCs w:val="20"/>
                <w:color w:val="auto"/>
              </w:rPr>
            </w:pPr>
            <w:r>
              <w:rPr>
                <w:rFonts w:ascii="Times New Roman" w:cs="Times New Roman" w:eastAsia="Times New Roman" w:hAnsi="Times New Roman"/>
                <w:sz w:val="19"/>
                <w:szCs w:val="19"/>
                <w:color w:val="auto"/>
              </w:rPr>
              <w:t>2027</w:t>
            </w: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jc w:val="right"/>
              <w:ind w:right="7"/>
              <w:spacing w:after="0"/>
              <w:rPr>
                <w:sz w:val="20"/>
                <w:szCs w:val="20"/>
                <w:color w:val="auto"/>
              </w:rPr>
            </w:pPr>
            <w:r>
              <w:rPr>
                <w:rFonts w:ascii="Times New Roman" w:cs="Times New Roman" w:eastAsia="Times New Roman" w:hAnsi="Times New Roman"/>
                <w:sz w:val="19"/>
                <w:szCs w:val="19"/>
                <w:color w:val="auto"/>
              </w:rPr>
              <w:t>1,894</w:t>
            </w:r>
          </w:p>
        </w:tc>
        <w:tc>
          <w:tcPr>
            <w:tcW w:w="280" w:type="dxa"/>
            <w:vAlign w:val="bottom"/>
          </w:tcPr>
          <w:p>
            <w:pPr>
              <w:spacing w:after="0"/>
              <w:rPr>
                <w:sz w:val="20"/>
                <w:szCs w:val="20"/>
                <w:color w:val="auto"/>
              </w:rPr>
            </w:pPr>
          </w:p>
        </w:tc>
      </w:tr>
      <w:tr>
        <w:trPr>
          <w:trHeight w:val="231"/>
        </w:trPr>
        <w:tc>
          <w:tcPr>
            <w:tcW w:w="6120" w:type="dxa"/>
            <w:vAlign w:val="bottom"/>
            <w:shd w:val="clear" w:color="auto" w:fill="D5EEEE"/>
          </w:tcPr>
          <w:p>
            <w:pPr>
              <w:spacing w:after="0"/>
              <w:rPr>
                <w:sz w:val="20"/>
                <w:szCs w:val="20"/>
                <w:color w:val="auto"/>
              </w:rPr>
            </w:pPr>
            <w:r>
              <w:rPr>
                <w:rFonts w:ascii="Times New Roman" w:cs="Times New Roman" w:eastAsia="Times New Roman" w:hAnsi="Times New Roman"/>
                <w:sz w:val="19"/>
                <w:szCs w:val="19"/>
                <w:color w:val="auto"/>
              </w:rPr>
              <w:t>2028</w:t>
            </w:r>
          </w:p>
        </w:tc>
        <w:tc>
          <w:tcPr>
            <w:tcW w:w="900" w:type="dxa"/>
            <w:vAlign w:val="bottom"/>
            <w:shd w:val="clear" w:color="auto" w:fill="D5EEEE"/>
          </w:tcPr>
          <w:p>
            <w:pPr>
              <w:spacing w:after="0"/>
              <w:rPr>
                <w:sz w:val="20"/>
                <w:szCs w:val="20"/>
                <w:color w:val="auto"/>
              </w:rPr>
            </w:pPr>
          </w:p>
        </w:tc>
        <w:tc>
          <w:tcPr>
            <w:tcW w:w="920" w:type="dxa"/>
            <w:vAlign w:val="bottom"/>
            <w:shd w:val="clear" w:color="auto" w:fill="D5EEEE"/>
          </w:tcPr>
          <w:p>
            <w:pPr>
              <w:spacing w:after="0"/>
              <w:rPr>
                <w:sz w:val="20"/>
                <w:szCs w:val="20"/>
                <w:color w:val="auto"/>
              </w:rPr>
            </w:pPr>
          </w:p>
        </w:tc>
        <w:tc>
          <w:tcPr>
            <w:tcW w:w="500" w:type="dxa"/>
            <w:vAlign w:val="bottom"/>
            <w:shd w:val="clear" w:color="auto" w:fill="D5EEEE"/>
          </w:tcPr>
          <w:p>
            <w:pPr>
              <w:spacing w:after="0"/>
              <w:rPr>
                <w:sz w:val="20"/>
                <w:szCs w:val="20"/>
                <w:color w:val="auto"/>
              </w:rPr>
            </w:pPr>
          </w:p>
        </w:tc>
        <w:tc>
          <w:tcPr>
            <w:tcW w:w="120" w:type="dxa"/>
            <w:vAlign w:val="bottom"/>
            <w:shd w:val="clear" w:color="auto" w:fill="D5EEEE"/>
          </w:tcPr>
          <w:p>
            <w:pPr>
              <w:spacing w:after="0"/>
              <w:rPr>
                <w:sz w:val="20"/>
                <w:szCs w:val="20"/>
                <w:color w:val="auto"/>
              </w:rPr>
            </w:pPr>
          </w:p>
        </w:tc>
        <w:tc>
          <w:tcPr>
            <w:tcW w:w="160" w:type="dxa"/>
            <w:vAlign w:val="bottom"/>
            <w:shd w:val="clear" w:color="auto" w:fill="D5EEEE"/>
          </w:tcPr>
          <w:p>
            <w:pPr>
              <w:spacing w:after="0"/>
              <w:rPr>
                <w:sz w:val="20"/>
                <w:szCs w:val="20"/>
                <w:color w:val="auto"/>
              </w:rPr>
            </w:pPr>
          </w:p>
        </w:tc>
        <w:tc>
          <w:tcPr>
            <w:tcW w:w="420" w:type="dxa"/>
            <w:vAlign w:val="bottom"/>
            <w:shd w:val="clear" w:color="auto" w:fill="D5EEEE"/>
          </w:tcPr>
          <w:p>
            <w:pPr>
              <w:spacing w:after="0"/>
              <w:rPr>
                <w:sz w:val="20"/>
                <w:szCs w:val="20"/>
                <w:color w:val="auto"/>
              </w:rPr>
            </w:pPr>
          </w:p>
        </w:tc>
        <w:tc>
          <w:tcPr>
            <w:tcW w:w="780" w:type="dxa"/>
            <w:vAlign w:val="bottom"/>
            <w:shd w:val="clear" w:color="auto" w:fill="D5EEEE"/>
          </w:tcPr>
          <w:p>
            <w:pPr>
              <w:jc w:val="right"/>
              <w:ind w:right="7"/>
              <w:spacing w:after="0"/>
              <w:rPr>
                <w:sz w:val="20"/>
                <w:szCs w:val="20"/>
                <w:color w:val="auto"/>
              </w:rPr>
            </w:pPr>
            <w:r>
              <w:rPr>
                <w:rFonts w:ascii="Times New Roman" w:cs="Times New Roman" w:eastAsia="Times New Roman" w:hAnsi="Times New Roman"/>
                <w:sz w:val="19"/>
                <w:szCs w:val="19"/>
                <w:color w:val="auto"/>
              </w:rPr>
              <w:t>1,951</w:t>
            </w:r>
          </w:p>
        </w:tc>
        <w:tc>
          <w:tcPr>
            <w:tcW w:w="280" w:type="dxa"/>
            <w:vAlign w:val="bottom"/>
            <w:shd w:val="clear" w:color="auto" w:fill="D5EEEE"/>
          </w:tcPr>
          <w:p>
            <w:pPr>
              <w:spacing w:after="0"/>
              <w:rPr>
                <w:sz w:val="20"/>
                <w:szCs w:val="20"/>
                <w:color w:val="auto"/>
              </w:rPr>
            </w:pPr>
          </w:p>
        </w:tc>
      </w:tr>
      <w:tr>
        <w:trPr>
          <w:trHeight w:val="230"/>
        </w:trPr>
        <w:tc>
          <w:tcPr>
            <w:tcW w:w="6120" w:type="dxa"/>
            <w:vAlign w:val="bottom"/>
          </w:tcPr>
          <w:p>
            <w:pPr>
              <w:spacing w:after="0"/>
              <w:rPr>
                <w:sz w:val="20"/>
                <w:szCs w:val="20"/>
                <w:color w:val="auto"/>
              </w:rPr>
            </w:pPr>
            <w:r>
              <w:rPr>
                <w:rFonts w:ascii="Times New Roman" w:cs="Times New Roman" w:eastAsia="Times New Roman" w:hAnsi="Times New Roman"/>
                <w:sz w:val="19"/>
                <w:szCs w:val="19"/>
                <w:color w:val="auto"/>
              </w:rPr>
              <w:t>2029</w:t>
            </w: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jc w:val="right"/>
              <w:ind w:right="7"/>
              <w:spacing w:after="0"/>
              <w:rPr>
                <w:sz w:val="20"/>
                <w:szCs w:val="20"/>
                <w:color w:val="auto"/>
              </w:rPr>
            </w:pPr>
            <w:r>
              <w:rPr>
                <w:rFonts w:ascii="Times New Roman" w:cs="Times New Roman" w:eastAsia="Times New Roman" w:hAnsi="Times New Roman"/>
                <w:sz w:val="19"/>
                <w:szCs w:val="19"/>
                <w:color w:val="auto"/>
              </w:rPr>
              <w:t>2,010</w:t>
            </w:r>
          </w:p>
        </w:tc>
        <w:tc>
          <w:tcPr>
            <w:tcW w:w="280" w:type="dxa"/>
            <w:vAlign w:val="bottom"/>
          </w:tcPr>
          <w:p>
            <w:pPr>
              <w:spacing w:after="0"/>
              <w:rPr>
                <w:sz w:val="20"/>
                <w:szCs w:val="20"/>
                <w:color w:val="auto"/>
              </w:rPr>
            </w:pPr>
          </w:p>
        </w:tc>
      </w:tr>
      <w:tr>
        <w:trPr>
          <w:trHeight w:val="230"/>
        </w:trPr>
        <w:tc>
          <w:tcPr>
            <w:tcW w:w="6120" w:type="dxa"/>
            <w:vAlign w:val="bottom"/>
            <w:tcBorders>
              <w:bottom w:val="single" w:sz="8" w:color="D5EEEE"/>
            </w:tcBorders>
            <w:shd w:val="clear" w:color="auto" w:fill="D5EEEE"/>
          </w:tcPr>
          <w:p>
            <w:pPr>
              <w:spacing w:after="0"/>
              <w:rPr>
                <w:sz w:val="20"/>
                <w:szCs w:val="20"/>
                <w:color w:val="auto"/>
              </w:rPr>
            </w:pPr>
            <w:r>
              <w:rPr>
                <w:rFonts w:ascii="Times New Roman" w:cs="Times New Roman" w:eastAsia="Times New Roman" w:hAnsi="Times New Roman"/>
                <w:sz w:val="19"/>
                <w:szCs w:val="19"/>
                <w:color w:val="auto"/>
              </w:rPr>
              <w:t>2030</w:t>
            </w:r>
          </w:p>
        </w:tc>
        <w:tc>
          <w:tcPr>
            <w:tcW w:w="900" w:type="dxa"/>
            <w:vAlign w:val="bottom"/>
            <w:tcBorders>
              <w:bottom w:val="single" w:sz="8" w:color="D5EEEE"/>
            </w:tcBorders>
            <w:shd w:val="clear" w:color="auto" w:fill="D5EEEE"/>
          </w:tcPr>
          <w:p>
            <w:pPr>
              <w:spacing w:after="0"/>
              <w:rPr>
                <w:sz w:val="20"/>
                <w:szCs w:val="20"/>
                <w:color w:val="auto"/>
              </w:rPr>
            </w:pPr>
          </w:p>
        </w:tc>
        <w:tc>
          <w:tcPr>
            <w:tcW w:w="920" w:type="dxa"/>
            <w:vAlign w:val="bottom"/>
            <w:tcBorders>
              <w:bottom w:val="single" w:sz="8" w:color="D5EEEE"/>
            </w:tcBorders>
            <w:shd w:val="clear" w:color="auto" w:fill="D5EEEE"/>
          </w:tcPr>
          <w:p>
            <w:pPr>
              <w:spacing w:after="0"/>
              <w:rPr>
                <w:sz w:val="20"/>
                <w:szCs w:val="20"/>
                <w:color w:val="auto"/>
              </w:rPr>
            </w:pPr>
          </w:p>
        </w:tc>
        <w:tc>
          <w:tcPr>
            <w:tcW w:w="500" w:type="dxa"/>
            <w:vAlign w:val="bottom"/>
            <w:tcBorders>
              <w:bottom w:val="single" w:sz="8" w:color="D5EEEE"/>
            </w:tcBorders>
            <w:shd w:val="clear" w:color="auto" w:fill="D5EEEE"/>
          </w:tcPr>
          <w:p>
            <w:pPr>
              <w:spacing w:after="0"/>
              <w:rPr>
                <w:sz w:val="20"/>
                <w:szCs w:val="20"/>
                <w:color w:val="auto"/>
              </w:rPr>
            </w:pPr>
          </w:p>
        </w:tc>
        <w:tc>
          <w:tcPr>
            <w:tcW w:w="120" w:type="dxa"/>
            <w:vAlign w:val="bottom"/>
            <w:tcBorders>
              <w:bottom w:val="single" w:sz="8" w:color="auto"/>
            </w:tcBorders>
            <w:shd w:val="clear" w:color="auto" w:fill="D5EEEE"/>
          </w:tcPr>
          <w:p>
            <w:pPr>
              <w:spacing w:after="0"/>
              <w:rPr>
                <w:sz w:val="20"/>
                <w:szCs w:val="20"/>
                <w:color w:val="auto"/>
              </w:rPr>
            </w:pPr>
          </w:p>
        </w:tc>
        <w:tc>
          <w:tcPr>
            <w:tcW w:w="160" w:type="dxa"/>
            <w:vAlign w:val="bottom"/>
            <w:tcBorders>
              <w:bottom w:val="single" w:sz="8" w:color="auto"/>
            </w:tcBorders>
            <w:shd w:val="clear" w:color="auto" w:fill="D5EEEE"/>
          </w:tcPr>
          <w:p>
            <w:pPr>
              <w:spacing w:after="0"/>
              <w:rPr>
                <w:sz w:val="20"/>
                <w:szCs w:val="20"/>
                <w:color w:val="auto"/>
              </w:rPr>
            </w:pPr>
          </w:p>
        </w:tc>
        <w:tc>
          <w:tcPr>
            <w:tcW w:w="420" w:type="dxa"/>
            <w:vAlign w:val="bottom"/>
            <w:tcBorders>
              <w:bottom w:val="single" w:sz="8" w:color="auto"/>
            </w:tcBorders>
            <w:shd w:val="clear" w:color="auto" w:fill="D5EEEE"/>
          </w:tcPr>
          <w:p>
            <w:pPr>
              <w:spacing w:after="0"/>
              <w:rPr>
                <w:sz w:val="20"/>
                <w:szCs w:val="20"/>
                <w:color w:val="auto"/>
              </w:rPr>
            </w:pPr>
          </w:p>
        </w:tc>
        <w:tc>
          <w:tcPr>
            <w:tcW w:w="780" w:type="dxa"/>
            <w:vAlign w:val="bottom"/>
            <w:tcBorders>
              <w:bottom w:val="single" w:sz="8" w:color="auto"/>
            </w:tcBorders>
            <w:shd w:val="clear" w:color="auto" w:fill="D5EEEE"/>
          </w:tcPr>
          <w:p>
            <w:pPr>
              <w:jc w:val="right"/>
              <w:ind w:right="7"/>
              <w:spacing w:after="0"/>
              <w:rPr>
                <w:sz w:val="20"/>
                <w:szCs w:val="20"/>
                <w:color w:val="auto"/>
              </w:rPr>
            </w:pPr>
            <w:r>
              <w:rPr>
                <w:rFonts w:ascii="Times New Roman" w:cs="Times New Roman" w:eastAsia="Times New Roman" w:hAnsi="Times New Roman"/>
                <w:sz w:val="19"/>
                <w:szCs w:val="19"/>
                <w:color w:val="auto"/>
              </w:rPr>
              <w:t>506</w:t>
            </w:r>
          </w:p>
        </w:tc>
        <w:tc>
          <w:tcPr>
            <w:tcW w:w="280" w:type="dxa"/>
            <w:vAlign w:val="bottom"/>
            <w:tcBorders>
              <w:bottom w:val="single" w:sz="8" w:color="D5EEEE"/>
            </w:tcBorders>
            <w:shd w:val="clear" w:color="auto" w:fill="D5EEEE"/>
          </w:tcPr>
          <w:p>
            <w:pPr>
              <w:spacing w:after="0"/>
              <w:rPr>
                <w:sz w:val="20"/>
                <w:szCs w:val="20"/>
                <w:color w:val="auto"/>
              </w:rPr>
            </w:pPr>
          </w:p>
        </w:tc>
      </w:tr>
      <w:tr>
        <w:trPr>
          <w:trHeight w:val="225"/>
        </w:trPr>
        <w:tc>
          <w:tcPr>
            <w:tcW w:w="61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Total future minimum lease payments</w:t>
            </w: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ind w:right="7"/>
              <w:spacing w:after="0"/>
              <w:rPr>
                <w:sz w:val="20"/>
                <w:szCs w:val="20"/>
                <w:color w:val="auto"/>
              </w:rPr>
            </w:pPr>
            <w:r>
              <w:rPr>
                <w:rFonts w:ascii="Times New Roman" w:cs="Times New Roman" w:eastAsia="Times New Roman" w:hAnsi="Times New Roman"/>
                <w:sz w:val="19"/>
                <w:szCs w:val="19"/>
                <w:color w:val="auto"/>
              </w:rPr>
              <w:t>8,200</w:t>
            </w:r>
          </w:p>
        </w:tc>
        <w:tc>
          <w:tcPr>
            <w:tcW w:w="280" w:type="dxa"/>
            <w:vAlign w:val="bottom"/>
          </w:tcPr>
          <w:p>
            <w:pPr>
              <w:spacing w:after="0"/>
              <w:rPr>
                <w:sz w:val="19"/>
                <w:szCs w:val="19"/>
                <w:color w:val="auto"/>
              </w:rPr>
            </w:pPr>
          </w:p>
        </w:tc>
      </w:tr>
      <w:tr>
        <w:trPr>
          <w:trHeight w:val="230"/>
        </w:trPr>
        <w:tc>
          <w:tcPr>
            <w:tcW w:w="6120" w:type="dxa"/>
            <w:vAlign w:val="bottom"/>
            <w:tcBorders>
              <w:bottom w:val="single" w:sz="8" w:color="D5EEEE"/>
            </w:tcBorders>
            <w:shd w:val="clear" w:color="auto" w:fill="D5EEEE"/>
          </w:tcPr>
          <w:p>
            <w:pPr>
              <w:spacing w:after="0"/>
              <w:rPr>
                <w:sz w:val="20"/>
                <w:szCs w:val="20"/>
                <w:color w:val="auto"/>
              </w:rPr>
            </w:pPr>
            <w:r>
              <w:rPr>
                <w:rFonts w:ascii="Times New Roman" w:cs="Times New Roman" w:eastAsia="Times New Roman" w:hAnsi="Times New Roman"/>
                <w:sz w:val="19"/>
                <w:szCs w:val="19"/>
                <w:color w:val="auto"/>
              </w:rPr>
              <w:t>Present value adjustment</w:t>
            </w:r>
          </w:p>
        </w:tc>
        <w:tc>
          <w:tcPr>
            <w:tcW w:w="900" w:type="dxa"/>
            <w:vAlign w:val="bottom"/>
            <w:tcBorders>
              <w:bottom w:val="single" w:sz="8" w:color="D5EEEE"/>
            </w:tcBorders>
            <w:shd w:val="clear" w:color="auto" w:fill="D5EEEE"/>
          </w:tcPr>
          <w:p>
            <w:pPr>
              <w:spacing w:after="0"/>
              <w:rPr>
                <w:sz w:val="20"/>
                <w:szCs w:val="20"/>
                <w:color w:val="auto"/>
              </w:rPr>
            </w:pPr>
          </w:p>
        </w:tc>
        <w:tc>
          <w:tcPr>
            <w:tcW w:w="920" w:type="dxa"/>
            <w:vAlign w:val="bottom"/>
            <w:tcBorders>
              <w:bottom w:val="single" w:sz="8" w:color="D5EEEE"/>
            </w:tcBorders>
            <w:shd w:val="clear" w:color="auto" w:fill="D5EEEE"/>
          </w:tcPr>
          <w:p>
            <w:pPr>
              <w:spacing w:after="0"/>
              <w:rPr>
                <w:sz w:val="20"/>
                <w:szCs w:val="20"/>
                <w:color w:val="auto"/>
              </w:rPr>
            </w:pPr>
          </w:p>
        </w:tc>
        <w:tc>
          <w:tcPr>
            <w:tcW w:w="500" w:type="dxa"/>
            <w:vAlign w:val="bottom"/>
            <w:tcBorders>
              <w:bottom w:val="single" w:sz="8" w:color="D5EEEE"/>
            </w:tcBorders>
            <w:shd w:val="clear" w:color="auto" w:fill="D5EEEE"/>
          </w:tcPr>
          <w:p>
            <w:pPr>
              <w:spacing w:after="0"/>
              <w:rPr>
                <w:sz w:val="20"/>
                <w:szCs w:val="20"/>
                <w:color w:val="auto"/>
              </w:rPr>
            </w:pPr>
          </w:p>
        </w:tc>
        <w:tc>
          <w:tcPr>
            <w:tcW w:w="120" w:type="dxa"/>
            <w:vAlign w:val="bottom"/>
            <w:tcBorders>
              <w:bottom w:val="single" w:sz="8" w:color="auto"/>
            </w:tcBorders>
            <w:shd w:val="clear" w:color="auto" w:fill="D5EEEE"/>
          </w:tcPr>
          <w:p>
            <w:pPr>
              <w:spacing w:after="0"/>
              <w:rPr>
                <w:sz w:val="20"/>
                <w:szCs w:val="20"/>
                <w:color w:val="auto"/>
              </w:rPr>
            </w:pPr>
          </w:p>
        </w:tc>
        <w:tc>
          <w:tcPr>
            <w:tcW w:w="160" w:type="dxa"/>
            <w:vAlign w:val="bottom"/>
            <w:tcBorders>
              <w:bottom w:val="single" w:sz="8" w:color="auto"/>
            </w:tcBorders>
            <w:shd w:val="clear" w:color="auto" w:fill="D5EEEE"/>
          </w:tcPr>
          <w:p>
            <w:pPr>
              <w:spacing w:after="0"/>
              <w:rPr>
                <w:sz w:val="20"/>
                <w:szCs w:val="20"/>
                <w:color w:val="auto"/>
              </w:rPr>
            </w:pPr>
          </w:p>
        </w:tc>
        <w:tc>
          <w:tcPr>
            <w:tcW w:w="420" w:type="dxa"/>
            <w:vAlign w:val="bottom"/>
            <w:tcBorders>
              <w:bottom w:val="single" w:sz="8" w:color="auto"/>
            </w:tcBorders>
            <w:shd w:val="clear" w:color="auto" w:fill="D5EEEE"/>
          </w:tcPr>
          <w:p>
            <w:pPr>
              <w:spacing w:after="0"/>
              <w:rPr>
                <w:sz w:val="20"/>
                <w:szCs w:val="20"/>
                <w:color w:val="auto"/>
              </w:rPr>
            </w:pPr>
          </w:p>
        </w:tc>
        <w:tc>
          <w:tcPr>
            <w:tcW w:w="7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(1,246)</w:t>
            </w:r>
          </w:p>
        </w:tc>
        <w:tc>
          <w:tcPr>
            <w:tcW w:w="280" w:type="dxa"/>
            <w:vAlign w:val="bottom"/>
            <w:tcBorders>
              <w:bottom w:val="single" w:sz="8" w:color="D5EEEE"/>
            </w:tcBorders>
            <w:shd w:val="clear" w:color="auto" w:fill="D5EEEE"/>
          </w:tcPr>
          <w:p>
            <w:pPr>
              <w:spacing w:after="0"/>
              <w:rPr>
                <w:sz w:val="20"/>
                <w:szCs w:val="20"/>
                <w:color w:val="auto"/>
              </w:rPr>
            </w:pPr>
          </w:p>
        </w:tc>
      </w:tr>
      <w:tr>
        <w:trPr>
          <w:trHeight w:val="225"/>
        </w:trPr>
        <w:tc>
          <w:tcPr>
            <w:tcW w:w="61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Present value of lease liabilities</w:t>
            </w: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9"/>
                <w:szCs w:val="19"/>
                <w:color w:val="auto"/>
              </w:rPr>
              <w:t>6,954</w:t>
            </w:r>
          </w:p>
        </w:tc>
        <w:tc>
          <w:tcPr>
            <w:tcW w:w="280" w:type="dxa"/>
            <w:vAlign w:val="bottom"/>
          </w:tcPr>
          <w:p>
            <w:pPr>
              <w:spacing w:after="0"/>
              <w:rPr>
                <w:sz w:val="19"/>
                <w:szCs w:val="19"/>
                <w:color w:val="auto"/>
              </w:rPr>
            </w:pPr>
          </w:p>
        </w:tc>
      </w:tr>
      <w:tr>
        <w:trPr>
          <w:trHeight w:val="20"/>
        </w:trPr>
        <w:tc>
          <w:tcPr>
            <w:tcW w:w="6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8. Commitments and Contingencies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Indemnification Agreements</w:t>
      </w:r>
    </w:p>
    <w:p>
      <w:pPr>
        <w:spacing w:after="0" w:line="26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third-party actions. In some cases, the indemnification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 The Company has also entered into indemnification agreements with its directors that may require the Company to indemnify its directors against liabilities that may arise by reason of their status or service as directors to the fullest extent permitted by Delaware corporate law. The Company currently has directors’ and officers’ liability insurance.</w:t>
      </w:r>
    </w:p>
    <w:p>
      <w:pPr>
        <w:spacing w:after="0" w:line="24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9"/>
          <w:szCs w:val="19"/>
          <w:color w:val="auto"/>
        </w:rPr>
        <w:t>To date, the Company has not incurred any material costs as a result of such indemnifications. The Company is not aware of any claims under indemnification arrangements, and it has not accrued any liabilities related to such obligations in its consolidated financial statements as of December 31, 2025 or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Legal Proceedings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Company is not currently a party to any material legal proceedings.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9. Preferred Stock and Common Stock</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Undesignated Preferred Stock</w:t>
      </w:r>
    </w:p>
    <w:p>
      <w:pPr>
        <w:spacing w:after="0" w:line="26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9"/>
          <w:szCs w:val="19"/>
          <w:color w:val="auto"/>
        </w:rPr>
        <w:t>As of December 31, 2025 and 2024 the Company’s restated certificate of incorporation, as amended, authorizes the Company to issue up to 5,000,000 shares of undesignated preferred stock at $0.0001 par value per share. As of December 31, 2025 and 2024, there were no shares of preferred stock issued or outstanding.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Common Stock</w:t>
      </w:r>
    </w:p>
    <w:p>
      <w:pPr>
        <w:spacing w:after="0" w:line="26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9"/>
          <w:szCs w:val="19"/>
          <w:color w:val="auto"/>
        </w:rPr>
        <w:t>As of December 31, 2025, the Company’s restated certificate of incorporation, as amended, authorized the Company to issue up to 600,000,000 shares of common stock, $0.0001 par value per share. As of December 31, 2024, the Company’s restated certificate of incorporation, as amended, authorized the Company to issue up to 200,000,000 shares of common stock, $0.0001 par value per share.</w:t>
      </w:r>
    </w:p>
    <w:p>
      <w:pPr>
        <w:sectPr>
          <w:pgSz w:w="12240" w:h="15840" w:orient="portrait"/>
          <w:cols w:equalWidth="0" w:num="1">
            <w:col w:w="10200"/>
          </w:cols>
          <w:pgMar w:left="1020" w:top="1335" w:right="1020" w:bottom="5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F-21</w:t>
      </w:r>
    </w:p>
    <w:p>
      <w:pPr>
        <w:sectPr>
          <w:pgSz w:w="12240" w:h="15840" w:orient="portrait"/>
          <w:cols w:equalWidth="0" w:num="1">
            <w:col w:w="10200"/>
          </w:cols>
          <w:pgMar w:left="1020" w:top="1335" w:right="1020" w:bottom="556" w:gutter="0" w:footer="0" w:header="0"/>
          <w:type w:val="continuous"/>
        </w:sectPr>
      </w:pPr>
    </w:p>
    <w:bookmarkStart w:id="144" w:name="page145"/>
    <w:bookmarkEnd w:id="144"/>
    <w:p>
      <w:pPr>
        <w:spacing w:after="0"/>
        <w:rPr>
          <w:sz w:val="20"/>
          <w:szCs w:val="20"/>
          <w:color w:val="auto"/>
        </w:rPr>
      </w:pPr>
      <w:r>
        <w:rPr>
          <w:rFonts w:ascii="Times New Roman" w:cs="Times New Roman" w:eastAsia="Times New Roman" w:hAnsi="Times New Roman"/>
          <w:sz w:val="19"/>
          <w:szCs w:val="19"/>
          <w:i w:val="1"/>
          <w:iCs w:val="1"/>
          <w:color w:val="auto"/>
        </w:rPr>
        <w:t>June 2025 Follow-On Offering</w:t>
      </w:r>
    </w:p>
    <w:p>
      <w:pPr>
        <w:spacing w:after="0" w:line="26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In June 2025, the Company closed a follow-on offering of prefunded warrants and accompanying common stock warrants and received net proceeds of $47.0 million. In connection with the offering, the Company issued prefunded warrants to purchase 4,762,533 shares of common stock, accompanied by Series A warrants to purchase 4,762,533 shares of common stock (or, in certain circumstances, prefunded warrants) (the “Series A warrants”), Series B warrants to purchase 4,762,533 shares of common stock (or, in certain circumstances, prefunded warrants) (the “Series B warrants”), and Series C warrants to purchase 4,762,533 shares of common stock (or, in certain circumstances, prefunded warrants) (the “Series C warrants”). The combined offering price of one prefunded warrant, one Series A warrant, one Series B warrant and one Series C warrant, which were sold together but are immediately separable, was $10.4986, which was equal to the combined offering price of the prefunded warrants, Series A warrants, Series B warrants and Series C warrants, less the $0.0014 per share exercise price of the prefunded warrants.</w:t>
      </w:r>
    </w:p>
    <w:p>
      <w:pPr>
        <w:spacing w:after="0" w:line="24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the event of certain fundamental transactions, each holder of the prefunded warrants and the common stock warrants has the right to receive, upon exercise of such warrant, the same amount and kind of securities, cash or property as such holder would have been entitled to receive upon the occurrence of such fundamental transaction if it had been, immediately prior to such fundamental transaction, the holder of the number of shares of common stock underlying such holder’s warrant without regard to any limitations on exercise contained in such holder’s warrant. The holders of Series A warrants are alternatively entitled to elect to receive consideration in an amount equal to the Black Scholes value of the unexercised portion of such holder’s Series A warrants and if the fundamental transaction is within the Company’s control, the Series A warrant holders can require the Black Scholes value to be paid in cash.</w:t>
      </w:r>
    </w:p>
    <w:p>
      <w:pPr>
        <w:spacing w:after="0" w:line="23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In addition, for each dollar of non-dilutive capital received by the Company prior to the exercise or expiration of the remaining outstanding Series C warrants, the Company may elect to cancel a number of warrant shares equal to $14.00 divided by the $10.50 warrant exercise price (or one and one-third warrants) without any compensation paid by the Company to the warrant holders. For example, if the Company received $30.0 million in non-dilutive capital, it could elect to cancel 40.0 million of warrant shares. Subject to certain specified exceptions, non-dilutive capital includes: upfront payments under any future collaboration, license or similar agreement; milestone payments and option fees under any current or future collaboration, license or similar agreement; and net proceeds pursuant to any equity issuance where the purchase price per share is above $21.00.</w:t>
      </w:r>
    </w:p>
    <w:p>
      <w:pPr>
        <w:spacing w:after="0" w:line="2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At the June 2025 issuance date, the Company concluded that the prefunded warrants, the Series A warrants, the Series B warrants and the Series C warrants are freestanding financial instruments because each of these instruments can be transferred or assigned by the holder subject to compliance with the applicable securities laws and are legally detachable and separately exercisable. The Company determined the classification of each warrant based on the guidance in ASC 480 and ASC 815. As part of this assessment under ASC 815, the Company was required to allocate its available authorized shares of common stock to its outstanding contracts and commitments. The Company applied an accounting policy to first allocate available authorized shares of common stock based on the earliest issuance date of the contract. To the extent more than one contract or commitment made was issued on the same date, the available shares of common stock were allocated first to the contract with the earliest potential exercise date. The Company concluded that the prefunded warrants are classified as equity. The Company concluded the Series A warrants, the Series B warrants and the Series C warrants are required to be initially classified as liabilities as a result of their settlement provisions. The Series B warrants that were exercised for common stock and prefunded warrants in lieu of shares of common stock were reclassified to equity on the later of the date of each exercise, or December 2, 2025, the date the remaining outstanding Series B warrants qualified for equity classification due to the settlement of the exercise price reset feature. The Series A warrants and the remaining outstanding Series C warrants will continue to be classified as liabilities until such time as the applicable warrant is exercised, expires, or qualifies for equity classification.</w:t>
      </w:r>
    </w:p>
    <w:p>
      <w:pPr>
        <w:spacing w:after="0" w:line="24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The Company received initial gross proceeds from the offering of $50.0 million, before deducting approximately $3.0 million in aggregate issuance costs related to the offering, which consisted of underwriting discounts and commissions and offering expenses payable by the Company. The Company allocated the initial gross proceeds as follows: $26.8 million to the Series A warrants, $6.6 million to the Series B warrants and $5.1 million to the Series C warrants, in each case, based on the fair value of each instrument on the date of issuance with the remaining $11.5 million allocated to the prefunded warrants. The Company allocated the issuance costs to the financial instruments in a manner consistent with the allocation of the proceeds. The Company allocated approximately $2.3 million in issuance costs to the common stock warrants that are classified as liabilities, which was recorded as a component of other income, net, on the consolidated statements of operations and comprehensive loss during the year ended December 31, 2025. The Company allocated approximately $0.7 million in issuance costs to the prefunded warrants that are classified in equity, which was recorded as a reduction to additional paid in capital on the consolidated balance sheets as of December 31, 2025.</w:t>
      </w:r>
    </w:p>
    <w:p>
      <w:pPr>
        <w:spacing w:after="0" w:line="24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9"/>
          <w:szCs w:val="19"/>
          <w:color w:val="auto"/>
        </w:rPr>
        <w:t>During the year ended December 31, 2025, the Company recognized a loss of $5.8 million, related to the change in fair value of the common stock warrants, which is recorded as a component of the change in fair value of common stock warrant liabilities on the consolidated statements of operations and comprehensive loss.</w:t>
      </w:r>
    </w:p>
    <w:p>
      <w:pPr>
        <w:sectPr>
          <w:pgSz w:w="12240" w:h="15840" w:orient="portrait"/>
          <w:cols w:equalWidth="0" w:num="1">
            <w:col w:w="10200"/>
          </w:cols>
          <w:pgMar w:left="1020" w:top="1310" w:right="1020" w:bottom="556" w:gutter="0" w:footer="0" w:header="0"/>
        </w:sect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F-22</w:t>
      </w:r>
    </w:p>
    <w:p>
      <w:pPr>
        <w:sectPr>
          <w:pgSz w:w="12240" w:h="15840" w:orient="portrait"/>
          <w:cols w:equalWidth="0" w:num="1">
            <w:col w:w="10200"/>
          </w:cols>
          <w:pgMar w:left="1020" w:top="1310" w:right="1020" w:bottom="556" w:gutter="0" w:footer="0" w:header="0"/>
          <w:type w:val="continuous"/>
        </w:sectPr>
      </w:pPr>
    </w:p>
    <w:bookmarkStart w:id="145" w:name="page146"/>
    <w:bookmarkEnd w:id="145"/>
    <w:p>
      <w:pPr>
        <w:jc w:val="both"/>
        <w:spacing w:after="0" w:line="236" w:lineRule="auto"/>
        <w:rPr>
          <w:sz w:val="20"/>
          <w:szCs w:val="20"/>
          <w:color w:val="auto"/>
        </w:rPr>
      </w:pPr>
      <w:r>
        <w:rPr>
          <w:rFonts w:ascii="Times New Roman" w:cs="Times New Roman" w:eastAsia="Times New Roman" w:hAnsi="Times New Roman"/>
          <w:sz w:val="19"/>
          <w:szCs w:val="19"/>
          <w:color w:val="auto"/>
        </w:rPr>
        <w:t>The exercisability of the prefunded warrants and common stock warrants is subject to limitations on exercise. Specifically, a holder will be prohibited from exercising any portion of any warrant if immediately prior to or following such exercise such holder (together with its affiliates) would beneficially own more than 4.99% (or up to 19.99% at the election of the holder) of the Company’s issued and outstanding common stock immediately after giving effect to the exercise, as such percentage ownership is determined in accordance with the terms of the warrant. However, any holder of any warrant may increase or decrease such percentage to any other percentage not in excess of 19.99%, provided that any such increase will not be effective until the 61st day after notice from the holder is delivered to the Company.</w:t>
      </w:r>
    </w:p>
    <w:p>
      <w:pPr>
        <w:spacing w:after="0" w:line="243"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9"/>
          <w:szCs w:val="19"/>
          <w:color w:val="auto"/>
        </w:rPr>
        <w:t>During the year ended December 31, 2025, 524,033 prefunded warrants were exercised and 4,238,500 prefunded warrants remain outstanding as of December 31, 2025.</w:t>
      </w:r>
    </w:p>
    <w:p>
      <w:pPr>
        <w:spacing w:after="0" w:line="239"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9"/>
          <w:szCs w:val="19"/>
          <w:color w:val="auto"/>
        </w:rPr>
        <w:t>Each Series A warrant became exercisable on December 1, 2025, with an exercise price of $10.50 per share of common stock, and will expire on June 5, 2030. During the year ended December 31, 2025, no Series A warrants were exercised and 4,762,533 Series A warrants remain outstanding as of December 31, 2025.</w:t>
      </w:r>
    </w:p>
    <w:p>
      <w:pPr>
        <w:spacing w:after="0" w:line="23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Each Series B warrant became exercisable on November 1, 2025 and was exercisable through December 31, 2025. During the year ended December 31, 2025, 3,443,388 of the Series B warrants were exercised for 1,008,415 shares of common stock and 2,434,973 prefunded warrants in lieu of shares of common stock. The Company received $35.8 million in total gross proceeds from the exercise of the Series B warrants, before deducting underwriting discounts and commissions and any offering expenses. The remaining 1,319,145 Series B warrants were not exercised and expired on December 31, 2025. In addition, 1,319,145 Series C warrants expired according to their terms on December 31, 2025 in connection with the expiration of unexercised Series B warrants, and 3,443,388 of the Series C warrants remained outstanding as of December 31, 2025.</w:t>
      </w:r>
    </w:p>
    <w:p>
      <w:pPr>
        <w:spacing w:after="0" w:line="24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Each remaining Series C warrant will be exercisable on or after June 1, 2026, with an exercise price of $10.50 per share of common stock, and will expire on December 2, 2026. In addition, if the closing sale price of the Company’s common stock is below the exercise price on December 2, 2026, the exercise price will reset to the closing sale price on December 1, 2026 and the expiration time will be extended to December 31, 2026.</w:t>
      </w:r>
    </w:p>
    <w:p>
      <w:pPr>
        <w:spacing w:after="0" w:line="24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The prefunded warrants and Series A warrants may be exercised for cash or on a net exercise or “cashless” basis, and the Series C warrants may be exercised for cash or on a net exercise or “cashless” basis in the event there is no effective registration statement or prospectus available which covers the Series C warrants and shares of common stock issuable upon exercise of the Series C warrants. There can be no assurance that any of the warrants that remain outstanding as of December 31, 2025 will be exercised for cash or at all, and it is possible that the remaining outstanding common stock warrants may expire without being exercised. If all of the outstanding Series C warrants are exercised for cash at their current exercise price of $10.50 per warrant, the Company will receive up to $36.2 million in additional total gross proceeds by the end of 2026, before deducting underwriting discounts and commissions and any offering expenses.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Private Placement</w:t>
      </w:r>
    </w:p>
    <w:p>
      <w:pPr>
        <w:spacing w:after="0" w:line="26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In March 2024, the Company entered into a securities purchase agreement with certain existing accredited investors pursuant to which the Company issued and sold an aggregate of 139,508 shares of its common stock at a purchase price of $8.96 per share and, in lieu of shares of the Company’s common stock, prefunded warrants to purchase up to an aggregate of 1,116,237 shares of its common stock at a purchase price of $8.9586 per prefunded warrant, through a private placement. The prefunded warrants are exercisable any time at an exercise price of $0.0014 per share. The private placement closed in April 2024. The Company received aggregate gross proceeds of $11.3 million from the private placement, before deducting placement agent fees and expenses payable by the Company. The shares of common stock issued and sold in the private placement were registered for resale pursuant to the Company’s registration statement on Form S-3 filed with the SEC on April 30, 2024, which became effective on May 6, 2024.</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“At-The-Market” Offering Program</w:t>
      </w:r>
    </w:p>
    <w:p>
      <w:pPr>
        <w:spacing w:after="0" w:line="26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In November 2022, the Company filed a universal shelf registration statement on Form S-3 with the SEC to register for sale up to $250.0 million of its common stock, preferred stock, debt securities, units and warrants, which the Company could issue and sell from time to time in one or more offerings, which became effective on November 18, 2022 (333-268264) (the “Prior S-3 Shelf”). In November 2022, the Company entered into a sales agreement (the “Cowen Sales Agreement”) with Cowen and Company LLC under which the Company could issue and sell shares of its common stock, from time to time, having an aggregate offering price of up to $75.0 million under a sales agreement prospectus filed as part of the Prior S-3 Shelf. During the year ended December 31, 2024, the Company issued and sold 500,000 shares of its common stock pursuant to the Cowen Sales Agreement at a price of $14.00 per share for aggregate gross proceeds of $7.0 million. During the year ended December 31, 2025, the Company issued and sold an additional 110,747 shares of its common stock pursuant to the Cowen Sales Agreement at a weighted average price of $18.69 per share for</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F-23</w:t>
      </w:r>
    </w:p>
    <w:p>
      <w:pPr>
        <w:sectPr>
          <w:pgSz w:w="12240" w:h="15840" w:orient="portrait"/>
          <w:cols w:equalWidth="0" w:num="1">
            <w:col w:w="10200"/>
          </w:cols>
          <w:pgMar w:left="1020" w:top="1347" w:right="1020" w:bottom="556" w:gutter="0" w:footer="0" w:header="0"/>
        </w:sectPr>
      </w:pPr>
    </w:p>
    <w:bookmarkStart w:id="146" w:name="page147"/>
    <w:bookmarkEnd w:id="146"/>
    <w:p>
      <w:pPr>
        <w:jc w:val="both"/>
        <w:spacing w:after="0" w:line="237" w:lineRule="auto"/>
        <w:rPr>
          <w:sz w:val="20"/>
          <w:szCs w:val="20"/>
          <w:color w:val="auto"/>
        </w:rPr>
      </w:pPr>
      <w:r>
        <w:rPr>
          <w:rFonts w:ascii="Times New Roman" w:cs="Times New Roman" w:eastAsia="Times New Roman" w:hAnsi="Times New Roman"/>
          <w:sz w:val="19"/>
          <w:szCs w:val="19"/>
          <w:color w:val="auto"/>
        </w:rPr>
        <w:t>aggregate gross proceeds of approximately $2.1 million. In March 2025, the Company filed a universal shelf registration statement on Form S-3 with the SEC to register for sale up to $250.0 million of its common stock, preferred stock, debt securities, units and warrants, which the Company may issue and sell from time to time in one or more offerings, which became effective on May 8, 2025 (333-285703) (the “New S-3 Shelf”). In March 2025, the Company terminated the Cowen Sales Agreement, and the Company entered into a new sales agreement with Leerink Partners, LLC (the “Leerink Sales Agreement”), under which the Company may issue and sell shares of its common stock from time to time at an aggregate offering price of up to $50.0 million. In February 2026, the Company filed a prospectus supplement to its prospectus filed May 8, 2025 (333-285793) to reduce the amount of common stock it may offer and sell under the sales agreement to an aggregate offering price of up to $9.5 million. Prior to the effectiveness of the New S-3 Shelf, the offering of shares under the Leerink Sales Agreement was registered under the Prior S-3 Shelf. In connection with the effectiveness of the New S-3 Shelf, the registration of such offering under the Prior S-3 Shelf was terminated and such offering was registered under the New S-3 Shelf.</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Shares Reserved for Future Issuance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Company has reserved for future issuances the following shares of common stock underlying the securities issued below as of</w:t>
      </w:r>
    </w:p>
    <w:p>
      <w:pPr>
        <w:spacing w:after="0" w:line="238" w:lineRule="auto"/>
        <w:rPr>
          <w:sz w:val="20"/>
          <w:szCs w:val="20"/>
          <w:color w:val="auto"/>
        </w:rPr>
      </w:pPr>
      <w:r>
        <w:rPr>
          <w:rFonts w:ascii="Times New Roman" w:cs="Times New Roman" w:eastAsia="Times New Roman" w:hAnsi="Times New Roman"/>
          <w:sz w:val="19"/>
          <w:szCs w:val="19"/>
          <w:color w:val="auto"/>
        </w:rPr>
        <w:t>December 31, 2025 and 2024:</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280" w:type="dxa"/>
            <w:vAlign w:val="bottom"/>
          </w:tcPr>
          <w:p>
            <w:pPr>
              <w:spacing w:after="0"/>
              <w:rPr>
                <w:sz w:val="15"/>
                <w:szCs w:val="15"/>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360" w:type="dxa"/>
            <w:vAlign w:val="bottom"/>
          </w:tcPr>
          <w:p>
            <w:pPr>
              <w:spacing w:after="0"/>
              <w:rPr>
                <w:sz w:val="15"/>
                <w:szCs w:val="15"/>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60" w:type="dxa"/>
            <w:vAlign w:val="bottom"/>
          </w:tcPr>
          <w:p>
            <w:pPr>
              <w:spacing w:after="0"/>
              <w:rPr>
                <w:sz w:val="15"/>
                <w:szCs w:val="15"/>
                <w:color w:val="auto"/>
              </w:rPr>
            </w:pPr>
          </w:p>
        </w:tc>
      </w:tr>
      <w:tr>
        <w:trPr>
          <w:trHeight w:val="187"/>
        </w:trPr>
        <w:tc>
          <w:tcPr>
            <w:tcW w:w="7280" w:type="dxa"/>
            <w:vAlign w:val="bottom"/>
          </w:tcPr>
          <w:p>
            <w:pPr>
              <w:spacing w:after="0"/>
              <w:rPr>
                <w:sz w:val="16"/>
                <w:szCs w:val="16"/>
                <w:color w:val="auto"/>
              </w:rPr>
            </w:pPr>
          </w:p>
        </w:tc>
        <w:tc>
          <w:tcPr>
            <w:tcW w:w="1200" w:type="dxa"/>
            <w:vAlign w:val="bottom"/>
          </w:tcPr>
          <w:p>
            <w:pPr>
              <w:jc w:val="right"/>
              <w:ind w:right="370"/>
              <w:spacing w:after="0"/>
              <w:rPr>
                <w:sz w:val="20"/>
                <w:szCs w:val="20"/>
                <w:color w:val="auto"/>
              </w:rPr>
            </w:pPr>
            <w:r>
              <w:rPr>
                <w:rFonts w:ascii="Times New Roman" w:cs="Times New Roman" w:eastAsia="Times New Roman" w:hAnsi="Times New Roman"/>
                <w:sz w:val="15"/>
                <w:szCs w:val="15"/>
                <w:b w:val="1"/>
                <w:bCs w:val="1"/>
                <w:color w:val="auto"/>
              </w:rPr>
              <w:t>2025</w:t>
            </w:r>
          </w:p>
        </w:tc>
        <w:tc>
          <w:tcPr>
            <w:tcW w:w="1660" w:type="dxa"/>
            <w:vAlign w:val="bottom"/>
            <w:gridSpan w:val="2"/>
          </w:tcPr>
          <w:p>
            <w:pPr>
              <w:jc w:val="right"/>
              <w:ind w:right="410"/>
              <w:spacing w:after="0"/>
              <w:rPr>
                <w:sz w:val="20"/>
                <w:szCs w:val="20"/>
                <w:color w:val="auto"/>
              </w:rPr>
            </w:pPr>
            <w:r>
              <w:rPr>
                <w:rFonts w:ascii="Times New Roman" w:cs="Times New Roman" w:eastAsia="Times New Roman" w:hAnsi="Times New Roman"/>
                <w:sz w:val="15"/>
                <w:szCs w:val="15"/>
                <w:b w:val="1"/>
                <w:bCs w:val="1"/>
                <w:color w:val="auto"/>
              </w:rPr>
              <w:t>2024</w:t>
            </w:r>
          </w:p>
        </w:tc>
        <w:tc>
          <w:tcPr>
            <w:tcW w:w="60" w:type="dxa"/>
            <w:vAlign w:val="bottom"/>
          </w:tcPr>
          <w:p>
            <w:pPr>
              <w:spacing w:after="0"/>
              <w:rPr>
                <w:sz w:val="16"/>
                <w:szCs w:val="16"/>
                <w:color w:val="auto"/>
              </w:rPr>
            </w:pPr>
          </w:p>
        </w:tc>
      </w:tr>
      <w:tr>
        <w:trPr>
          <w:trHeight w:val="44"/>
        </w:trPr>
        <w:tc>
          <w:tcPr>
            <w:tcW w:w="7280" w:type="dxa"/>
            <w:vAlign w:val="bottom"/>
            <w:tcBorders>
              <w:bottom w:val="single" w:sz="8" w:color="D5EEEE"/>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60" w:type="dxa"/>
            <w:vAlign w:val="bottom"/>
            <w:tcBorders>
              <w:bottom w:val="single" w:sz="8" w:color="D5EEEE"/>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60" w:type="dxa"/>
            <w:vAlign w:val="bottom"/>
            <w:tcBorders>
              <w:bottom w:val="single" w:sz="8" w:color="D5EEEE"/>
            </w:tcBorders>
          </w:tcPr>
          <w:p>
            <w:pPr>
              <w:spacing w:after="0"/>
              <w:rPr>
                <w:sz w:val="3"/>
                <w:szCs w:val="3"/>
                <w:color w:val="auto"/>
              </w:rPr>
            </w:pPr>
          </w:p>
        </w:tc>
      </w:tr>
      <w:tr>
        <w:trPr>
          <w:trHeight w:val="225"/>
        </w:trPr>
        <w:tc>
          <w:tcPr>
            <w:tcW w:w="7280" w:type="dxa"/>
            <w:vAlign w:val="bottom"/>
            <w:shd w:val="clear" w:color="auto" w:fill="D5EEEE"/>
          </w:tcPr>
          <w:p>
            <w:pPr>
              <w:spacing w:after="0"/>
              <w:rPr>
                <w:sz w:val="20"/>
                <w:szCs w:val="20"/>
                <w:color w:val="auto"/>
              </w:rPr>
            </w:pPr>
            <w:r>
              <w:rPr>
                <w:rFonts w:ascii="Times New Roman" w:cs="Times New Roman" w:eastAsia="Times New Roman" w:hAnsi="Times New Roman"/>
                <w:sz w:val="19"/>
                <w:szCs w:val="19"/>
                <w:color w:val="auto"/>
              </w:rPr>
              <w:t>Stock options and unvested restricted stock units</w:t>
            </w:r>
          </w:p>
        </w:tc>
        <w:tc>
          <w:tcPr>
            <w:tcW w:w="12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2,963,086</w:t>
            </w:r>
          </w:p>
        </w:tc>
        <w:tc>
          <w:tcPr>
            <w:tcW w:w="360" w:type="dxa"/>
            <w:vAlign w:val="bottom"/>
            <w:shd w:val="clear" w:color="auto" w:fill="D5EEEE"/>
          </w:tcPr>
          <w:p>
            <w:pPr>
              <w:spacing w:after="0"/>
              <w:rPr>
                <w:sz w:val="19"/>
                <w:szCs w:val="19"/>
                <w:color w:val="auto"/>
              </w:rPr>
            </w:pPr>
          </w:p>
        </w:tc>
        <w:tc>
          <w:tcPr>
            <w:tcW w:w="13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808,977</w:t>
            </w:r>
          </w:p>
        </w:tc>
        <w:tc>
          <w:tcPr>
            <w:tcW w:w="60" w:type="dxa"/>
            <w:vAlign w:val="bottom"/>
            <w:shd w:val="clear" w:color="auto" w:fill="D5EEEE"/>
          </w:tcPr>
          <w:p>
            <w:pPr>
              <w:spacing w:after="0"/>
              <w:rPr>
                <w:sz w:val="19"/>
                <w:szCs w:val="19"/>
                <w:color w:val="auto"/>
              </w:rPr>
            </w:pPr>
          </w:p>
        </w:tc>
      </w:tr>
      <w:tr>
        <w:trPr>
          <w:trHeight w:val="230"/>
        </w:trPr>
        <w:tc>
          <w:tcPr>
            <w:tcW w:w="7280" w:type="dxa"/>
            <w:vAlign w:val="bottom"/>
          </w:tcPr>
          <w:p>
            <w:pPr>
              <w:spacing w:after="0"/>
              <w:rPr>
                <w:sz w:val="20"/>
                <w:szCs w:val="20"/>
                <w:color w:val="auto"/>
              </w:rPr>
            </w:pPr>
            <w:r>
              <w:rPr>
                <w:rFonts w:ascii="Times New Roman" w:cs="Times New Roman" w:eastAsia="Times New Roman" w:hAnsi="Times New Roman"/>
                <w:sz w:val="19"/>
                <w:szCs w:val="19"/>
                <w:color w:val="auto"/>
              </w:rPr>
              <w:t>Employee stock purchase plan</w:t>
            </w: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89,603</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64,372</w:t>
            </w:r>
          </w:p>
        </w:tc>
        <w:tc>
          <w:tcPr>
            <w:tcW w:w="60" w:type="dxa"/>
            <w:vAlign w:val="bottom"/>
          </w:tcPr>
          <w:p>
            <w:pPr>
              <w:spacing w:after="0"/>
              <w:rPr>
                <w:sz w:val="20"/>
                <w:szCs w:val="20"/>
                <w:color w:val="auto"/>
              </w:rPr>
            </w:pPr>
          </w:p>
        </w:tc>
      </w:tr>
      <w:tr>
        <w:trPr>
          <w:trHeight w:val="231"/>
        </w:trPr>
        <w:tc>
          <w:tcPr>
            <w:tcW w:w="7280" w:type="dxa"/>
            <w:vAlign w:val="bottom"/>
            <w:shd w:val="clear" w:color="auto" w:fill="D5EEEE"/>
          </w:tcPr>
          <w:p>
            <w:pPr>
              <w:spacing w:after="0"/>
              <w:rPr>
                <w:sz w:val="20"/>
                <w:szCs w:val="20"/>
                <w:color w:val="auto"/>
              </w:rPr>
            </w:pPr>
            <w:r>
              <w:rPr>
                <w:rFonts w:ascii="Times New Roman" w:cs="Times New Roman" w:eastAsia="Times New Roman" w:hAnsi="Times New Roman"/>
                <w:sz w:val="19"/>
                <w:szCs w:val="19"/>
                <w:color w:val="auto"/>
              </w:rPr>
              <w:t>Common stock in process of settlement at period end</w:t>
            </w:r>
          </w:p>
        </w:tc>
        <w:tc>
          <w:tcPr>
            <w:tcW w:w="12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708,215</w:t>
            </w:r>
          </w:p>
        </w:tc>
        <w:tc>
          <w:tcPr>
            <w:tcW w:w="360" w:type="dxa"/>
            <w:vAlign w:val="bottom"/>
            <w:shd w:val="clear" w:color="auto" w:fill="D5EEEE"/>
          </w:tcPr>
          <w:p>
            <w:pPr>
              <w:spacing w:after="0"/>
              <w:rPr>
                <w:sz w:val="20"/>
                <w:szCs w:val="20"/>
                <w:color w:val="auto"/>
              </w:rPr>
            </w:pPr>
          </w:p>
        </w:tc>
        <w:tc>
          <w:tcPr>
            <w:tcW w:w="13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shd w:val="clear" w:color="auto" w:fill="D5EEEE"/>
          </w:tcPr>
          <w:p>
            <w:pPr>
              <w:spacing w:after="0"/>
              <w:rPr>
                <w:sz w:val="20"/>
                <w:szCs w:val="20"/>
                <w:color w:val="auto"/>
              </w:rPr>
            </w:pPr>
          </w:p>
        </w:tc>
      </w:tr>
      <w:tr>
        <w:trPr>
          <w:trHeight w:val="230"/>
        </w:trPr>
        <w:tc>
          <w:tcPr>
            <w:tcW w:w="7280" w:type="dxa"/>
            <w:vAlign w:val="bottom"/>
          </w:tcPr>
          <w:p>
            <w:pPr>
              <w:spacing w:after="0"/>
              <w:rPr>
                <w:sz w:val="20"/>
                <w:szCs w:val="20"/>
                <w:color w:val="auto"/>
              </w:rPr>
            </w:pPr>
            <w:r>
              <w:rPr>
                <w:rFonts w:ascii="Times New Roman" w:cs="Times New Roman" w:eastAsia="Times New Roman" w:hAnsi="Times New Roman"/>
                <w:sz w:val="19"/>
                <w:szCs w:val="19"/>
                <w:color w:val="auto"/>
              </w:rPr>
              <w:t>Prefunded warrants</w:t>
            </w: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8,502,224</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1,828,751</w:t>
            </w:r>
          </w:p>
        </w:tc>
        <w:tc>
          <w:tcPr>
            <w:tcW w:w="60" w:type="dxa"/>
            <w:vAlign w:val="bottom"/>
          </w:tcPr>
          <w:p>
            <w:pPr>
              <w:spacing w:after="0"/>
              <w:rPr>
                <w:sz w:val="20"/>
                <w:szCs w:val="20"/>
                <w:color w:val="auto"/>
              </w:rPr>
            </w:pPr>
          </w:p>
        </w:tc>
      </w:tr>
      <w:tr>
        <w:trPr>
          <w:trHeight w:val="230"/>
        </w:trPr>
        <w:tc>
          <w:tcPr>
            <w:tcW w:w="7280" w:type="dxa"/>
            <w:vAlign w:val="bottom"/>
            <w:shd w:val="clear" w:color="auto" w:fill="D5EEEE"/>
          </w:tcPr>
          <w:p>
            <w:pPr>
              <w:spacing w:after="0"/>
              <w:rPr>
                <w:sz w:val="20"/>
                <w:szCs w:val="20"/>
                <w:color w:val="auto"/>
              </w:rPr>
            </w:pPr>
            <w:r>
              <w:rPr>
                <w:rFonts w:ascii="Times New Roman" w:cs="Times New Roman" w:eastAsia="Times New Roman" w:hAnsi="Times New Roman"/>
                <w:sz w:val="19"/>
                <w:szCs w:val="19"/>
                <w:color w:val="auto"/>
              </w:rPr>
              <w:t>Common stock warrants</w:t>
            </w:r>
          </w:p>
        </w:tc>
        <w:tc>
          <w:tcPr>
            <w:tcW w:w="12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8,206,109</w:t>
            </w:r>
          </w:p>
        </w:tc>
        <w:tc>
          <w:tcPr>
            <w:tcW w:w="360" w:type="dxa"/>
            <w:vAlign w:val="bottom"/>
            <w:shd w:val="clear" w:color="auto" w:fill="D5EEEE"/>
          </w:tcPr>
          <w:p>
            <w:pPr>
              <w:spacing w:after="0"/>
              <w:rPr>
                <w:sz w:val="20"/>
                <w:szCs w:val="20"/>
                <w:color w:val="auto"/>
              </w:rPr>
            </w:pPr>
          </w:p>
        </w:tc>
        <w:tc>
          <w:tcPr>
            <w:tcW w:w="13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188</w:t>
            </w:r>
          </w:p>
        </w:tc>
        <w:tc>
          <w:tcPr>
            <w:tcW w:w="60" w:type="dxa"/>
            <w:vAlign w:val="bottom"/>
            <w:shd w:val="clear" w:color="auto" w:fill="D5EEEE"/>
          </w:tcPr>
          <w:p>
            <w:pPr>
              <w:spacing w:after="0"/>
              <w:rPr>
                <w:sz w:val="20"/>
                <w:szCs w:val="20"/>
                <w:color w:val="auto"/>
              </w:rPr>
            </w:pPr>
          </w:p>
        </w:tc>
      </w:tr>
      <w:tr>
        <w:trPr>
          <w:trHeight w:val="225"/>
        </w:trPr>
        <w:tc>
          <w:tcPr>
            <w:tcW w:w="728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Total shares reserved for future issuance</w:t>
            </w: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20,469,237</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2,702,288</w:t>
            </w:r>
          </w:p>
        </w:tc>
        <w:tc>
          <w:tcPr>
            <w:tcW w:w="60" w:type="dxa"/>
            <w:vAlign w:val="bottom"/>
          </w:tcPr>
          <w:p>
            <w:pPr>
              <w:spacing w:after="0"/>
              <w:rPr>
                <w:sz w:val="19"/>
                <w:szCs w:val="19"/>
                <w:color w:val="auto"/>
              </w:rPr>
            </w:pPr>
          </w:p>
        </w:tc>
      </w:tr>
      <w:tr>
        <w:trPr>
          <w:trHeight w:val="20"/>
        </w:trPr>
        <w:tc>
          <w:tcPr>
            <w:tcW w:w="72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10. Stock-Based Compensation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Equity Incentive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2020 Stock Incentive Plan</w:t>
      </w:r>
    </w:p>
    <w:p>
      <w:pPr>
        <w:spacing w:after="0" w:line="26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9"/>
          <w:szCs w:val="19"/>
          <w:color w:val="auto"/>
        </w:rPr>
        <w:t>Under the 2020 Stock Incentive Plan (as amended, the “2020 Plan”), the Company was authorized to issue shares of common stock to the Company’s employees, officers, directors, consultants and advisors in the form of options, restricted stock awards or other stock-based awards.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2021 Stock Incentive Plan</w:t>
      </w:r>
    </w:p>
    <w:p>
      <w:pPr>
        <w:spacing w:after="0" w:line="26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In September 2021, the Company’s board of directors and stockholders adopted the 2021 Stock Incentive Plan (the “2021 Plan”), which became effective immediately prior to the Company’s initial public offering of common stock (“IPO”) in October 2021. Upon effectiveness of the 2021 Plan, the Company ceased granting awards under the 2020 Plan. The 2021 Plan provides for the grant of incentive stock options, nonstatutory stock options, stock appreciation rights, restricted stock awards, restricted stock units and other stock-based awards. The Company initially reserved 469,929 shares of common stock under the 2021 Plan. The 2021 Plan provides that the number of shares reserved and available for issuance under the 2021 Plan will be cumulatively increased on January 1 of each calendar year by 5% of the number of shares of common stock outstanding on such date or such lesser amount determined by the Company’s board of directors. As of December 31, 2025, there were 133,033 shares of common stock available for future issuance under the 2021 Plan. On January 1, 2026, the number of shares reserved for issuance under the 2021 Plan automatically increased by 226,931 shares.</w:t>
      </w:r>
    </w:p>
    <w:p>
      <w:pPr>
        <w:sectPr>
          <w:pgSz w:w="12240" w:h="15840" w:orient="portrait"/>
          <w:cols w:equalWidth="0" w:num="1">
            <w:col w:w="10200"/>
          </w:cols>
          <w:pgMar w:left="1020" w:top="1347" w:right="1020" w:bottom="5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F-24</w:t>
      </w:r>
    </w:p>
    <w:p>
      <w:pPr>
        <w:sectPr>
          <w:pgSz w:w="12240" w:h="15840" w:orient="portrait"/>
          <w:cols w:equalWidth="0" w:num="1">
            <w:col w:w="10200"/>
          </w:cols>
          <w:pgMar w:left="1020" w:top="1347" w:right="1020" w:bottom="556" w:gutter="0" w:footer="0" w:header="0"/>
          <w:type w:val="continuous"/>
        </w:sectPr>
      </w:pPr>
    </w:p>
    <w:bookmarkStart w:id="147" w:name="page148"/>
    <w:bookmarkEnd w:id="147"/>
    <w:p>
      <w:pPr>
        <w:spacing w:after="0"/>
        <w:rPr>
          <w:sz w:val="20"/>
          <w:szCs w:val="20"/>
          <w:color w:val="auto"/>
        </w:rPr>
      </w:pPr>
      <w:r>
        <w:rPr>
          <w:rFonts w:ascii="Times New Roman" w:cs="Times New Roman" w:eastAsia="Times New Roman" w:hAnsi="Times New Roman"/>
          <w:sz w:val="19"/>
          <w:szCs w:val="19"/>
          <w:i w:val="1"/>
          <w:iCs w:val="1"/>
          <w:color w:val="auto"/>
        </w:rPr>
        <w:t>2025 Stock Incentive Plan</w:t>
      </w:r>
    </w:p>
    <w:p>
      <w:pPr>
        <w:spacing w:after="0" w:line="26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In November 2025, the Company’s stockholders adopted the 2025 Stock Incentive Plan (the “2025 Plan”), which had previously been adopted by the Company’s board of directors subject to stockholder approval. The 2025 Plan provides for the grant of stock options to employees for 2,285,592 shares of common stock, divided into four equal tranches of 571,398 total shares per tranche, with each tranche of stock options tied to a tranche of the June 2025 warrants, which are further described in Note 9. All 2,285,592 shares of common stock available for grant under the 2025 Plan were granted on November 21, 2025, with an exercise price of $11.78 per share. The stock options vest as follows:</w:t>
      </w:r>
    </w:p>
    <w:p>
      <w:pPr>
        <w:spacing w:after="0" w:line="255" w:lineRule="exact"/>
        <w:rPr>
          <w:sz w:val="20"/>
          <w:szCs w:val="20"/>
          <w:color w:val="auto"/>
        </w:rPr>
      </w:pPr>
    </w:p>
    <w:p>
      <w:pPr>
        <w:ind w:left="920" w:right="160" w:hanging="458"/>
        <w:spacing w:after="0" w:line="232" w:lineRule="auto"/>
        <w:tabs>
          <w:tab w:leader="none" w:pos="920" w:val="left"/>
        </w:tabs>
        <w:numPr>
          <w:ilvl w:val="0"/>
          <w:numId w:val="83"/>
        </w:numPr>
        <w:rPr>
          <w:rFonts w:ascii="Arial" w:cs="Arial" w:eastAsia="Arial" w:hAnsi="Arial"/>
          <w:sz w:val="19"/>
          <w:szCs w:val="19"/>
          <w:color w:val="auto"/>
        </w:rPr>
      </w:pPr>
      <w:r>
        <w:rPr>
          <w:rFonts w:ascii="Times New Roman" w:cs="Times New Roman" w:eastAsia="Times New Roman" w:hAnsi="Times New Roman"/>
          <w:sz w:val="19"/>
          <w:szCs w:val="19"/>
          <w:color w:val="auto"/>
        </w:rPr>
        <w:t>The first tranche (the "Tranche 1 Stock Options") vest in equal monthly installments over a period of three years, subject to the employee continuing to provide services to the Company on each vesting date.</w:t>
      </w:r>
    </w:p>
    <w:p>
      <w:pPr>
        <w:spacing w:after="0" w:line="251" w:lineRule="exact"/>
        <w:rPr>
          <w:rFonts w:ascii="Arial" w:cs="Arial" w:eastAsia="Arial" w:hAnsi="Arial"/>
          <w:sz w:val="19"/>
          <w:szCs w:val="19"/>
          <w:color w:val="auto"/>
        </w:rPr>
      </w:pPr>
    </w:p>
    <w:p>
      <w:pPr>
        <w:ind w:left="920" w:right="20" w:hanging="458"/>
        <w:spacing w:after="0" w:line="236" w:lineRule="auto"/>
        <w:tabs>
          <w:tab w:leader="none" w:pos="920" w:val="left"/>
        </w:tabs>
        <w:numPr>
          <w:ilvl w:val="0"/>
          <w:numId w:val="83"/>
        </w:numPr>
        <w:rPr>
          <w:rFonts w:ascii="Arial" w:cs="Arial" w:eastAsia="Arial" w:hAnsi="Arial"/>
          <w:sz w:val="19"/>
          <w:szCs w:val="19"/>
          <w:color w:val="auto"/>
        </w:rPr>
      </w:pPr>
      <w:r>
        <w:rPr>
          <w:rFonts w:ascii="Times New Roman" w:cs="Times New Roman" w:eastAsia="Times New Roman" w:hAnsi="Times New Roman"/>
          <w:sz w:val="19"/>
          <w:szCs w:val="19"/>
          <w:color w:val="auto"/>
        </w:rPr>
        <w:t>The second tranche (the "Tranche 2 Stock Options") will become eligible to vest based the portion of Tranche 2 Stock Options that equal the percentage of the Series A warrants that are exercised by December 31 of each of 2025, 2026, 2027, 2028, and 2029 and on June 30, 2030 (each defined as the “Tranche 2 Measurement Date”). The Tranche 2 Stock Options will vest in three equal installments with one-third vesting on the Tranche 2 Measurement Date and the remaining two-thirds vesting in equal annual installments on each of the subsequent two anniversaries thereafter.</w:t>
      </w:r>
    </w:p>
    <w:p>
      <w:pPr>
        <w:spacing w:after="0" w:line="251" w:lineRule="exact"/>
        <w:rPr>
          <w:rFonts w:ascii="Arial" w:cs="Arial" w:eastAsia="Arial" w:hAnsi="Arial"/>
          <w:sz w:val="19"/>
          <w:szCs w:val="19"/>
          <w:color w:val="auto"/>
        </w:rPr>
      </w:pPr>
    </w:p>
    <w:p>
      <w:pPr>
        <w:ind w:left="920" w:right="40" w:hanging="458"/>
        <w:spacing w:after="0" w:line="235" w:lineRule="auto"/>
        <w:tabs>
          <w:tab w:leader="none" w:pos="920" w:val="left"/>
        </w:tabs>
        <w:numPr>
          <w:ilvl w:val="0"/>
          <w:numId w:val="83"/>
        </w:numPr>
        <w:rPr>
          <w:rFonts w:ascii="Arial" w:cs="Arial" w:eastAsia="Arial" w:hAnsi="Arial"/>
          <w:sz w:val="19"/>
          <w:szCs w:val="19"/>
          <w:color w:val="auto"/>
        </w:rPr>
      </w:pPr>
      <w:r>
        <w:rPr>
          <w:rFonts w:ascii="Times New Roman" w:cs="Times New Roman" w:eastAsia="Times New Roman" w:hAnsi="Times New Roman"/>
          <w:sz w:val="19"/>
          <w:szCs w:val="19"/>
          <w:color w:val="auto"/>
        </w:rPr>
        <w:t>The third tranche (the "Tranche 3 Stock Options") became eligible to vest based on the portion of Tranche 3 Stock Options that equaled the percentage of Series B warrants that were exercised by December 31, 2025. The Tranche 3 Stock Options vest in three equal installments with one-third vesting on December 31, 2025 and the remaining two-thirds vesting in equal annual installments on each of the subsequent two anniversaries thereafter.</w:t>
      </w:r>
    </w:p>
    <w:p>
      <w:pPr>
        <w:spacing w:after="0" w:line="252" w:lineRule="exact"/>
        <w:rPr>
          <w:rFonts w:ascii="Arial" w:cs="Arial" w:eastAsia="Arial" w:hAnsi="Arial"/>
          <w:sz w:val="19"/>
          <w:szCs w:val="19"/>
          <w:color w:val="auto"/>
        </w:rPr>
      </w:pPr>
    </w:p>
    <w:p>
      <w:pPr>
        <w:ind w:left="920" w:right="160" w:hanging="458"/>
        <w:spacing w:after="0" w:line="236" w:lineRule="auto"/>
        <w:tabs>
          <w:tab w:leader="none" w:pos="920" w:val="left"/>
        </w:tabs>
        <w:numPr>
          <w:ilvl w:val="0"/>
          <w:numId w:val="83"/>
        </w:numPr>
        <w:rPr>
          <w:rFonts w:ascii="Arial" w:cs="Arial" w:eastAsia="Arial" w:hAnsi="Arial"/>
          <w:sz w:val="19"/>
          <w:szCs w:val="19"/>
          <w:color w:val="auto"/>
        </w:rPr>
      </w:pPr>
      <w:r>
        <w:rPr>
          <w:rFonts w:ascii="Times New Roman" w:cs="Times New Roman" w:eastAsia="Times New Roman" w:hAnsi="Times New Roman"/>
          <w:sz w:val="19"/>
          <w:szCs w:val="19"/>
          <w:color w:val="auto"/>
        </w:rPr>
        <w:t>The fourth tranche (the "Tranche 4 Stock Options") will become eligible to vest based on the portion of the Tranche 4 Stock Options that equal the percentage of Series C warrants that are exercised or are cancelled due to the Company’s receipt of non-dilutive capital (see Note 9) by December 31, 2026. The Tranche 3 Stock Options will vest in three equal installments with one-third vesting on December 31, 2026 and the remaining two-thirds vesting in equal annual installments on each of the subsequent two anniversaries thereafter.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2022 Inducement Plan</w:t>
      </w:r>
    </w:p>
    <w:p>
      <w:pPr>
        <w:spacing w:after="0" w:line="26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In 2022, the Company’s board of directors adopted the 2022 Inducement Stock Incentive Plan pursuant to Nasdaq Rule 5635(c)(4) (the “2022 Inducement Plan”). In accordance with Rule 5635(c)(4), stock-based incentive awards under the 2022 Inducement Plan may only be made to a newly hired employee who has not previously been a member of the Company’s board of directors, or an employee who is being rehired following a bona fide period of non-employment by the Company as a material inducement to the employee’s entering into employment with the Company. The Company initially reserved 19,642 shares of the Company’s common stock for issuance under the 2022 Inducement Plan. The number of shares reserved for issuance under the 2022 Inducement Plan was increased by 35,714 shares in both November 2024 and March 2025. As of December 31, 2025, there were 21,085 shares of common stock available for future issuance under the 2022 Inducement Plan. In January 2026, the number of shares reserved for issuance under the 2022 Inducement Plan increased by an additional 32,485 shares.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2021 Employee Stock Purchase Plan</w:t>
      </w:r>
    </w:p>
    <w:p>
      <w:pPr>
        <w:spacing w:after="0" w:line="26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In 2021, the Company’s board of directors and stockholders adopted the 2021 Employee Stock Purchase Plan (the “2021 ESPP”), which became effective immediately prior to the IPO in October 2021. The Company initially reserved 20,859 shares of common stock for issuance under the 2021 ESPP. The 2021 ESPP provides that the number of shares of common stock reserved for issuance under the 2021 ESPP will be cumulatively increased on January 1 of each calendar year by 1% of the number of shares of the Company’s common stock outstanding on such date or such lesser amount determined by the Company’s board of directors (up to a maximum increase of 41,718 shares of common stock per year). During years ended December 31, 2025 and 2024, the Company issued 7,508 shares of common stock and 5,423 shares of common stock under the 2021 ESPP, respectively. As of December 31, 2025, there were 89,603 shares available for future issuance under the 2021 ESPP. On January 1, 2026, the number of shares reserved for issuance under the 2021 ESPP was increased by 41,718 shares.</w:t>
      </w:r>
    </w:p>
    <w:p>
      <w:pPr>
        <w:sectPr>
          <w:pgSz w:w="12240" w:h="15840" w:orient="portrait"/>
          <w:cols w:equalWidth="0" w:num="1">
            <w:col w:w="10200"/>
          </w:cols>
          <w:pgMar w:left="1020" w:top="1310" w:right="1020" w:bottom="5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F-25</w:t>
      </w:r>
    </w:p>
    <w:p>
      <w:pPr>
        <w:sectPr>
          <w:pgSz w:w="12240" w:h="15840" w:orient="portrait"/>
          <w:cols w:equalWidth="0" w:num="1">
            <w:col w:w="10200"/>
          </w:cols>
          <w:pgMar w:left="1020" w:top="1310" w:right="1020" w:bottom="556" w:gutter="0" w:footer="0" w:header="0"/>
          <w:type w:val="continuous"/>
        </w:sectPr>
      </w:pPr>
    </w:p>
    <w:bookmarkStart w:id="148" w:name="page149"/>
    <w:bookmarkEnd w:id="148"/>
    <w:p>
      <w:pPr>
        <w:spacing w:after="0"/>
        <w:rPr>
          <w:sz w:val="20"/>
          <w:szCs w:val="20"/>
          <w:color w:val="auto"/>
        </w:rPr>
      </w:pPr>
      <w:r>
        <w:rPr>
          <w:rFonts w:ascii="Times New Roman" w:cs="Times New Roman" w:eastAsia="Times New Roman" w:hAnsi="Times New Roman"/>
          <w:sz w:val="19"/>
          <w:szCs w:val="19"/>
          <w:b w:val="1"/>
          <w:bCs w:val="1"/>
          <w:i w:val="1"/>
          <w:iCs w:val="1"/>
          <w:color w:val="auto"/>
        </w:rPr>
        <w:t>Stock-Based Compensation Expense</w:t>
      </w:r>
    </w:p>
    <w:p>
      <w:pPr>
        <w:spacing w:after="0" w:line="26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9"/>
          <w:szCs w:val="19"/>
          <w:color w:val="auto"/>
        </w:rPr>
        <w:t>During the years ended December 31, 2025 and 2024, the Company recorded compensation expense related to stock options, restricted stock units and restricted common stock for employees and non-employees and share purchases under the 2021 ESPP for employees, which was allocated as follows in the consolidated statements of operations and comprehensive loss: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0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740" w:type="dxa"/>
            <w:vAlign w:val="bottom"/>
            <w:gridSpan w:val="4"/>
          </w:tcPr>
          <w:p>
            <w:pPr>
              <w:jc w:val="right"/>
              <w:ind w:right="186"/>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1"/>
        </w:trPr>
        <w:tc>
          <w:tcPr>
            <w:tcW w:w="5040" w:type="dxa"/>
            <w:vAlign w:val="bottom"/>
          </w:tcPr>
          <w:p>
            <w:pPr>
              <w:spacing w:after="0"/>
              <w:rPr>
                <w:sz w:val="17"/>
                <w:szCs w:val="17"/>
                <w:color w:val="auto"/>
              </w:rPr>
            </w:pPr>
          </w:p>
        </w:tc>
        <w:tc>
          <w:tcPr>
            <w:tcW w:w="278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52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2024</w:t>
            </w: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5"/>
        </w:trPr>
        <w:tc>
          <w:tcPr>
            <w:tcW w:w="5040" w:type="dxa"/>
            <w:vAlign w:val="bottom"/>
            <w:tcBorders>
              <w:top w:val="single" w:sz="8" w:color="D5EEEE"/>
            </w:tcBorders>
            <w:shd w:val="clear" w:color="auto" w:fill="D5EEEE"/>
          </w:tcPr>
          <w:p>
            <w:pPr>
              <w:spacing w:after="0"/>
              <w:rPr>
                <w:sz w:val="20"/>
                <w:szCs w:val="20"/>
                <w:color w:val="auto"/>
              </w:rPr>
            </w:pPr>
            <w:r>
              <w:rPr>
                <w:rFonts w:ascii="Times New Roman" w:cs="Times New Roman" w:eastAsia="Times New Roman" w:hAnsi="Times New Roman"/>
                <w:sz w:val="19"/>
                <w:szCs w:val="19"/>
                <w:color w:val="auto"/>
              </w:rPr>
              <w:t>Research and development expense</w:t>
            </w:r>
          </w:p>
        </w:tc>
        <w:tc>
          <w:tcPr>
            <w:tcW w:w="1860" w:type="dxa"/>
            <w:vAlign w:val="bottom"/>
            <w:tcBorders>
              <w:top w:val="single" w:sz="8" w:color="D5EEEE"/>
            </w:tcBorders>
            <w:shd w:val="clear" w:color="auto" w:fill="D5EEEE"/>
          </w:tcPr>
          <w:p>
            <w:pPr>
              <w:spacing w:after="0"/>
              <w:rPr>
                <w:sz w:val="19"/>
                <w:szCs w:val="19"/>
                <w:color w:val="auto"/>
              </w:rPr>
            </w:pPr>
          </w:p>
        </w:tc>
        <w:tc>
          <w:tcPr>
            <w:tcW w:w="920" w:type="dxa"/>
            <w:vAlign w:val="bottom"/>
            <w:tcBorders>
              <w:top w:val="single" w:sz="8" w:color="auto"/>
            </w:tcBorders>
            <w:shd w:val="clear" w:color="auto" w:fill="D5EEEE"/>
          </w:tcPr>
          <w:p>
            <w:pPr>
              <w:jc w:val="right"/>
              <w:ind w:right="732"/>
              <w:spacing w:after="0"/>
              <w:rPr>
                <w:sz w:val="20"/>
                <w:szCs w:val="20"/>
                <w:color w:val="auto"/>
              </w:rPr>
            </w:pPr>
            <w:r>
              <w:rPr>
                <w:rFonts w:ascii="Times New Roman" w:cs="Times New Roman" w:eastAsia="Times New Roman" w:hAnsi="Times New Roman"/>
                <w:sz w:val="19"/>
                <w:szCs w:val="19"/>
                <w:color w:val="auto"/>
                <w:w w:val="83"/>
              </w:rPr>
              <w:t>$</w:t>
            </w:r>
          </w:p>
        </w:tc>
        <w:tc>
          <w:tcPr>
            <w:tcW w:w="52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2,066</w:t>
            </w:r>
          </w:p>
        </w:tc>
        <w:tc>
          <w:tcPr>
            <w:tcW w:w="360" w:type="dxa"/>
            <w:vAlign w:val="bottom"/>
            <w:tcBorders>
              <w:top w:val="single" w:sz="8" w:color="D5EEEE"/>
            </w:tcBorders>
            <w:shd w:val="clear" w:color="auto" w:fill="D5EEEE"/>
          </w:tcPr>
          <w:p>
            <w:pPr>
              <w:spacing w:after="0"/>
              <w:rPr>
                <w:sz w:val="19"/>
                <w:szCs w:val="19"/>
                <w:color w:val="auto"/>
              </w:rPr>
            </w:pPr>
          </w:p>
        </w:tc>
        <w:tc>
          <w:tcPr>
            <w:tcW w:w="940" w:type="dxa"/>
            <w:vAlign w:val="bottom"/>
            <w:tcBorders>
              <w:top w:val="single" w:sz="8" w:color="auto"/>
            </w:tcBorders>
            <w:shd w:val="clear" w:color="auto" w:fill="D5EEEE"/>
          </w:tcPr>
          <w:p>
            <w:pPr>
              <w:jc w:val="right"/>
              <w:ind w:right="746"/>
              <w:spacing w:after="0"/>
              <w:rPr>
                <w:sz w:val="20"/>
                <w:szCs w:val="20"/>
                <w:color w:val="auto"/>
              </w:rPr>
            </w:pPr>
            <w:r>
              <w:rPr>
                <w:rFonts w:ascii="Times New Roman" w:cs="Times New Roman" w:eastAsia="Times New Roman" w:hAnsi="Times New Roman"/>
                <w:sz w:val="19"/>
                <w:szCs w:val="19"/>
                <w:color w:val="auto"/>
                <w:w w:val="83"/>
              </w:rPr>
              <w:t>$</w:t>
            </w:r>
          </w:p>
        </w:tc>
        <w:tc>
          <w:tcPr>
            <w:tcW w:w="50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1,652</w:t>
            </w:r>
          </w:p>
        </w:tc>
        <w:tc>
          <w:tcPr>
            <w:tcW w:w="60" w:type="dxa"/>
            <w:vAlign w:val="bottom"/>
            <w:tcBorders>
              <w:top w:val="single" w:sz="8" w:color="D5EEEE"/>
            </w:tcBorders>
            <w:shd w:val="clear" w:color="auto" w:fill="D5EEEE"/>
          </w:tcPr>
          <w:p>
            <w:pPr>
              <w:spacing w:after="0"/>
              <w:rPr>
                <w:sz w:val="19"/>
                <w:szCs w:val="19"/>
                <w:color w:val="auto"/>
              </w:rPr>
            </w:pPr>
          </w:p>
        </w:tc>
      </w:tr>
      <w:tr>
        <w:trPr>
          <w:trHeight w:val="230"/>
        </w:trPr>
        <w:tc>
          <w:tcPr>
            <w:tcW w:w="5040" w:type="dxa"/>
            <w:vAlign w:val="bottom"/>
            <w:tcBorders>
              <w:bottom w:val="single" w:sz="8" w:color="D5EEEE"/>
            </w:tcBorders>
          </w:tcPr>
          <w:p>
            <w:pPr>
              <w:spacing w:after="0"/>
              <w:rPr>
                <w:sz w:val="20"/>
                <w:szCs w:val="20"/>
                <w:color w:val="auto"/>
              </w:rPr>
            </w:pPr>
            <w:r>
              <w:rPr>
                <w:rFonts w:ascii="Times New Roman" w:cs="Times New Roman" w:eastAsia="Times New Roman" w:hAnsi="Times New Roman"/>
                <w:sz w:val="19"/>
                <w:szCs w:val="19"/>
                <w:color w:val="auto"/>
              </w:rPr>
              <w:t>General and administrative expense</w:t>
            </w:r>
          </w:p>
        </w:tc>
        <w:tc>
          <w:tcPr>
            <w:tcW w:w="1860" w:type="dxa"/>
            <w:vAlign w:val="bottom"/>
            <w:tcBorders>
              <w:bottom w:val="single" w:sz="8" w:color="D5EEEE"/>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4,873</w:t>
            </w:r>
          </w:p>
        </w:tc>
        <w:tc>
          <w:tcPr>
            <w:tcW w:w="360" w:type="dxa"/>
            <w:vAlign w:val="bottom"/>
            <w:tcBorders>
              <w:bottom w:val="single" w:sz="8" w:color="D5EEEE"/>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4,782</w:t>
            </w:r>
          </w:p>
        </w:tc>
        <w:tc>
          <w:tcPr>
            <w:tcW w:w="60" w:type="dxa"/>
            <w:vAlign w:val="bottom"/>
            <w:tcBorders>
              <w:bottom w:val="single" w:sz="8" w:color="D5EEEE"/>
            </w:tcBorders>
          </w:tcPr>
          <w:p>
            <w:pPr>
              <w:spacing w:after="0"/>
              <w:rPr>
                <w:sz w:val="20"/>
                <w:szCs w:val="20"/>
                <w:color w:val="auto"/>
              </w:rPr>
            </w:pPr>
          </w:p>
        </w:tc>
      </w:tr>
      <w:tr>
        <w:trPr>
          <w:trHeight w:val="245"/>
        </w:trPr>
        <w:tc>
          <w:tcPr>
            <w:tcW w:w="5040" w:type="dxa"/>
            <w:vAlign w:val="bottom"/>
            <w:tcBorders>
              <w:bottom w:val="single" w:sz="8" w:color="D5EEEE"/>
            </w:tcBorders>
            <w:shd w:val="clear" w:color="auto" w:fill="D5EEEE"/>
          </w:tcPr>
          <w:p>
            <w:pPr>
              <w:ind w:left="100"/>
              <w:spacing w:after="0"/>
              <w:rPr>
                <w:sz w:val="20"/>
                <w:szCs w:val="20"/>
                <w:color w:val="auto"/>
              </w:rPr>
            </w:pPr>
            <w:r>
              <w:rPr>
                <w:rFonts w:ascii="Times New Roman" w:cs="Times New Roman" w:eastAsia="Times New Roman" w:hAnsi="Times New Roman"/>
                <w:sz w:val="19"/>
                <w:szCs w:val="19"/>
                <w:color w:val="auto"/>
              </w:rPr>
              <w:t>Total stock-based compensation expense</w:t>
            </w:r>
          </w:p>
        </w:tc>
        <w:tc>
          <w:tcPr>
            <w:tcW w:w="1860" w:type="dxa"/>
            <w:vAlign w:val="bottom"/>
            <w:tcBorders>
              <w:bottom w:val="single" w:sz="8" w:color="D5EEEE"/>
            </w:tcBorders>
            <w:shd w:val="clear" w:color="auto" w:fill="D5EEEE"/>
          </w:tcPr>
          <w:p>
            <w:pPr>
              <w:spacing w:after="0"/>
              <w:rPr>
                <w:sz w:val="21"/>
                <w:szCs w:val="21"/>
                <w:color w:val="auto"/>
              </w:rPr>
            </w:pPr>
          </w:p>
        </w:tc>
        <w:tc>
          <w:tcPr>
            <w:tcW w:w="920" w:type="dxa"/>
            <w:vAlign w:val="bottom"/>
            <w:tcBorders>
              <w:bottom w:val="single" w:sz="8" w:color="auto"/>
            </w:tcBorders>
            <w:shd w:val="clear" w:color="auto" w:fill="D5EEEE"/>
          </w:tcPr>
          <w:p>
            <w:pPr>
              <w:jc w:val="right"/>
              <w:ind w:right="732"/>
              <w:spacing w:after="0"/>
              <w:rPr>
                <w:sz w:val="20"/>
                <w:szCs w:val="20"/>
                <w:color w:val="auto"/>
              </w:rPr>
            </w:pPr>
            <w:r>
              <w:rPr>
                <w:rFonts w:ascii="Times New Roman" w:cs="Times New Roman" w:eastAsia="Times New Roman" w:hAnsi="Times New Roman"/>
                <w:sz w:val="19"/>
                <w:szCs w:val="19"/>
                <w:color w:val="auto"/>
                <w:w w:val="83"/>
              </w:rPr>
              <w:t>$</w:t>
            </w:r>
          </w:p>
        </w:tc>
        <w:tc>
          <w:tcPr>
            <w:tcW w:w="5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6,939</w:t>
            </w:r>
          </w:p>
        </w:tc>
        <w:tc>
          <w:tcPr>
            <w:tcW w:w="360" w:type="dxa"/>
            <w:vAlign w:val="bottom"/>
            <w:tcBorders>
              <w:bottom w:val="single" w:sz="8" w:color="D5EEEE"/>
            </w:tcBorders>
            <w:shd w:val="clear" w:color="auto" w:fill="D5EEEE"/>
          </w:tcPr>
          <w:p>
            <w:pPr>
              <w:spacing w:after="0"/>
              <w:rPr>
                <w:sz w:val="21"/>
                <w:szCs w:val="21"/>
                <w:color w:val="auto"/>
              </w:rPr>
            </w:pPr>
          </w:p>
        </w:tc>
        <w:tc>
          <w:tcPr>
            <w:tcW w:w="940" w:type="dxa"/>
            <w:vAlign w:val="bottom"/>
            <w:tcBorders>
              <w:bottom w:val="single" w:sz="8" w:color="auto"/>
            </w:tcBorders>
            <w:shd w:val="clear" w:color="auto" w:fill="D5EEEE"/>
          </w:tcPr>
          <w:p>
            <w:pPr>
              <w:jc w:val="right"/>
              <w:ind w:right="746"/>
              <w:spacing w:after="0"/>
              <w:rPr>
                <w:sz w:val="20"/>
                <w:szCs w:val="20"/>
                <w:color w:val="auto"/>
              </w:rPr>
            </w:pPr>
            <w:r>
              <w:rPr>
                <w:rFonts w:ascii="Times New Roman" w:cs="Times New Roman" w:eastAsia="Times New Roman" w:hAnsi="Times New Roman"/>
                <w:sz w:val="19"/>
                <w:szCs w:val="19"/>
                <w:color w:val="auto"/>
                <w:w w:val="83"/>
              </w:rPr>
              <w:t>$</w:t>
            </w:r>
          </w:p>
        </w:tc>
        <w:tc>
          <w:tcPr>
            <w:tcW w:w="5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6,434</w:t>
            </w:r>
          </w:p>
        </w:tc>
        <w:tc>
          <w:tcPr>
            <w:tcW w:w="60" w:type="dxa"/>
            <w:vAlign w:val="bottom"/>
            <w:tcBorders>
              <w:bottom w:val="single" w:sz="8" w:color="D5EEEE"/>
            </w:tcBorders>
            <w:shd w:val="clear" w:color="auto" w:fill="D5EEEE"/>
          </w:tcPr>
          <w:p>
            <w:pPr>
              <w:spacing w:after="0"/>
              <w:rPr>
                <w:sz w:val="21"/>
                <w:szCs w:val="21"/>
                <w:color w:val="auto"/>
              </w:rPr>
            </w:pPr>
          </w:p>
        </w:tc>
      </w:tr>
      <w:tr>
        <w:trPr>
          <w:trHeight w:val="20"/>
        </w:trPr>
        <w:tc>
          <w:tcPr>
            <w:tcW w:w="50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4363720</wp:posOffset>
            </wp:positionH>
            <wp:positionV relativeFrom="paragraph">
              <wp:posOffset>-624840</wp:posOffset>
            </wp:positionV>
            <wp:extent cx="2092325" cy="36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8">
                      <a:extLst>
                        <a:ext uri="{28A0092B-C50C-407E-A947-70E740481C1C}"/>
                      </a:extLst>
                    </a:blip>
                    <a:srcRect/>
                    <a:stretch>
                      <a:fillRect/>
                    </a:stretch>
                  </pic:blipFill>
                  <pic:spPr bwMode="auto">
                    <a:xfrm>
                      <a:off x="0" y="0"/>
                      <a:ext cx="2092325" cy="36195"/>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Stock Options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 summary of stock option activity under the Company’s 2020 Plan, 2021 Plan, 2025 Plan and 2022 Inducement Plan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72390</wp:posOffset>
            </wp:positionV>
            <wp:extent cx="6477000" cy="7124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9">
                      <a:extLst>
                        <a:ext uri="{28A0092B-C50C-407E-A947-70E740481C1C}"/>
                      </a:extLst>
                    </a:blip>
                    <a:srcRect/>
                    <a:stretch>
                      <a:fillRect/>
                    </a:stretch>
                  </pic:blipFill>
                  <pic:spPr bwMode="auto">
                    <a:xfrm>
                      <a:off x="0" y="0"/>
                      <a:ext cx="6477000" cy="712470"/>
                    </a:xfrm>
                    <a:prstGeom prst="rect">
                      <a:avLst/>
                    </a:prstGeom>
                    <a:noFill/>
                  </pic:spPr>
                </pic:pic>
              </a:graphicData>
            </a:graphic>
          </wp:anchor>
        </w:drawing>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Weighted</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7"/>
        </w:trPr>
        <w:tc>
          <w:tcPr>
            <w:tcW w:w="40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Average</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7"/>
        </w:trPr>
        <w:tc>
          <w:tcPr>
            <w:tcW w:w="40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Remaining</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center"/>
              <w:ind w:right="96"/>
              <w:spacing w:after="0"/>
              <w:rPr>
                <w:sz w:val="20"/>
                <w:szCs w:val="20"/>
                <w:color w:val="auto"/>
              </w:rPr>
            </w:pPr>
            <w:r>
              <w:rPr>
                <w:rFonts w:ascii="Times New Roman" w:cs="Times New Roman" w:eastAsia="Times New Roman" w:hAnsi="Times New Roman"/>
                <w:sz w:val="15"/>
                <w:szCs w:val="15"/>
                <w:b w:val="1"/>
                <w:bCs w:val="1"/>
                <w:color w:val="auto"/>
              </w:rPr>
              <w:t>Aggregate</w:t>
            </w:r>
          </w:p>
        </w:tc>
        <w:tc>
          <w:tcPr>
            <w:tcW w:w="120" w:type="dxa"/>
            <w:vAlign w:val="bottom"/>
          </w:tcPr>
          <w:p>
            <w:pPr>
              <w:spacing w:after="0"/>
              <w:rPr>
                <w:sz w:val="16"/>
                <w:szCs w:val="16"/>
                <w:color w:val="auto"/>
              </w:rPr>
            </w:pPr>
          </w:p>
        </w:tc>
      </w:tr>
      <w:tr>
        <w:trPr>
          <w:trHeight w:val="187"/>
        </w:trPr>
        <w:tc>
          <w:tcPr>
            <w:tcW w:w="40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center"/>
              <w:ind w:right="131"/>
              <w:spacing w:after="0"/>
              <w:rPr>
                <w:sz w:val="20"/>
                <w:szCs w:val="20"/>
                <w:color w:val="auto"/>
              </w:rPr>
            </w:pPr>
            <w:r>
              <w:rPr>
                <w:rFonts w:ascii="Times New Roman" w:cs="Times New Roman" w:eastAsia="Times New Roman" w:hAnsi="Times New Roman"/>
                <w:sz w:val="15"/>
                <w:szCs w:val="15"/>
                <w:b w:val="1"/>
                <w:bCs w:val="1"/>
                <w:color w:val="auto"/>
              </w:rPr>
              <w:t>Weighted</w:t>
            </w:r>
          </w:p>
        </w:tc>
        <w:tc>
          <w:tcPr>
            <w:tcW w:w="22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Contractual</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center"/>
              <w:ind w:right="96"/>
              <w:spacing w:after="0"/>
              <w:rPr>
                <w:sz w:val="20"/>
                <w:szCs w:val="20"/>
                <w:color w:val="auto"/>
              </w:rPr>
            </w:pPr>
            <w:r>
              <w:rPr>
                <w:rFonts w:ascii="Times New Roman" w:cs="Times New Roman" w:eastAsia="Times New Roman" w:hAnsi="Times New Roman"/>
                <w:sz w:val="15"/>
                <w:szCs w:val="15"/>
                <w:b w:val="1"/>
                <w:bCs w:val="1"/>
                <w:color w:val="auto"/>
                <w:w w:val="98"/>
              </w:rPr>
              <w:t>Intrinsic</w:t>
            </w:r>
          </w:p>
        </w:tc>
        <w:tc>
          <w:tcPr>
            <w:tcW w:w="120" w:type="dxa"/>
            <w:vAlign w:val="bottom"/>
          </w:tcPr>
          <w:p>
            <w:pPr>
              <w:spacing w:after="0"/>
              <w:rPr>
                <w:sz w:val="16"/>
                <w:szCs w:val="16"/>
                <w:color w:val="auto"/>
              </w:rPr>
            </w:pPr>
          </w:p>
        </w:tc>
      </w:tr>
      <w:tr>
        <w:trPr>
          <w:trHeight w:val="208"/>
        </w:trPr>
        <w:tc>
          <w:tcPr>
            <w:tcW w:w="4040" w:type="dxa"/>
            <w:vAlign w:val="bottom"/>
          </w:tcPr>
          <w:p>
            <w:pPr>
              <w:spacing w:after="0"/>
              <w:rPr>
                <w:sz w:val="18"/>
                <w:szCs w:val="18"/>
                <w:color w:val="auto"/>
              </w:rPr>
            </w:pPr>
          </w:p>
        </w:tc>
        <w:tc>
          <w:tcPr>
            <w:tcW w:w="146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b w:val="1"/>
                <w:bCs w:val="1"/>
                <w:color w:val="auto"/>
              </w:rPr>
              <w:t>Number of</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center"/>
              <w:ind w:right="131"/>
              <w:spacing w:after="0"/>
              <w:rPr>
                <w:sz w:val="20"/>
                <w:szCs w:val="20"/>
                <w:color w:val="auto"/>
              </w:rPr>
            </w:pPr>
            <w:r>
              <w:rPr>
                <w:rFonts w:ascii="Times New Roman" w:cs="Times New Roman" w:eastAsia="Times New Roman" w:hAnsi="Times New Roman"/>
                <w:sz w:val="15"/>
                <w:szCs w:val="15"/>
                <w:b w:val="1"/>
                <w:bCs w:val="1"/>
                <w:color w:val="auto"/>
              </w:rPr>
              <w:t>Average</w:t>
            </w: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Term</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center"/>
              <w:ind w:right="96"/>
              <w:spacing w:after="0"/>
              <w:rPr>
                <w:sz w:val="20"/>
                <w:szCs w:val="20"/>
                <w:color w:val="auto"/>
              </w:rPr>
            </w:pPr>
            <w:r>
              <w:rPr>
                <w:rFonts w:ascii="Times New Roman" w:cs="Times New Roman" w:eastAsia="Times New Roman" w:hAnsi="Times New Roman"/>
                <w:sz w:val="15"/>
                <w:szCs w:val="15"/>
                <w:b w:val="1"/>
                <w:bCs w:val="1"/>
                <w:color w:val="auto"/>
                <w:w w:val="97"/>
              </w:rPr>
              <w:t xml:space="preserve">Value </w:t>
            </w:r>
            <w:r>
              <w:rPr>
                <w:rFonts w:ascii="Times New Roman" w:cs="Times New Roman" w:eastAsia="Times New Roman" w:hAnsi="Times New Roman"/>
                <w:sz w:val="18"/>
                <w:szCs w:val="18"/>
                <w:b w:val="1"/>
                <w:bCs w:val="1"/>
                <w:color w:val="auto"/>
                <w:w w:val="97"/>
                <w:vertAlign w:val="superscript"/>
              </w:rPr>
              <w:t>(1)</w:t>
            </w:r>
          </w:p>
        </w:tc>
        <w:tc>
          <w:tcPr>
            <w:tcW w:w="120" w:type="dxa"/>
            <w:vAlign w:val="bottom"/>
          </w:tcPr>
          <w:p>
            <w:pPr>
              <w:spacing w:after="0"/>
              <w:rPr>
                <w:sz w:val="18"/>
                <w:szCs w:val="18"/>
                <w:color w:val="auto"/>
              </w:rPr>
            </w:pPr>
          </w:p>
        </w:tc>
      </w:tr>
      <w:tr>
        <w:trPr>
          <w:trHeight w:val="167"/>
        </w:trPr>
        <w:tc>
          <w:tcPr>
            <w:tcW w:w="4040" w:type="dxa"/>
            <w:vAlign w:val="bottom"/>
          </w:tcPr>
          <w:p>
            <w:pPr>
              <w:spacing w:after="0"/>
              <w:rPr>
                <w:sz w:val="14"/>
                <w:szCs w:val="14"/>
                <w:color w:val="auto"/>
              </w:rPr>
            </w:pPr>
          </w:p>
        </w:tc>
        <w:tc>
          <w:tcPr>
            <w:tcW w:w="1460" w:type="dxa"/>
            <w:vAlign w:val="bottom"/>
            <w:gridSpan w:val="2"/>
          </w:tcPr>
          <w:p>
            <w:pPr>
              <w:jc w:val="right"/>
              <w:ind w:right="360"/>
              <w:spacing w:after="0" w:line="167" w:lineRule="exact"/>
              <w:rPr>
                <w:sz w:val="20"/>
                <w:szCs w:val="20"/>
                <w:color w:val="auto"/>
              </w:rPr>
            </w:pPr>
            <w:r>
              <w:rPr>
                <w:rFonts w:ascii="Times New Roman" w:cs="Times New Roman" w:eastAsia="Times New Roman" w:hAnsi="Times New Roman"/>
                <w:sz w:val="15"/>
                <w:szCs w:val="15"/>
                <w:b w:val="1"/>
                <w:bCs w:val="1"/>
                <w:color w:val="auto"/>
              </w:rPr>
              <w:t>Stock Options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center"/>
              <w:ind w:right="111"/>
              <w:spacing w:after="0" w:line="167" w:lineRule="exact"/>
              <w:rPr>
                <w:sz w:val="20"/>
                <w:szCs w:val="20"/>
                <w:color w:val="auto"/>
              </w:rPr>
            </w:pPr>
            <w:r>
              <w:rPr>
                <w:rFonts w:ascii="Times New Roman" w:cs="Times New Roman" w:eastAsia="Times New Roman" w:hAnsi="Times New Roman"/>
                <w:sz w:val="15"/>
                <w:szCs w:val="15"/>
                <w:b w:val="1"/>
                <w:bCs w:val="1"/>
                <w:color w:val="auto"/>
              </w:rPr>
              <w:t>Exercise Price</w:t>
            </w:r>
          </w:p>
        </w:tc>
        <w:tc>
          <w:tcPr>
            <w:tcW w:w="220" w:type="dxa"/>
            <w:vAlign w:val="bottom"/>
          </w:tcPr>
          <w:p>
            <w:pPr>
              <w:spacing w:after="0"/>
              <w:rPr>
                <w:sz w:val="14"/>
                <w:szCs w:val="14"/>
                <w:color w:val="auto"/>
              </w:rPr>
            </w:pPr>
          </w:p>
        </w:tc>
        <w:tc>
          <w:tcPr>
            <w:tcW w:w="1140" w:type="dxa"/>
            <w:vAlign w:val="bottom"/>
          </w:tcPr>
          <w:p>
            <w:pPr>
              <w:jc w:val="center"/>
              <w:spacing w:after="0" w:line="167" w:lineRule="exact"/>
              <w:rPr>
                <w:sz w:val="20"/>
                <w:szCs w:val="20"/>
                <w:color w:val="auto"/>
              </w:rPr>
            </w:pPr>
            <w:r>
              <w:rPr>
                <w:rFonts w:ascii="Times New Roman" w:cs="Times New Roman" w:eastAsia="Times New Roman" w:hAnsi="Times New Roman"/>
                <w:sz w:val="15"/>
                <w:szCs w:val="15"/>
                <w:b w:val="1"/>
                <w:bCs w:val="1"/>
                <w:color w:val="auto"/>
                <w:w w:val="99"/>
              </w:rPr>
              <w:t>(In years)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center"/>
              <w:ind w:right="96"/>
              <w:spacing w:after="0" w:line="167" w:lineRule="exact"/>
              <w:rPr>
                <w:sz w:val="20"/>
                <w:szCs w:val="20"/>
                <w:color w:val="auto"/>
              </w:rPr>
            </w:pPr>
            <w:r>
              <w:rPr>
                <w:rFonts w:ascii="Times New Roman" w:cs="Times New Roman" w:eastAsia="Times New Roman" w:hAnsi="Times New Roman"/>
                <w:sz w:val="15"/>
                <w:szCs w:val="15"/>
                <w:b w:val="1"/>
                <w:bCs w:val="1"/>
                <w:color w:val="auto"/>
              </w:rPr>
              <w:t>(In thousands)</w:t>
            </w:r>
          </w:p>
        </w:tc>
        <w:tc>
          <w:tcPr>
            <w:tcW w:w="120" w:type="dxa"/>
            <w:vAlign w:val="bottom"/>
          </w:tcPr>
          <w:p>
            <w:pPr>
              <w:spacing w:after="0"/>
              <w:rPr>
                <w:sz w:val="14"/>
                <w:szCs w:val="14"/>
                <w:color w:val="auto"/>
              </w:rPr>
            </w:pPr>
          </w:p>
        </w:tc>
      </w:tr>
      <w:tr>
        <w:trPr>
          <w:trHeight w:val="225"/>
        </w:trPr>
        <w:tc>
          <w:tcPr>
            <w:tcW w:w="4040" w:type="dxa"/>
            <w:vAlign w:val="bottom"/>
            <w:tcBorders>
              <w:top w:val="single" w:sz="8" w:color="D5EEEE"/>
            </w:tcBorders>
            <w:shd w:val="clear" w:color="auto" w:fill="D5EEEE"/>
          </w:tcPr>
          <w:p>
            <w:pPr>
              <w:spacing w:after="0"/>
              <w:rPr>
                <w:sz w:val="20"/>
                <w:szCs w:val="20"/>
                <w:color w:val="auto"/>
              </w:rPr>
            </w:pPr>
            <w:r>
              <w:rPr>
                <w:rFonts w:ascii="Times New Roman" w:cs="Times New Roman" w:eastAsia="Times New Roman" w:hAnsi="Times New Roman"/>
                <w:sz w:val="19"/>
                <w:szCs w:val="19"/>
                <w:color w:val="auto"/>
              </w:rPr>
              <w:t>Outstanding as of December 31, 2024</w:t>
            </w:r>
          </w:p>
        </w:tc>
        <w:tc>
          <w:tcPr>
            <w:tcW w:w="132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595,074</w:t>
            </w:r>
          </w:p>
        </w:tc>
        <w:tc>
          <w:tcPr>
            <w:tcW w:w="140" w:type="dxa"/>
            <w:vAlign w:val="bottom"/>
            <w:tcBorders>
              <w:top w:val="single" w:sz="8" w:color="D5EEEE"/>
            </w:tcBorders>
            <w:shd w:val="clear" w:color="auto" w:fill="D5EEEE"/>
          </w:tcPr>
          <w:p>
            <w:pPr>
              <w:spacing w:after="0"/>
              <w:rPr>
                <w:sz w:val="19"/>
                <w:szCs w:val="19"/>
                <w:color w:val="auto"/>
              </w:rPr>
            </w:pPr>
          </w:p>
        </w:tc>
        <w:tc>
          <w:tcPr>
            <w:tcW w:w="80" w:type="dxa"/>
            <w:vAlign w:val="bottom"/>
            <w:tcBorders>
              <w:top w:val="single" w:sz="8" w:color="D5EEEE"/>
            </w:tcBorders>
            <w:shd w:val="clear" w:color="auto" w:fill="D5EEEE"/>
          </w:tcPr>
          <w:p>
            <w:pPr>
              <w:spacing w:after="0"/>
              <w:rPr>
                <w:sz w:val="19"/>
                <w:szCs w:val="19"/>
                <w:color w:val="auto"/>
              </w:rPr>
            </w:pPr>
          </w:p>
        </w:tc>
        <w:tc>
          <w:tcPr>
            <w:tcW w:w="18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32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58.16</w:t>
            </w:r>
          </w:p>
        </w:tc>
        <w:tc>
          <w:tcPr>
            <w:tcW w:w="220" w:type="dxa"/>
            <w:vAlign w:val="bottom"/>
            <w:tcBorders>
              <w:top w:val="single" w:sz="8" w:color="D5EEEE"/>
            </w:tcBorders>
            <w:shd w:val="clear" w:color="auto" w:fill="D5EEEE"/>
          </w:tcPr>
          <w:p>
            <w:pPr>
              <w:spacing w:after="0"/>
              <w:rPr>
                <w:sz w:val="19"/>
                <w:szCs w:val="19"/>
                <w:color w:val="auto"/>
              </w:rPr>
            </w:pPr>
          </w:p>
        </w:tc>
        <w:tc>
          <w:tcPr>
            <w:tcW w:w="114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8.0</w:t>
            </w:r>
          </w:p>
        </w:tc>
        <w:tc>
          <w:tcPr>
            <w:tcW w:w="220" w:type="dxa"/>
            <w:vAlign w:val="bottom"/>
            <w:tcBorders>
              <w:top w:val="single" w:sz="8" w:color="D5EEEE"/>
            </w:tcBorders>
            <w:shd w:val="clear" w:color="auto" w:fill="D5EEEE"/>
          </w:tcPr>
          <w:p>
            <w:pPr>
              <w:spacing w:after="0"/>
              <w:rPr>
                <w:sz w:val="19"/>
                <w:szCs w:val="19"/>
                <w:color w:val="auto"/>
              </w:rPr>
            </w:pPr>
          </w:p>
        </w:tc>
        <w:tc>
          <w:tcPr>
            <w:tcW w:w="18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24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282</w:t>
            </w:r>
          </w:p>
        </w:tc>
        <w:tc>
          <w:tcPr>
            <w:tcW w:w="120" w:type="dxa"/>
            <w:vAlign w:val="bottom"/>
            <w:tcBorders>
              <w:top w:val="single" w:sz="8" w:color="D5EEEE"/>
            </w:tcBorders>
            <w:shd w:val="clear" w:color="auto" w:fill="D5EEEE"/>
          </w:tcPr>
          <w:p>
            <w:pPr>
              <w:spacing w:after="0"/>
              <w:rPr>
                <w:sz w:val="19"/>
                <w:szCs w:val="19"/>
                <w:color w:val="auto"/>
              </w:rPr>
            </w:pPr>
          </w:p>
        </w:tc>
      </w:tr>
      <w:tr>
        <w:trPr>
          <w:trHeight w:val="230"/>
        </w:trPr>
        <w:tc>
          <w:tcPr>
            <w:tcW w:w="4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2,565,163</w:t>
            </w:r>
          </w:p>
        </w:tc>
        <w:tc>
          <w:tcPr>
            <w:tcW w:w="14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11.86</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1"/>
        </w:trPr>
        <w:tc>
          <w:tcPr>
            <w:tcW w:w="4040" w:type="dxa"/>
            <w:vAlign w:val="bottom"/>
            <w:shd w:val="clear" w:color="auto" w:fill="D5EEEE"/>
          </w:tcPr>
          <w:p>
            <w:pPr>
              <w:ind w:left="100"/>
              <w:spacing w:after="0"/>
              <w:rPr>
                <w:sz w:val="20"/>
                <w:szCs w:val="20"/>
                <w:color w:val="auto"/>
              </w:rPr>
            </w:pPr>
            <w:r>
              <w:rPr>
                <w:rFonts w:ascii="Times New Roman" w:cs="Times New Roman" w:eastAsia="Times New Roman" w:hAnsi="Times New Roman"/>
                <w:sz w:val="19"/>
                <w:szCs w:val="19"/>
                <w:color w:val="auto"/>
              </w:rPr>
              <w:t>Exercised</w:t>
            </w:r>
          </w:p>
        </w:tc>
        <w:tc>
          <w:tcPr>
            <w:tcW w:w="1460" w:type="dxa"/>
            <w:vAlign w:val="bottom"/>
            <w:gridSpan w:val="2"/>
            <w:shd w:val="clear" w:color="auto" w:fill="D5EEEE"/>
          </w:tcPr>
          <w:p>
            <w:pPr>
              <w:jc w:val="right"/>
              <w:ind w:right="80"/>
              <w:spacing w:after="0"/>
              <w:rPr>
                <w:sz w:val="20"/>
                <w:szCs w:val="20"/>
                <w:color w:val="auto"/>
              </w:rPr>
            </w:pPr>
            <w:r>
              <w:rPr>
                <w:rFonts w:ascii="Times New Roman" w:cs="Times New Roman" w:eastAsia="Times New Roman" w:hAnsi="Times New Roman"/>
                <w:sz w:val="19"/>
                <w:szCs w:val="19"/>
                <w:color w:val="auto"/>
              </w:rPr>
              <w:t>(1,343)</w:t>
            </w:r>
          </w:p>
        </w:tc>
        <w:tc>
          <w:tcPr>
            <w:tcW w:w="26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3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8.28</w:t>
            </w:r>
          </w:p>
        </w:tc>
        <w:tc>
          <w:tcPr>
            <w:tcW w:w="220" w:type="dxa"/>
            <w:vAlign w:val="bottom"/>
            <w:shd w:val="clear" w:color="auto" w:fill="D5EEEE"/>
          </w:tcPr>
          <w:p>
            <w:pPr>
              <w:spacing w:after="0"/>
              <w:rPr>
                <w:sz w:val="20"/>
                <w:szCs w:val="20"/>
                <w:color w:val="auto"/>
              </w:rPr>
            </w:pPr>
          </w:p>
        </w:tc>
        <w:tc>
          <w:tcPr>
            <w:tcW w:w="1140" w:type="dxa"/>
            <w:vAlign w:val="bottom"/>
            <w:shd w:val="clear" w:color="auto" w:fill="D5EEEE"/>
          </w:tcPr>
          <w:p>
            <w:pPr>
              <w:spacing w:after="0"/>
              <w:rPr>
                <w:sz w:val="20"/>
                <w:szCs w:val="20"/>
                <w:color w:val="auto"/>
              </w:rPr>
            </w:pPr>
          </w:p>
        </w:tc>
        <w:tc>
          <w:tcPr>
            <w:tcW w:w="220" w:type="dxa"/>
            <w:vAlign w:val="bottom"/>
            <w:shd w:val="clear" w:color="auto" w:fill="D5EEEE"/>
          </w:tcPr>
          <w:p>
            <w:pPr>
              <w:spacing w:after="0"/>
              <w:rPr>
                <w:sz w:val="20"/>
                <w:szCs w:val="20"/>
                <w:color w:val="auto"/>
              </w:rPr>
            </w:pPr>
          </w:p>
        </w:tc>
        <w:tc>
          <w:tcPr>
            <w:tcW w:w="180" w:type="dxa"/>
            <w:vAlign w:val="bottom"/>
            <w:shd w:val="clear" w:color="auto" w:fill="D5EEEE"/>
          </w:tcPr>
          <w:p>
            <w:pPr>
              <w:spacing w:after="0"/>
              <w:rPr>
                <w:sz w:val="20"/>
                <w:szCs w:val="20"/>
                <w:color w:val="auto"/>
              </w:rPr>
            </w:pPr>
          </w:p>
        </w:tc>
        <w:tc>
          <w:tcPr>
            <w:tcW w:w="1240" w:type="dxa"/>
            <w:vAlign w:val="bottom"/>
            <w:shd w:val="clear" w:color="auto" w:fill="D5EEEE"/>
          </w:tcPr>
          <w:p>
            <w:pPr>
              <w:spacing w:after="0"/>
              <w:rPr>
                <w:sz w:val="20"/>
                <w:szCs w:val="20"/>
                <w:color w:val="auto"/>
              </w:rPr>
            </w:pPr>
          </w:p>
        </w:tc>
        <w:tc>
          <w:tcPr>
            <w:tcW w:w="120" w:type="dxa"/>
            <w:vAlign w:val="bottom"/>
            <w:shd w:val="clear" w:color="auto" w:fill="D5EEEE"/>
          </w:tcPr>
          <w:p>
            <w:pPr>
              <w:spacing w:after="0"/>
              <w:rPr>
                <w:sz w:val="20"/>
                <w:szCs w:val="20"/>
                <w:color w:val="auto"/>
              </w:rPr>
            </w:pPr>
          </w:p>
        </w:tc>
      </w:tr>
      <w:tr>
        <w:trPr>
          <w:trHeight w:val="230"/>
        </w:trPr>
        <w:tc>
          <w:tcPr>
            <w:tcW w:w="4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Canceled</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(321,676)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11.78</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50"/>
        </w:trPr>
        <w:tc>
          <w:tcPr>
            <w:tcW w:w="4040" w:type="dxa"/>
            <w:vAlign w:val="bottom"/>
            <w:shd w:val="clear" w:color="auto" w:fill="D5EEEE"/>
          </w:tcPr>
          <w:p>
            <w:pPr>
              <w:ind w:left="100"/>
              <w:spacing w:after="0"/>
              <w:rPr>
                <w:sz w:val="20"/>
                <w:szCs w:val="20"/>
                <w:color w:val="auto"/>
              </w:rPr>
            </w:pPr>
            <w:r>
              <w:rPr>
                <w:rFonts w:ascii="Times New Roman" w:cs="Times New Roman" w:eastAsia="Times New Roman" w:hAnsi="Times New Roman"/>
                <w:sz w:val="19"/>
                <w:szCs w:val="19"/>
                <w:color w:val="auto"/>
              </w:rPr>
              <w:t>Forfeited</w:t>
            </w:r>
          </w:p>
        </w:tc>
        <w:tc>
          <w:tcPr>
            <w:tcW w:w="1460" w:type="dxa"/>
            <w:vAlign w:val="bottom"/>
            <w:gridSpan w:val="2"/>
            <w:shd w:val="clear" w:color="auto" w:fill="D5EEEE"/>
          </w:tcPr>
          <w:p>
            <w:pPr>
              <w:jc w:val="right"/>
              <w:ind w:right="80"/>
              <w:spacing w:after="0"/>
              <w:rPr>
                <w:sz w:val="20"/>
                <w:szCs w:val="20"/>
                <w:color w:val="auto"/>
              </w:rPr>
            </w:pPr>
            <w:r>
              <w:rPr>
                <w:rFonts w:ascii="Times New Roman" w:cs="Times New Roman" w:eastAsia="Times New Roman" w:hAnsi="Times New Roman"/>
                <w:sz w:val="19"/>
                <w:szCs w:val="19"/>
                <w:color w:val="auto"/>
              </w:rPr>
              <w:t>(52,116)</w:t>
            </w:r>
          </w:p>
        </w:tc>
        <w:tc>
          <w:tcPr>
            <w:tcW w:w="26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3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50.00</w:t>
            </w:r>
          </w:p>
        </w:tc>
        <w:tc>
          <w:tcPr>
            <w:tcW w:w="220" w:type="dxa"/>
            <w:vAlign w:val="bottom"/>
            <w:shd w:val="clear" w:color="auto" w:fill="D5EEEE"/>
          </w:tcPr>
          <w:p>
            <w:pPr>
              <w:spacing w:after="0"/>
              <w:rPr>
                <w:sz w:val="21"/>
                <w:szCs w:val="21"/>
                <w:color w:val="auto"/>
              </w:rPr>
            </w:pPr>
          </w:p>
        </w:tc>
        <w:tc>
          <w:tcPr>
            <w:tcW w:w="1140" w:type="dxa"/>
            <w:vAlign w:val="bottom"/>
            <w:shd w:val="clear" w:color="auto" w:fill="D5EEEE"/>
          </w:tcPr>
          <w:p>
            <w:pPr>
              <w:spacing w:after="0"/>
              <w:rPr>
                <w:sz w:val="21"/>
                <w:szCs w:val="21"/>
                <w:color w:val="auto"/>
              </w:rPr>
            </w:pPr>
          </w:p>
        </w:tc>
        <w:tc>
          <w:tcPr>
            <w:tcW w:w="220" w:type="dxa"/>
            <w:vAlign w:val="bottom"/>
            <w:shd w:val="clear" w:color="auto" w:fill="D5EEEE"/>
          </w:tcPr>
          <w:p>
            <w:pPr>
              <w:spacing w:after="0"/>
              <w:rPr>
                <w:sz w:val="21"/>
                <w:szCs w:val="21"/>
                <w:color w:val="auto"/>
              </w:rPr>
            </w:pPr>
          </w:p>
        </w:tc>
        <w:tc>
          <w:tcPr>
            <w:tcW w:w="180" w:type="dxa"/>
            <w:vAlign w:val="bottom"/>
            <w:shd w:val="clear" w:color="auto" w:fill="D5EEEE"/>
          </w:tcPr>
          <w:p>
            <w:pPr>
              <w:spacing w:after="0"/>
              <w:rPr>
                <w:sz w:val="21"/>
                <w:szCs w:val="21"/>
                <w:color w:val="auto"/>
              </w:rPr>
            </w:pPr>
          </w:p>
        </w:tc>
        <w:tc>
          <w:tcPr>
            <w:tcW w:w="1240" w:type="dxa"/>
            <w:vAlign w:val="bottom"/>
            <w:shd w:val="clear" w:color="auto" w:fill="D5EEEE"/>
          </w:tcPr>
          <w:p>
            <w:pPr>
              <w:spacing w:after="0"/>
              <w:rPr>
                <w:sz w:val="21"/>
                <w:szCs w:val="21"/>
                <w:color w:val="auto"/>
              </w:rPr>
            </w:pPr>
          </w:p>
        </w:tc>
        <w:tc>
          <w:tcPr>
            <w:tcW w:w="120" w:type="dxa"/>
            <w:vAlign w:val="bottom"/>
            <w:shd w:val="clear" w:color="auto" w:fill="D5EEEE"/>
          </w:tcPr>
          <w:p>
            <w:pPr>
              <w:spacing w:after="0"/>
              <w:rPr>
                <w:sz w:val="21"/>
                <w:szCs w:val="21"/>
                <w:color w:val="auto"/>
              </w:rPr>
            </w:pPr>
          </w:p>
        </w:tc>
      </w:tr>
      <w:tr>
        <w:trPr>
          <w:trHeight w:val="245"/>
        </w:trPr>
        <w:tc>
          <w:tcPr>
            <w:tcW w:w="4040" w:type="dxa"/>
            <w:vAlign w:val="bottom"/>
            <w:tcBorders>
              <w:top w:val="single" w:sz="8" w:color="D5EEEE"/>
              <w:bottom w:val="single" w:sz="8" w:color="D5EEEE"/>
            </w:tcBorders>
          </w:tcPr>
          <w:p>
            <w:pPr>
              <w:spacing w:after="0" w:line="205" w:lineRule="exact"/>
              <w:rPr>
                <w:sz w:val="20"/>
                <w:szCs w:val="20"/>
                <w:color w:val="auto"/>
              </w:rPr>
            </w:pPr>
            <w:r>
              <w:rPr>
                <w:rFonts w:ascii="Times New Roman" w:cs="Times New Roman" w:eastAsia="Times New Roman" w:hAnsi="Times New Roman"/>
                <w:sz w:val="18"/>
                <w:szCs w:val="18"/>
                <w:color w:val="auto"/>
              </w:rPr>
              <w:t xml:space="preserve">Outstanding as of December 31, 2025 </w:t>
            </w:r>
            <w:r>
              <w:rPr>
                <w:rFonts w:ascii="Times New Roman" w:cs="Times New Roman" w:eastAsia="Times New Roman" w:hAnsi="Times New Roman"/>
                <w:sz w:val="23"/>
                <w:szCs w:val="23"/>
                <w:color w:val="auto"/>
                <w:vertAlign w:val="superscript"/>
              </w:rPr>
              <w:t>(2)</w:t>
            </w:r>
          </w:p>
        </w:tc>
        <w:tc>
          <w:tcPr>
            <w:tcW w:w="132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9"/>
                <w:szCs w:val="19"/>
                <w:color w:val="auto"/>
              </w:rPr>
              <w:t>2,785,102</w:t>
            </w:r>
          </w:p>
        </w:tc>
        <w:tc>
          <w:tcPr>
            <w:tcW w:w="140" w:type="dxa"/>
            <w:vAlign w:val="bottom"/>
            <w:tcBorders>
              <w:top w:val="single" w:sz="8" w:color="D5EEEE"/>
              <w:bottom w:val="single" w:sz="8" w:color="D5EEEE"/>
            </w:tcBorders>
          </w:tcPr>
          <w:p>
            <w:pPr>
              <w:spacing w:after="0"/>
              <w:rPr>
                <w:sz w:val="21"/>
                <w:szCs w:val="21"/>
                <w:color w:val="auto"/>
              </w:rPr>
            </w:pPr>
          </w:p>
        </w:tc>
        <w:tc>
          <w:tcPr>
            <w:tcW w:w="260" w:type="dxa"/>
            <w:vAlign w:val="bottom"/>
            <w:tcBorders>
              <w:top w:val="single" w:sz="8" w:color="D5EEEE"/>
              <w:bottom w:val="single" w:sz="8" w:color="D5EEEE"/>
            </w:tcBorders>
            <w:gridSpan w:val="2"/>
          </w:tcPr>
          <w:p>
            <w:pPr>
              <w:jc w:val="right"/>
              <w:spacing w:after="0" w:line="205" w:lineRule="exact"/>
              <w:rPr>
                <w:sz w:val="20"/>
                <w:szCs w:val="20"/>
                <w:color w:val="auto"/>
              </w:rPr>
            </w:pPr>
            <w:r>
              <w:rPr>
                <w:rFonts w:ascii="Times New Roman" w:cs="Times New Roman" w:eastAsia="Times New Roman" w:hAnsi="Times New Roman"/>
                <w:sz w:val="19"/>
                <w:szCs w:val="19"/>
                <w:color w:val="auto"/>
              </w:rPr>
              <w:t>$</w:t>
            </w:r>
          </w:p>
        </w:tc>
        <w:tc>
          <w:tcPr>
            <w:tcW w:w="1320" w:type="dxa"/>
            <w:vAlign w:val="bottom"/>
            <w:tcBorders>
              <w:top w:val="single" w:sz="8" w:color="D5EEEE"/>
              <w:bottom w:val="single" w:sz="8" w:color="D5EEEE"/>
            </w:tcBorders>
          </w:tcPr>
          <w:p>
            <w:pPr>
              <w:jc w:val="right"/>
              <w:spacing w:after="0" w:line="205" w:lineRule="exact"/>
              <w:rPr>
                <w:sz w:val="20"/>
                <w:szCs w:val="20"/>
                <w:color w:val="auto"/>
              </w:rPr>
            </w:pPr>
            <w:r>
              <w:rPr>
                <w:rFonts w:ascii="Times New Roman" w:cs="Times New Roman" w:eastAsia="Times New Roman" w:hAnsi="Times New Roman"/>
                <w:sz w:val="19"/>
                <w:szCs w:val="19"/>
                <w:color w:val="auto"/>
              </w:rPr>
              <w:t>14.40</w:t>
            </w:r>
          </w:p>
        </w:tc>
        <w:tc>
          <w:tcPr>
            <w:tcW w:w="1360" w:type="dxa"/>
            <w:vAlign w:val="bottom"/>
            <w:tcBorders>
              <w:top w:val="single" w:sz="8" w:color="D5EEEE"/>
              <w:bottom w:val="single" w:sz="8" w:color="D5EEEE"/>
            </w:tcBorders>
            <w:gridSpan w:val="2"/>
          </w:tcPr>
          <w:p>
            <w:pPr>
              <w:jc w:val="right"/>
              <w:spacing w:after="0" w:line="205" w:lineRule="exact"/>
              <w:rPr>
                <w:sz w:val="20"/>
                <w:szCs w:val="20"/>
                <w:color w:val="auto"/>
              </w:rPr>
            </w:pPr>
            <w:r>
              <w:rPr>
                <w:rFonts w:ascii="Times New Roman" w:cs="Times New Roman" w:eastAsia="Times New Roman" w:hAnsi="Times New Roman"/>
                <w:sz w:val="19"/>
                <w:szCs w:val="19"/>
                <w:color w:val="auto"/>
              </w:rPr>
              <w:t>9.1</w:t>
            </w:r>
          </w:p>
        </w:tc>
        <w:tc>
          <w:tcPr>
            <w:tcW w:w="400" w:type="dxa"/>
            <w:vAlign w:val="bottom"/>
            <w:tcBorders>
              <w:top w:val="single" w:sz="8" w:color="D5EEEE"/>
              <w:bottom w:val="single" w:sz="8" w:color="D5EEEE"/>
            </w:tcBorders>
            <w:gridSpan w:val="2"/>
          </w:tcPr>
          <w:p>
            <w:pPr>
              <w:jc w:val="right"/>
              <w:spacing w:after="0" w:line="205" w:lineRule="exact"/>
              <w:rPr>
                <w:sz w:val="20"/>
                <w:szCs w:val="20"/>
                <w:color w:val="auto"/>
              </w:rPr>
            </w:pPr>
            <w:r>
              <w:rPr>
                <w:rFonts w:ascii="Times New Roman" w:cs="Times New Roman" w:eastAsia="Times New Roman" w:hAnsi="Times New Roman"/>
                <w:sz w:val="19"/>
                <w:szCs w:val="19"/>
                <w:color w:val="auto"/>
              </w:rPr>
              <w:t>$</w:t>
            </w:r>
          </w:p>
        </w:tc>
        <w:tc>
          <w:tcPr>
            <w:tcW w:w="1240" w:type="dxa"/>
            <w:vAlign w:val="bottom"/>
            <w:tcBorders>
              <w:top w:val="single" w:sz="8" w:color="D5EEEE"/>
              <w:bottom w:val="single" w:sz="8" w:color="D5EEEE"/>
            </w:tcBorders>
          </w:tcPr>
          <w:p>
            <w:pPr>
              <w:jc w:val="right"/>
              <w:spacing w:after="0" w:line="205" w:lineRule="exact"/>
              <w:rPr>
                <w:sz w:val="20"/>
                <w:szCs w:val="20"/>
                <w:color w:val="auto"/>
              </w:rPr>
            </w:pPr>
            <w:r>
              <w:rPr>
                <w:rFonts w:ascii="Times New Roman" w:cs="Times New Roman" w:eastAsia="Times New Roman" w:hAnsi="Times New Roman"/>
                <w:sz w:val="19"/>
                <w:szCs w:val="19"/>
                <w:color w:val="auto"/>
              </w:rPr>
              <w:t>27</w:t>
            </w:r>
          </w:p>
        </w:tc>
        <w:tc>
          <w:tcPr>
            <w:tcW w:w="120" w:type="dxa"/>
            <w:vAlign w:val="bottom"/>
            <w:tcBorders>
              <w:top w:val="single" w:sz="8" w:color="D5EEEE"/>
              <w:bottom w:val="single" w:sz="8" w:color="D5EEEE"/>
            </w:tcBorders>
          </w:tcPr>
          <w:p>
            <w:pPr>
              <w:spacing w:after="0"/>
              <w:rPr>
                <w:sz w:val="21"/>
                <w:szCs w:val="21"/>
                <w:color w:val="auto"/>
              </w:rPr>
            </w:pPr>
          </w:p>
        </w:tc>
      </w:tr>
      <w:tr>
        <w:trPr>
          <w:trHeight w:val="233"/>
        </w:trPr>
        <w:tc>
          <w:tcPr>
            <w:tcW w:w="4040" w:type="dxa"/>
            <w:vAlign w:val="bottom"/>
            <w:tcBorders>
              <w:bottom w:val="single" w:sz="8" w:color="D5EEEE"/>
            </w:tcBorders>
            <w:shd w:val="clear" w:color="auto" w:fill="D5EEEE"/>
          </w:tcPr>
          <w:p>
            <w:pPr>
              <w:spacing w:after="0" w:line="213" w:lineRule="exact"/>
              <w:rPr>
                <w:sz w:val="20"/>
                <w:szCs w:val="20"/>
                <w:color w:val="auto"/>
              </w:rPr>
            </w:pPr>
            <w:r>
              <w:rPr>
                <w:rFonts w:ascii="Times New Roman" w:cs="Times New Roman" w:eastAsia="Times New Roman" w:hAnsi="Times New Roman"/>
                <w:sz w:val="19"/>
                <w:szCs w:val="19"/>
                <w:color w:val="auto"/>
              </w:rPr>
              <w:t xml:space="preserve">Exercisable as of December 31, 2025 </w:t>
            </w:r>
            <w:r>
              <w:rPr>
                <w:rFonts w:ascii="Times New Roman" w:cs="Times New Roman" w:eastAsia="Times New Roman" w:hAnsi="Times New Roman"/>
                <w:sz w:val="24"/>
                <w:szCs w:val="24"/>
                <w:color w:val="auto"/>
                <w:vertAlign w:val="superscript"/>
              </w:rPr>
              <w:t>(2)</w:t>
            </w:r>
          </w:p>
        </w:tc>
        <w:tc>
          <w:tcPr>
            <w:tcW w:w="1320" w:type="dxa"/>
            <w:vAlign w:val="bottom"/>
            <w:tcBorders>
              <w:bottom w:val="single" w:sz="8" w:color="auto"/>
            </w:tcBorders>
            <w:shd w:val="clear" w:color="auto" w:fill="D5EEEE"/>
          </w:tcPr>
          <w:p>
            <w:pPr>
              <w:jc w:val="right"/>
              <w:spacing w:after="0" w:line="212" w:lineRule="exact"/>
              <w:rPr>
                <w:sz w:val="20"/>
                <w:szCs w:val="20"/>
                <w:color w:val="auto"/>
              </w:rPr>
            </w:pPr>
            <w:r>
              <w:rPr>
                <w:rFonts w:ascii="Times New Roman" w:cs="Times New Roman" w:eastAsia="Times New Roman" w:hAnsi="Times New Roman"/>
                <w:sz w:val="19"/>
                <w:szCs w:val="19"/>
                <w:color w:val="auto"/>
              </w:rPr>
              <w:t>648,167</w:t>
            </w:r>
          </w:p>
        </w:tc>
        <w:tc>
          <w:tcPr>
            <w:tcW w:w="140" w:type="dxa"/>
            <w:vAlign w:val="bottom"/>
            <w:tcBorders>
              <w:bottom w:val="single" w:sz="8" w:color="D5EEEE"/>
            </w:tcBorders>
            <w:shd w:val="clear" w:color="auto" w:fill="D5EEEE"/>
          </w:tcPr>
          <w:p>
            <w:pPr>
              <w:spacing w:after="0"/>
              <w:rPr>
                <w:sz w:val="20"/>
                <w:szCs w:val="20"/>
                <w:color w:val="auto"/>
              </w:rPr>
            </w:pPr>
          </w:p>
        </w:tc>
        <w:tc>
          <w:tcPr>
            <w:tcW w:w="260" w:type="dxa"/>
            <w:vAlign w:val="bottom"/>
            <w:tcBorders>
              <w:bottom w:val="single" w:sz="8" w:color="D5EEEE"/>
            </w:tcBorders>
            <w:gridSpan w:val="2"/>
            <w:shd w:val="clear" w:color="auto" w:fill="D5EEEE"/>
          </w:tcPr>
          <w:p>
            <w:pPr>
              <w:jc w:val="right"/>
              <w:spacing w:after="0" w:line="212" w:lineRule="exact"/>
              <w:rPr>
                <w:sz w:val="20"/>
                <w:szCs w:val="20"/>
                <w:color w:val="auto"/>
              </w:rPr>
            </w:pPr>
            <w:r>
              <w:rPr>
                <w:rFonts w:ascii="Times New Roman" w:cs="Times New Roman" w:eastAsia="Times New Roman" w:hAnsi="Times New Roman"/>
                <w:sz w:val="19"/>
                <w:szCs w:val="19"/>
                <w:color w:val="auto"/>
              </w:rPr>
              <w:t>$</w:t>
            </w:r>
          </w:p>
        </w:tc>
        <w:tc>
          <w:tcPr>
            <w:tcW w:w="1320" w:type="dxa"/>
            <w:vAlign w:val="bottom"/>
            <w:tcBorders>
              <w:bottom w:val="single" w:sz="8" w:color="D5EEEE"/>
            </w:tcBorders>
            <w:shd w:val="clear" w:color="auto" w:fill="D5EEEE"/>
          </w:tcPr>
          <w:p>
            <w:pPr>
              <w:jc w:val="right"/>
              <w:spacing w:after="0" w:line="212" w:lineRule="exact"/>
              <w:rPr>
                <w:sz w:val="20"/>
                <w:szCs w:val="20"/>
                <w:color w:val="auto"/>
              </w:rPr>
            </w:pPr>
            <w:r>
              <w:rPr>
                <w:rFonts w:ascii="Times New Roman" w:cs="Times New Roman" w:eastAsia="Times New Roman" w:hAnsi="Times New Roman"/>
                <w:sz w:val="19"/>
                <w:szCs w:val="19"/>
                <w:color w:val="auto"/>
              </w:rPr>
              <w:t>22.31</w:t>
            </w:r>
          </w:p>
        </w:tc>
        <w:tc>
          <w:tcPr>
            <w:tcW w:w="1360" w:type="dxa"/>
            <w:vAlign w:val="bottom"/>
            <w:tcBorders>
              <w:bottom w:val="single" w:sz="8" w:color="D5EEEE"/>
            </w:tcBorders>
            <w:gridSpan w:val="2"/>
            <w:shd w:val="clear" w:color="auto" w:fill="D5EEEE"/>
          </w:tcPr>
          <w:p>
            <w:pPr>
              <w:jc w:val="right"/>
              <w:spacing w:after="0" w:line="212" w:lineRule="exact"/>
              <w:rPr>
                <w:sz w:val="20"/>
                <w:szCs w:val="20"/>
                <w:color w:val="auto"/>
              </w:rPr>
            </w:pPr>
            <w:r>
              <w:rPr>
                <w:rFonts w:ascii="Times New Roman" w:cs="Times New Roman" w:eastAsia="Times New Roman" w:hAnsi="Times New Roman"/>
                <w:sz w:val="19"/>
                <w:szCs w:val="19"/>
                <w:color w:val="auto"/>
              </w:rPr>
              <w:t>7.5</w:t>
            </w:r>
          </w:p>
        </w:tc>
        <w:tc>
          <w:tcPr>
            <w:tcW w:w="400" w:type="dxa"/>
            <w:vAlign w:val="bottom"/>
            <w:tcBorders>
              <w:bottom w:val="single" w:sz="8" w:color="D5EEEE"/>
            </w:tcBorders>
            <w:gridSpan w:val="2"/>
            <w:shd w:val="clear" w:color="auto" w:fill="D5EEEE"/>
          </w:tcPr>
          <w:p>
            <w:pPr>
              <w:jc w:val="right"/>
              <w:spacing w:after="0" w:line="212" w:lineRule="exact"/>
              <w:rPr>
                <w:sz w:val="20"/>
                <w:szCs w:val="20"/>
                <w:color w:val="auto"/>
              </w:rPr>
            </w:pPr>
            <w:r>
              <w:rPr>
                <w:rFonts w:ascii="Times New Roman" w:cs="Times New Roman" w:eastAsia="Times New Roman" w:hAnsi="Times New Roman"/>
                <w:sz w:val="19"/>
                <w:szCs w:val="19"/>
                <w:color w:val="auto"/>
              </w:rPr>
              <w:t>$</w:t>
            </w:r>
          </w:p>
        </w:tc>
        <w:tc>
          <w:tcPr>
            <w:tcW w:w="1240" w:type="dxa"/>
            <w:vAlign w:val="bottom"/>
            <w:tcBorders>
              <w:bottom w:val="single" w:sz="8" w:color="D5EEEE"/>
            </w:tcBorders>
            <w:shd w:val="clear" w:color="auto" w:fill="D5EEEE"/>
          </w:tcPr>
          <w:p>
            <w:pPr>
              <w:jc w:val="right"/>
              <w:spacing w:after="0" w:line="212" w:lineRule="exact"/>
              <w:rPr>
                <w:sz w:val="20"/>
                <w:szCs w:val="20"/>
                <w:color w:val="auto"/>
              </w:rPr>
            </w:pPr>
            <w:r>
              <w:rPr>
                <w:rFonts w:ascii="Times New Roman" w:cs="Times New Roman" w:eastAsia="Times New Roman" w:hAnsi="Times New Roman"/>
                <w:sz w:val="19"/>
                <w:szCs w:val="19"/>
                <w:color w:val="auto"/>
              </w:rPr>
              <w:t>13</w:t>
            </w:r>
          </w:p>
        </w:tc>
        <w:tc>
          <w:tcPr>
            <w:tcW w:w="120" w:type="dxa"/>
            <w:vAlign w:val="bottom"/>
            <w:tcBorders>
              <w:bottom w:val="single" w:sz="8" w:color="D5EEEE"/>
            </w:tcBorders>
            <w:shd w:val="clear" w:color="auto" w:fill="D5EEEE"/>
          </w:tcPr>
          <w:p>
            <w:pPr>
              <w:spacing w:after="0"/>
              <w:rPr>
                <w:sz w:val="20"/>
                <w:szCs w:val="20"/>
                <w:color w:val="auto"/>
              </w:rPr>
            </w:pPr>
          </w:p>
        </w:tc>
      </w:tr>
      <w:tr>
        <w:trPr>
          <w:trHeight w:val="20"/>
        </w:trPr>
        <w:tc>
          <w:tcPr>
            <w:tcW w:w="40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23" w:lineRule="exact"/>
        <w:rPr>
          <w:sz w:val="20"/>
          <w:szCs w:val="20"/>
          <w:color w:val="auto"/>
        </w:rPr>
      </w:pPr>
    </w:p>
    <w:p>
      <w:pPr>
        <w:jc w:val="both"/>
        <w:ind w:left="920" w:hanging="458"/>
        <w:spacing w:after="0" w:line="234" w:lineRule="auto"/>
        <w:tabs>
          <w:tab w:leader="none" w:pos="920"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 as of the end of the period.</w:t>
      </w:r>
    </w:p>
    <w:p>
      <w:pPr>
        <w:spacing w:after="0" w:line="239" w:lineRule="exact"/>
        <w:rPr>
          <w:rFonts w:ascii="Times New Roman" w:cs="Times New Roman" w:eastAsia="Times New Roman" w:hAnsi="Times New Roman"/>
          <w:sz w:val="19"/>
          <w:szCs w:val="19"/>
          <w:color w:val="auto"/>
        </w:rPr>
      </w:pPr>
    </w:p>
    <w:p>
      <w:pPr>
        <w:jc w:val="both"/>
        <w:ind w:left="920" w:hanging="458"/>
        <w:spacing w:after="0" w:line="234" w:lineRule="auto"/>
        <w:tabs>
          <w:tab w:leader="none" w:pos="920"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weighted-average exercise price per share of the options outstanding and exercisable as of December 31, 2025 includes the impact of the repricing of 71,591 and 282,609 options on November 21, 2025 at $14.00 and $21.00 per share, respectively.</w:t>
      </w:r>
    </w:p>
    <w:p>
      <w:pPr>
        <w:spacing w:after="0" w:line="23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As of December 31, 2025, the Company had unrecognized stock-based compensation expense of $18.6 million related to stock options issued to employees and directors, including $11.0 million of unrecognized stock-based compensation expense related to awards with performance conditions for which the likelihood of satisfying such performance conditions are considered probable, which is expected to be recognized over a weighted-average period 3.2 years.</w:t>
      </w:r>
    </w:p>
    <w:p>
      <w:pPr>
        <w:spacing w:after="0" w:line="24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9"/>
          <w:szCs w:val="19"/>
          <w:color w:val="auto"/>
        </w:rPr>
        <w:t>Using the Black-Scholes option pricing model, the weighted average fair value of options granted to employees and directors during years ended December 31, 2025 and 2024 was $8.54 and $9.24 per share, respectively. The following assumptions were used in determining the fair value of options granted during years ended December 31, 2025 and 2024:</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200" w:type="dxa"/>
            <w:vAlign w:val="bottom"/>
          </w:tcPr>
          <w:p>
            <w:pPr>
              <w:spacing w:after="0"/>
              <w:rPr>
                <w:sz w:val="15"/>
                <w:szCs w:val="15"/>
                <w:color w:val="auto"/>
              </w:rPr>
            </w:pPr>
          </w:p>
        </w:tc>
        <w:tc>
          <w:tcPr>
            <w:tcW w:w="3560" w:type="dxa"/>
            <w:vAlign w:val="bottom"/>
            <w:gridSpan w:val="4"/>
          </w:tcPr>
          <w:p>
            <w:pPr>
              <w:jc w:val="right"/>
              <w:ind w:right="626"/>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r>
      <w:tr>
        <w:trPr>
          <w:trHeight w:val="225"/>
        </w:trPr>
        <w:tc>
          <w:tcPr>
            <w:tcW w:w="6200" w:type="dxa"/>
            <w:vAlign w:val="bottom"/>
          </w:tcPr>
          <w:p>
            <w:pPr>
              <w:spacing w:after="0"/>
              <w:rPr>
                <w:sz w:val="19"/>
                <w:szCs w:val="19"/>
                <w:color w:val="auto"/>
              </w:rPr>
            </w:pPr>
          </w:p>
        </w:tc>
        <w:tc>
          <w:tcPr>
            <w:tcW w:w="1540" w:type="dxa"/>
            <w:vAlign w:val="bottom"/>
          </w:tcPr>
          <w:p>
            <w:pPr>
              <w:jc w:val="right"/>
              <w:ind w:right="312"/>
              <w:spacing w:after="0"/>
              <w:rPr>
                <w:sz w:val="20"/>
                <w:szCs w:val="20"/>
                <w:color w:val="auto"/>
              </w:rPr>
            </w:pPr>
            <w:r>
              <w:rPr>
                <w:rFonts w:ascii="Times New Roman" w:cs="Times New Roman" w:eastAsia="Times New Roman" w:hAnsi="Times New Roman"/>
                <w:sz w:val="15"/>
                <w:szCs w:val="15"/>
                <w:b w:val="1"/>
                <w:bCs w:val="1"/>
                <w:color w:val="auto"/>
              </w:rPr>
              <w:t>2025</w:t>
            </w:r>
          </w:p>
        </w:tc>
        <w:tc>
          <w:tcPr>
            <w:tcW w:w="440" w:type="dxa"/>
            <w:vAlign w:val="bottom"/>
          </w:tcPr>
          <w:p>
            <w:pPr>
              <w:spacing w:after="0"/>
              <w:rPr>
                <w:sz w:val="19"/>
                <w:szCs w:val="19"/>
                <w:color w:val="auto"/>
              </w:rPr>
            </w:pPr>
          </w:p>
        </w:tc>
        <w:tc>
          <w:tcPr>
            <w:tcW w:w="1580" w:type="dxa"/>
            <w:vAlign w:val="bottom"/>
            <w:gridSpan w:val="2"/>
          </w:tcPr>
          <w:p>
            <w:pPr>
              <w:jc w:val="right"/>
              <w:ind w:right="246"/>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25"/>
        </w:trPr>
        <w:tc>
          <w:tcPr>
            <w:tcW w:w="6200" w:type="dxa"/>
            <w:vAlign w:val="bottom"/>
            <w:tcBorders>
              <w:top w:val="single" w:sz="8" w:color="D5EEEE"/>
            </w:tcBorders>
            <w:shd w:val="clear" w:color="auto" w:fill="D5EEEE"/>
          </w:tcPr>
          <w:p>
            <w:pPr>
              <w:spacing w:after="0"/>
              <w:rPr>
                <w:sz w:val="20"/>
                <w:szCs w:val="20"/>
                <w:color w:val="auto"/>
              </w:rPr>
            </w:pPr>
            <w:r>
              <w:rPr>
                <w:rFonts w:ascii="Times New Roman" w:cs="Times New Roman" w:eastAsia="Times New Roman" w:hAnsi="Times New Roman"/>
                <w:sz w:val="19"/>
                <w:szCs w:val="19"/>
                <w:color w:val="auto"/>
              </w:rPr>
              <w:t>Risk-free interest rate</w:t>
            </w:r>
          </w:p>
        </w:tc>
        <w:tc>
          <w:tcPr>
            <w:tcW w:w="154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3.7 - 4.4</w:t>
            </w:r>
          </w:p>
        </w:tc>
        <w:tc>
          <w:tcPr>
            <w:tcW w:w="440" w:type="dxa"/>
            <w:vAlign w:val="bottom"/>
            <w:tcBorders>
              <w:top w:val="single" w:sz="8" w:color="auto"/>
            </w:tcBorders>
            <w:shd w:val="clear" w:color="auto" w:fill="D5EEEE"/>
          </w:tcPr>
          <w:p>
            <w:pPr>
              <w:jc w:val="right"/>
              <w:ind w:right="86"/>
              <w:spacing w:after="0"/>
              <w:rPr>
                <w:sz w:val="20"/>
                <w:szCs w:val="20"/>
                <w:color w:val="auto"/>
              </w:rPr>
            </w:pPr>
            <w:r>
              <w:rPr>
                <w:rFonts w:ascii="Times New Roman" w:cs="Times New Roman" w:eastAsia="Times New Roman" w:hAnsi="Times New Roman"/>
                <w:sz w:val="19"/>
                <w:szCs w:val="19"/>
                <w:color w:val="auto"/>
              </w:rPr>
              <w:t>%</w:t>
            </w:r>
          </w:p>
        </w:tc>
        <w:tc>
          <w:tcPr>
            <w:tcW w:w="180" w:type="dxa"/>
            <w:vAlign w:val="bottom"/>
            <w:tcBorders>
              <w:top w:val="single" w:sz="8" w:color="D5EEEE"/>
            </w:tcBorders>
            <w:shd w:val="clear" w:color="auto" w:fill="D5EEEE"/>
          </w:tcPr>
          <w:p>
            <w:pPr>
              <w:spacing w:after="0"/>
              <w:rPr>
                <w:sz w:val="19"/>
                <w:szCs w:val="19"/>
                <w:color w:val="auto"/>
              </w:rPr>
            </w:pPr>
          </w:p>
        </w:tc>
        <w:tc>
          <w:tcPr>
            <w:tcW w:w="140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3.5 - 4.6</w:t>
            </w:r>
          </w:p>
        </w:tc>
        <w:tc>
          <w:tcPr>
            <w:tcW w:w="100" w:type="dxa"/>
            <w:vAlign w:val="bottom"/>
            <w:tcBorders>
              <w:top w:val="single" w:sz="8" w:color="auto"/>
            </w:tcBorders>
            <w:shd w:val="clear" w:color="auto" w:fill="D5EEEE"/>
          </w:tcPr>
          <w:p>
            <w:pPr>
              <w:spacing w:after="0"/>
              <w:rPr>
                <w:sz w:val="19"/>
                <w:szCs w:val="19"/>
                <w:color w:val="auto"/>
              </w:rPr>
            </w:pPr>
          </w:p>
        </w:tc>
        <w:tc>
          <w:tcPr>
            <w:tcW w:w="340" w:type="dxa"/>
            <w:vAlign w:val="bottom"/>
            <w:tcBorders>
              <w:top w:val="single" w:sz="8" w:color="auto"/>
            </w:tcBorders>
            <w:shd w:val="clear" w:color="auto" w:fill="D5EEEE"/>
          </w:tcPr>
          <w:p>
            <w:pPr>
              <w:jc w:val="right"/>
              <w:ind w:right="86"/>
              <w:spacing w:after="0"/>
              <w:rPr>
                <w:sz w:val="20"/>
                <w:szCs w:val="20"/>
                <w:color w:val="auto"/>
              </w:rPr>
            </w:pPr>
            <w:r>
              <w:rPr>
                <w:rFonts w:ascii="Times New Roman" w:cs="Times New Roman" w:eastAsia="Times New Roman" w:hAnsi="Times New Roman"/>
                <w:sz w:val="19"/>
                <w:szCs w:val="19"/>
                <w:color w:val="auto"/>
                <w:w w:val="88"/>
              </w:rPr>
              <w:t>%</w:t>
            </w:r>
          </w:p>
        </w:tc>
      </w:tr>
      <w:tr>
        <w:trPr>
          <w:trHeight w:val="230"/>
        </w:trPr>
        <w:tc>
          <w:tcPr>
            <w:tcW w:w="6200" w:type="dxa"/>
            <w:vAlign w:val="bottom"/>
          </w:tcPr>
          <w:p>
            <w:pPr>
              <w:spacing w:after="0"/>
              <w:rPr>
                <w:sz w:val="20"/>
                <w:szCs w:val="20"/>
                <w:color w:val="auto"/>
              </w:rPr>
            </w:pPr>
            <w:r>
              <w:rPr>
                <w:rFonts w:ascii="Times New Roman" w:cs="Times New Roman" w:eastAsia="Times New Roman" w:hAnsi="Times New Roman"/>
                <w:sz w:val="19"/>
                <w:szCs w:val="19"/>
                <w:color w:val="auto"/>
              </w:rPr>
              <w:t>Expected dividend yield</w:t>
            </w:r>
          </w:p>
        </w:tc>
        <w:tc>
          <w:tcPr>
            <w:tcW w:w="1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w:t>
            </w:r>
          </w:p>
        </w:tc>
        <w:tc>
          <w:tcPr>
            <w:tcW w:w="440" w:type="dxa"/>
            <w:vAlign w:val="bottom"/>
          </w:tcPr>
          <w:p>
            <w:pPr>
              <w:jc w:val="right"/>
              <w:ind w:right="86"/>
              <w:spacing w:after="0"/>
              <w:rPr>
                <w:sz w:val="20"/>
                <w:szCs w:val="20"/>
                <w:color w:val="auto"/>
              </w:rPr>
            </w:pPr>
            <w:r>
              <w:rPr>
                <w:rFonts w:ascii="Times New Roman" w:cs="Times New Roman" w:eastAsia="Times New Roman" w:hAnsi="Times New Roman"/>
                <w:sz w:val="19"/>
                <w:szCs w:val="19"/>
                <w:color w:val="auto"/>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0</w:t>
            </w:r>
          </w:p>
        </w:tc>
        <w:tc>
          <w:tcPr>
            <w:tcW w:w="440" w:type="dxa"/>
            <w:vAlign w:val="bottom"/>
            <w:gridSpan w:val="2"/>
          </w:tcPr>
          <w:p>
            <w:pPr>
              <w:jc w:val="right"/>
              <w:ind w:right="86"/>
              <w:spacing w:after="0"/>
              <w:rPr>
                <w:sz w:val="20"/>
                <w:szCs w:val="20"/>
                <w:color w:val="auto"/>
              </w:rPr>
            </w:pPr>
            <w:r>
              <w:rPr>
                <w:rFonts w:ascii="Times New Roman" w:cs="Times New Roman" w:eastAsia="Times New Roman" w:hAnsi="Times New Roman"/>
                <w:sz w:val="19"/>
                <w:szCs w:val="19"/>
                <w:color w:val="auto"/>
              </w:rPr>
              <w:t>%</w:t>
            </w:r>
          </w:p>
        </w:tc>
      </w:tr>
      <w:tr>
        <w:trPr>
          <w:trHeight w:val="231"/>
        </w:trPr>
        <w:tc>
          <w:tcPr>
            <w:tcW w:w="6200" w:type="dxa"/>
            <w:vAlign w:val="bottom"/>
            <w:shd w:val="clear" w:color="auto" w:fill="D5EEEE"/>
          </w:tcPr>
          <w:p>
            <w:pPr>
              <w:spacing w:after="0"/>
              <w:rPr>
                <w:sz w:val="20"/>
                <w:szCs w:val="20"/>
                <w:color w:val="auto"/>
              </w:rPr>
            </w:pPr>
            <w:r>
              <w:rPr>
                <w:rFonts w:ascii="Times New Roman" w:cs="Times New Roman" w:eastAsia="Times New Roman" w:hAnsi="Times New Roman"/>
                <w:sz w:val="19"/>
                <w:szCs w:val="19"/>
                <w:color w:val="auto"/>
              </w:rPr>
              <w:t>Expected term (in years)</w:t>
            </w:r>
          </w:p>
        </w:tc>
        <w:tc>
          <w:tcPr>
            <w:tcW w:w="15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5.5 - 7.8</w:t>
            </w:r>
          </w:p>
        </w:tc>
        <w:tc>
          <w:tcPr>
            <w:tcW w:w="440" w:type="dxa"/>
            <w:vAlign w:val="bottom"/>
            <w:shd w:val="clear" w:color="auto" w:fill="D5EEEE"/>
          </w:tcPr>
          <w:p>
            <w:pPr>
              <w:spacing w:after="0"/>
              <w:rPr>
                <w:sz w:val="20"/>
                <w:szCs w:val="20"/>
                <w:color w:val="auto"/>
              </w:rPr>
            </w:pPr>
          </w:p>
        </w:tc>
        <w:tc>
          <w:tcPr>
            <w:tcW w:w="158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5.5 - 6.1</w:t>
            </w:r>
          </w:p>
        </w:tc>
        <w:tc>
          <w:tcPr>
            <w:tcW w:w="100" w:type="dxa"/>
            <w:vAlign w:val="bottom"/>
            <w:shd w:val="clear" w:color="auto" w:fill="D5EEEE"/>
          </w:tcPr>
          <w:p>
            <w:pPr>
              <w:spacing w:after="0"/>
              <w:rPr>
                <w:sz w:val="20"/>
                <w:szCs w:val="20"/>
                <w:color w:val="auto"/>
              </w:rPr>
            </w:pPr>
          </w:p>
        </w:tc>
        <w:tc>
          <w:tcPr>
            <w:tcW w:w="340" w:type="dxa"/>
            <w:vAlign w:val="bottom"/>
            <w:shd w:val="clear" w:color="auto" w:fill="D5EEEE"/>
          </w:tcPr>
          <w:p>
            <w:pPr>
              <w:spacing w:after="0"/>
              <w:rPr>
                <w:sz w:val="20"/>
                <w:szCs w:val="20"/>
                <w:color w:val="auto"/>
              </w:rPr>
            </w:pPr>
          </w:p>
        </w:tc>
      </w:tr>
      <w:tr>
        <w:trPr>
          <w:trHeight w:val="230"/>
        </w:trPr>
        <w:tc>
          <w:tcPr>
            <w:tcW w:w="6200" w:type="dxa"/>
            <w:vAlign w:val="bottom"/>
          </w:tcPr>
          <w:p>
            <w:pPr>
              <w:spacing w:after="0"/>
              <w:rPr>
                <w:sz w:val="20"/>
                <w:szCs w:val="20"/>
                <w:color w:val="auto"/>
              </w:rPr>
            </w:pPr>
            <w:r>
              <w:rPr>
                <w:rFonts w:ascii="Times New Roman" w:cs="Times New Roman" w:eastAsia="Times New Roman" w:hAnsi="Times New Roman"/>
                <w:sz w:val="19"/>
                <w:szCs w:val="19"/>
                <w:color w:val="auto"/>
              </w:rPr>
              <w:t>Expected volatility</w:t>
            </w:r>
          </w:p>
        </w:tc>
        <w:tc>
          <w:tcPr>
            <w:tcW w:w="1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94.5 - 102.2</w:t>
            </w:r>
          </w:p>
        </w:tc>
        <w:tc>
          <w:tcPr>
            <w:tcW w:w="440" w:type="dxa"/>
            <w:vAlign w:val="bottom"/>
          </w:tcPr>
          <w:p>
            <w:pPr>
              <w:jc w:val="right"/>
              <w:ind w:right="86"/>
              <w:spacing w:after="0"/>
              <w:rPr>
                <w:sz w:val="20"/>
                <w:szCs w:val="20"/>
                <w:color w:val="auto"/>
              </w:rPr>
            </w:pPr>
            <w:r>
              <w:rPr>
                <w:rFonts w:ascii="Times New Roman" w:cs="Times New Roman" w:eastAsia="Times New Roman" w:hAnsi="Times New Roman"/>
                <w:sz w:val="19"/>
                <w:szCs w:val="19"/>
                <w:color w:val="auto"/>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87.7 - 91.5</w:t>
            </w:r>
          </w:p>
        </w:tc>
        <w:tc>
          <w:tcPr>
            <w:tcW w:w="440" w:type="dxa"/>
            <w:vAlign w:val="bottom"/>
            <w:gridSpan w:val="2"/>
          </w:tcPr>
          <w:p>
            <w:pPr>
              <w:jc w:val="right"/>
              <w:ind w:right="86"/>
              <w:spacing w:after="0"/>
              <w:rPr>
                <w:sz w:val="20"/>
                <w:szCs w:val="20"/>
                <w:color w:val="auto"/>
              </w:rPr>
            </w:pPr>
            <w:r>
              <w:rPr>
                <w:rFonts w:ascii="Times New Roman" w:cs="Times New Roman" w:eastAsia="Times New Roman" w:hAnsi="Times New Roman"/>
                <w:sz w:val="19"/>
                <w:szCs w:val="19"/>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-762000</wp:posOffset>
            </wp:positionV>
            <wp:extent cx="2360930" cy="361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0">
                      <a:extLst>
                        <a:ext uri="{28A0092B-C50C-407E-A947-70E740481C1C}"/>
                      </a:extLst>
                    </a:blip>
                    <a:srcRect/>
                    <a:stretch>
                      <a:fillRect/>
                    </a:stretch>
                  </pic:blipFill>
                  <pic:spPr bwMode="auto">
                    <a:xfrm>
                      <a:off x="0" y="0"/>
                      <a:ext cx="2360930" cy="3619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Stock Option Repricing</w:t>
      </w:r>
    </w:p>
    <w:p>
      <w:pPr>
        <w:spacing w:after="0" w:line="262" w:lineRule="exact"/>
        <w:rPr>
          <w:sz w:val="20"/>
          <w:szCs w:val="20"/>
          <w:color w:val="auto"/>
        </w:rPr>
      </w:pPr>
    </w:p>
    <w:p>
      <w:pPr>
        <w:ind w:right="120"/>
        <w:spacing w:after="0" w:line="235" w:lineRule="auto"/>
        <w:rPr>
          <w:sz w:val="20"/>
          <w:szCs w:val="20"/>
          <w:color w:val="auto"/>
        </w:rPr>
      </w:pPr>
      <w:r>
        <w:rPr>
          <w:rFonts w:ascii="Times New Roman" w:cs="Times New Roman" w:eastAsia="Times New Roman" w:hAnsi="Times New Roman"/>
          <w:sz w:val="19"/>
          <w:szCs w:val="19"/>
          <w:color w:val="auto"/>
        </w:rPr>
        <w:t>In October 2025, the Company's board of directors approved a stock option repricing (the “Option Repricing”), which was effective upon stockholder approval on November 21, 2025 (the “Repricing Date”). The Option Repricing applied to all outstanding options to purchase shares of common stock of the Company granted to employees under the Company’s 2020 Plan, 2021 Plan and 2022 Inducement Plan with an exercise price greater than $21.00 for members of the Company's executive team and $14.00 for all other</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F-26</w:t>
      </w:r>
    </w:p>
    <w:p>
      <w:pPr>
        <w:sectPr>
          <w:pgSz w:w="12240" w:h="15840" w:orient="portrait"/>
          <w:cols w:equalWidth="0" w:num="1">
            <w:col w:w="10200"/>
          </w:cols>
          <w:pgMar w:left="1020" w:top="1310" w:right="1020" w:bottom="556" w:gutter="0" w:footer="0" w:header="0"/>
        </w:sectPr>
      </w:pPr>
    </w:p>
    <w:bookmarkStart w:id="149" w:name="page150"/>
    <w:bookmarkEnd w:id="149"/>
    <w:p>
      <w:pPr>
        <w:ind w:right="20"/>
        <w:spacing w:after="0" w:line="235" w:lineRule="auto"/>
        <w:rPr>
          <w:sz w:val="20"/>
          <w:szCs w:val="20"/>
          <w:color w:val="auto"/>
        </w:rPr>
      </w:pPr>
      <w:r>
        <w:rPr>
          <w:rFonts w:ascii="Times New Roman" w:cs="Times New Roman" w:eastAsia="Times New Roman" w:hAnsi="Times New Roman"/>
          <w:sz w:val="19"/>
          <w:szCs w:val="19"/>
          <w:color w:val="auto"/>
        </w:rPr>
        <w:t>employees (the “underwater options”) with grant dates prior to January 1, 2025 (the “Eligible Options”). The total number of shares of common stock underlying all Eligible Options was 354,200. Non-employee members of the Company’s board of directors were not eligible to participate in the Option Repricing. If such Eligible Options are exercised prior to the one-year anniversary of the Repricing Date (the "Retention Period"), the original exercise price must be paid.</w:t>
      </w:r>
    </w:p>
    <w:p>
      <w:pPr>
        <w:spacing w:after="0" w:line="240"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19"/>
          <w:szCs w:val="19"/>
          <w:color w:val="auto"/>
        </w:rPr>
        <w:t>The repricing of the Eligible Options was accounted for as a modification under ASC 718. Accordingly, the Company calculated incremental compensation cost on the modification date in an amount equal to the difference between the fair value of the awards before and after modification. The total amount of the incremental compensation expense to be recognized was determined to be $0.6 million, which will be recognized over the Retention Period.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Stock Options with Performance Conditions</w:t>
      </w:r>
    </w:p>
    <w:p>
      <w:pPr>
        <w:spacing w:after="0" w:line="262" w:lineRule="exact"/>
        <w:rPr>
          <w:sz w:val="20"/>
          <w:szCs w:val="20"/>
          <w:color w:val="auto"/>
        </w:rPr>
      </w:pPr>
    </w:p>
    <w:p>
      <w:pPr>
        <w:ind w:right="220"/>
        <w:spacing w:after="0" w:line="232" w:lineRule="auto"/>
        <w:rPr>
          <w:sz w:val="20"/>
          <w:szCs w:val="20"/>
          <w:color w:val="auto"/>
        </w:rPr>
      </w:pPr>
      <w:r>
        <w:rPr>
          <w:rFonts w:ascii="Times New Roman" w:cs="Times New Roman" w:eastAsia="Times New Roman" w:hAnsi="Times New Roman"/>
          <w:sz w:val="19"/>
          <w:szCs w:val="19"/>
          <w:color w:val="auto"/>
        </w:rPr>
        <w:t>The Company determined that the Tranche 2, Tranche 3 and Tranche 4 Stock Options contain performance conditions for which the likelihood of satisfying such performance conditions are considered probable as of December 31, 2025.</w:t>
      </w:r>
    </w:p>
    <w:p>
      <w:pPr>
        <w:spacing w:after="0" w:line="12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As of December 31, 2025, no Tranche 2 Stock Options are eligible to vest as there were no exercises of Series A warrants during the period. Based on the Series B warrants exercised during the year ended December 31, 2025, 412,043 Tranche 3 Stock Options became eligible to vest and will vest in three equal annual installments beginning on December 31, 2025. As of December 31, 2025, 157,875 Tranche 3 Stock Options were cancelled in proportion to the respective amount of unexercised Series B warrants, The Series C warrants are cancellable as of December 31, 2025 to the extent Series B warrants are not exercised or cancelled due to the Company’s receipt of non-dilutive capital. Therefore, 157,875 Tranche 4 Stock Options were cancelled in proportion to the respective amount of unexercised Series B warrants.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Restricted Stock Units</w:t>
      </w:r>
    </w:p>
    <w:p>
      <w:pPr>
        <w:spacing w:after="0" w:line="26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9"/>
          <w:szCs w:val="19"/>
          <w:color w:val="auto"/>
        </w:rPr>
        <w:t>In January 2024, the Company awarded 34,389 restricted stock units to certain employees of the Company. The restricted stock units vest in four equal annual installments beginning on the first anniversary of the grant date. The restricted stock units are generally forfeited if the individual’s service relationship with the Company or any subsidiary terminates prior to vesting.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 summary of the Company’s restricted stock unit activity and related information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360" w:type="dxa"/>
            <w:vAlign w:val="bottom"/>
          </w:tcPr>
          <w:p>
            <w:pPr>
              <w:spacing w:after="0"/>
              <w:rPr>
                <w:sz w:val="15"/>
                <w:szCs w:val="15"/>
                <w:color w:val="auto"/>
              </w:rPr>
            </w:pP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Number</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center"/>
              <w:ind w:right="114"/>
              <w:spacing w:after="0"/>
              <w:rPr>
                <w:sz w:val="20"/>
                <w:szCs w:val="20"/>
                <w:color w:val="auto"/>
              </w:rPr>
            </w:pPr>
            <w:r>
              <w:rPr>
                <w:rFonts w:ascii="Times New Roman" w:cs="Times New Roman" w:eastAsia="Times New Roman" w:hAnsi="Times New Roman"/>
                <w:sz w:val="15"/>
                <w:szCs w:val="15"/>
                <w:b w:val="1"/>
                <w:bCs w:val="1"/>
                <w:color w:val="auto"/>
              </w:rPr>
              <w:t>Weighted</w:t>
            </w:r>
          </w:p>
        </w:tc>
        <w:tc>
          <w:tcPr>
            <w:tcW w:w="60" w:type="dxa"/>
            <w:vAlign w:val="bottom"/>
          </w:tcPr>
          <w:p>
            <w:pPr>
              <w:spacing w:after="0"/>
              <w:rPr>
                <w:sz w:val="15"/>
                <w:szCs w:val="15"/>
                <w:color w:val="auto"/>
              </w:rPr>
            </w:pPr>
          </w:p>
        </w:tc>
      </w:tr>
      <w:tr>
        <w:trPr>
          <w:trHeight w:val="230"/>
        </w:trPr>
        <w:tc>
          <w:tcPr>
            <w:tcW w:w="7360" w:type="dxa"/>
            <w:vAlign w:val="bottom"/>
          </w:tcPr>
          <w:p>
            <w:pPr>
              <w:spacing w:after="0"/>
              <w:rPr>
                <w:sz w:val="20"/>
                <w:szCs w:val="20"/>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of Shares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center"/>
              <w:ind w:right="114"/>
              <w:spacing w:after="0"/>
              <w:rPr>
                <w:sz w:val="20"/>
                <w:szCs w:val="20"/>
                <w:color w:val="auto"/>
              </w:rPr>
            </w:pPr>
            <w:r>
              <w:rPr>
                <w:rFonts w:ascii="Times New Roman" w:cs="Times New Roman" w:eastAsia="Times New Roman" w:hAnsi="Times New Roman"/>
                <w:sz w:val="15"/>
                <w:szCs w:val="15"/>
                <w:b w:val="1"/>
                <w:bCs w:val="1"/>
                <w:color w:val="auto"/>
              </w:rPr>
              <w:t>Average</w:t>
            </w:r>
          </w:p>
        </w:tc>
        <w:tc>
          <w:tcPr>
            <w:tcW w:w="60" w:type="dxa"/>
            <w:vAlign w:val="bottom"/>
          </w:tcPr>
          <w:p>
            <w:pPr>
              <w:spacing w:after="0"/>
              <w:rPr>
                <w:sz w:val="20"/>
                <w:szCs w:val="20"/>
                <w:color w:val="auto"/>
              </w:rPr>
            </w:pPr>
          </w:p>
        </w:tc>
      </w:tr>
      <w:tr>
        <w:trPr>
          <w:trHeight w:val="230"/>
        </w:trPr>
        <w:tc>
          <w:tcPr>
            <w:tcW w:w="7360" w:type="dxa"/>
            <w:vAlign w:val="bottom"/>
          </w:tcPr>
          <w:p>
            <w:pPr>
              <w:spacing w:after="0"/>
              <w:rPr>
                <w:sz w:val="20"/>
                <w:szCs w:val="20"/>
                <w:color w:val="auto"/>
              </w:rPr>
            </w:pP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9"/>
              </w:rPr>
              <w:t>of Restricted</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center"/>
              <w:ind w:right="94"/>
              <w:spacing w:after="0"/>
              <w:rPr>
                <w:sz w:val="20"/>
                <w:szCs w:val="20"/>
                <w:color w:val="auto"/>
              </w:rPr>
            </w:pPr>
            <w:r>
              <w:rPr>
                <w:rFonts w:ascii="Times New Roman" w:cs="Times New Roman" w:eastAsia="Times New Roman" w:hAnsi="Times New Roman"/>
                <w:sz w:val="15"/>
                <w:szCs w:val="15"/>
                <w:b w:val="1"/>
                <w:bCs w:val="1"/>
                <w:color w:val="auto"/>
                <w:w w:val="98"/>
              </w:rPr>
              <w:t>Grant Date</w:t>
            </w:r>
          </w:p>
        </w:tc>
        <w:tc>
          <w:tcPr>
            <w:tcW w:w="60" w:type="dxa"/>
            <w:vAlign w:val="bottom"/>
          </w:tcPr>
          <w:p>
            <w:pPr>
              <w:spacing w:after="0"/>
              <w:rPr>
                <w:sz w:val="20"/>
                <w:szCs w:val="20"/>
                <w:color w:val="auto"/>
              </w:rPr>
            </w:pPr>
          </w:p>
        </w:tc>
      </w:tr>
      <w:tr>
        <w:trPr>
          <w:trHeight w:val="231"/>
        </w:trPr>
        <w:tc>
          <w:tcPr>
            <w:tcW w:w="7360" w:type="dxa"/>
            <w:vAlign w:val="bottom"/>
          </w:tcPr>
          <w:p>
            <w:pPr>
              <w:spacing w:after="0"/>
              <w:rPr>
                <w:sz w:val="20"/>
                <w:szCs w:val="20"/>
                <w:color w:val="auto"/>
              </w:rPr>
            </w:pP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Stock Units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center"/>
              <w:ind w:right="94"/>
              <w:spacing w:after="0"/>
              <w:rPr>
                <w:sz w:val="20"/>
                <w:szCs w:val="20"/>
                <w:color w:val="auto"/>
              </w:rPr>
            </w:pPr>
            <w:r>
              <w:rPr>
                <w:rFonts w:ascii="Times New Roman" w:cs="Times New Roman" w:eastAsia="Times New Roman" w:hAnsi="Times New Roman"/>
                <w:sz w:val="15"/>
                <w:szCs w:val="15"/>
                <w:b w:val="1"/>
                <w:bCs w:val="1"/>
                <w:color w:val="auto"/>
                <w:w w:val="98"/>
              </w:rPr>
              <w:t>Fair Value</w:t>
            </w:r>
          </w:p>
        </w:tc>
        <w:tc>
          <w:tcPr>
            <w:tcW w:w="60" w:type="dxa"/>
            <w:vAlign w:val="bottom"/>
          </w:tcPr>
          <w:p>
            <w:pPr>
              <w:spacing w:after="0"/>
              <w:rPr>
                <w:sz w:val="20"/>
                <w:szCs w:val="20"/>
                <w:color w:val="auto"/>
              </w:rPr>
            </w:pPr>
          </w:p>
        </w:tc>
      </w:tr>
      <w:tr>
        <w:trPr>
          <w:trHeight w:val="225"/>
        </w:trPr>
        <w:tc>
          <w:tcPr>
            <w:tcW w:w="7360" w:type="dxa"/>
            <w:vAlign w:val="bottom"/>
            <w:tcBorders>
              <w:top w:val="single" w:sz="8" w:color="D5EEEE"/>
            </w:tcBorders>
            <w:shd w:val="clear" w:color="auto" w:fill="D5EEEE"/>
          </w:tcPr>
          <w:p>
            <w:pPr>
              <w:spacing w:after="0"/>
              <w:rPr>
                <w:sz w:val="20"/>
                <w:szCs w:val="20"/>
                <w:color w:val="auto"/>
              </w:rPr>
            </w:pPr>
            <w:r>
              <w:rPr>
                <w:rFonts w:ascii="Times New Roman" w:cs="Times New Roman" w:eastAsia="Times New Roman" w:hAnsi="Times New Roman"/>
                <w:sz w:val="19"/>
                <w:szCs w:val="19"/>
                <w:color w:val="auto"/>
              </w:rPr>
              <w:t>Unvested as of December 31, 2024</w:t>
            </w:r>
          </w:p>
        </w:tc>
        <w:tc>
          <w:tcPr>
            <w:tcW w:w="124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31,818</w:t>
            </w:r>
          </w:p>
        </w:tc>
        <w:tc>
          <w:tcPr>
            <w:tcW w:w="160" w:type="dxa"/>
            <w:vAlign w:val="bottom"/>
            <w:tcBorders>
              <w:top w:val="single" w:sz="8" w:color="D5EEEE"/>
            </w:tcBorders>
            <w:shd w:val="clear" w:color="auto" w:fill="D5EEEE"/>
          </w:tcPr>
          <w:p>
            <w:pPr>
              <w:spacing w:after="0"/>
              <w:rPr>
                <w:sz w:val="19"/>
                <w:szCs w:val="19"/>
                <w:color w:val="auto"/>
              </w:rPr>
            </w:pPr>
          </w:p>
        </w:tc>
        <w:tc>
          <w:tcPr>
            <w:tcW w:w="100" w:type="dxa"/>
            <w:vAlign w:val="bottom"/>
            <w:tcBorders>
              <w:top w:val="single" w:sz="8" w:color="D5EEEE"/>
            </w:tcBorders>
            <w:shd w:val="clear" w:color="auto" w:fill="D5EEEE"/>
          </w:tcPr>
          <w:p>
            <w:pPr>
              <w:spacing w:after="0"/>
              <w:rPr>
                <w:sz w:val="19"/>
                <w:szCs w:val="19"/>
                <w:color w:val="auto"/>
              </w:rPr>
            </w:pPr>
          </w:p>
        </w:tc>
        <w:tc>
          <w:tcPr>
            <w:tcW w:w="18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10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7.70</w:t>
            </w:r>
          </w:p>
        </w:tc>
        <w:tc>
          <w:tcPr>
            <w:tcW w:w="60" w:type="dxa"/>
            <w:vAlign w:val="bottom"/>
            <w:tcBorders>
              <w:top w:val="single" w:sz="8" w:color="D5EEEE"/>
            </w:tcBorders>
            <w:shd w:val="clear" w:color="auto" w:fill="D5EEEE"/>
          </w:tcPr>
          <w:p>
            <w:pPr>
              <w:spacing w:after="0"/>
              <w:rPr>
                <w:sz w:val="19"/>
                <w:szCs w:val="19"/>
                <w:color w:val="auto"/>
              </w:rPr>
            </w:pPr>
          </w:p>
        </w:tc>
      </w:tr>
      <w:tr>
        <w:trPr>
          <w:trHeight w:val="230"/>
        </w:trPr>
        <w:tc>
          <w:tcPr>
            <w:tcW w:w="736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Granted</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0"/>
                <w:szCs w:val="20"/>
                <w:color w:val="auto"/>
              </w:rPr>
            </w:pPr>
          </w:p>
        </w:tc>
      </w:tr>
      <w:tr>
        <w:trPr>
          <w:trHeight w:val="231"/>
        </w:trPr>
        <w:tc>
          <w:tcPr>
            <w:tcW w:w="7360" w:type="dxa"/>
            <w:vAlign w:val="bottom"/>
            <w:shd w:val="clear" w:color="auto" w:fill="D5EEEE"/>
          </w:tcPr>
          <w:p>
            <w:pPr>
              <w:ind w:left="100"/>
              <w:spacing w:after="0"/>
              <w:rPr>
                <w:sz w:val="20"/>
                <w:szCs w:val="20"/>
                <w:color w:val="auto"/>
              </w:rPr>
            </w:pPr>
            <w:r>
              <w:rPr>
                <w:rFonts w:ascii="Times New Roman" w:cs="Times New Roman" w:eastAsia="Times New Roman" w:hAnsi="Times New Roman"/>
                <w:sz w:val="19"/>
                <w:szCs w:val="19"/>
                <w:color w:val="auto"/>
              </w:rPr>
              <w:t>Vested</w:t>
            </w:r>
          </w:p>
        </w:tc>
        <w:tc>
          <w:tcPr>
            <w:tcW w:w="1400" w:type="dxa"/>
            <w:vAlign w:val="bottom"/>
            <w:gridSpan w:val="2"/>
            <w:shd w:val="clear" w:color="auto" w:fill="D5EEEE"/>
          </w:tcPr>
          <w:p>
            <w:pPr>
              <w:jc w:val="right"/>
              <w:ind w:right="100"/>
              <w:spacing w:after="0"/>
              <w:rPr>
                <w:sz w:val="20"/>
                <w:szCs w:val="20"/>
                <w:color w:val="auto"/>
              </w:rPr>
            </w:pPr>
            <w:r>
              <w:rPr>
                <w:rFonts w:ascii="Times New Roman" w:cs="Times New Roman" w:eastAsia="Times New Roman" w:hAnsi="Times New Roman"/>
                <w:sz w:val="19"/>
                <w:szCs w:val="19"/>
                <w:color w:val="auto"/>
              </w:rPr>
              <w:t>(7,952)</w:t>
            </w:r>
          </w:p>
        </w:tc>
        <w:tc>
          <w:tcPr>
            <w:tcW w:w="28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7.70</w:t>
            </w:r>
          </w:p>
        </w:tc>
        <w:tc>
          <w:tcPr>
            <w:tcW w:w="60" w:type="dxa"/>
            <w:vAlign w:val="bottom"/>
            <w:shd w:val="clear" w:color="auto" w:fill="D5EEEE"/>
          </w:tcPr>
          <w:p>
            <w:pPr>
              <w:spacing w:after="0"/>
              <w:rPr>
                <w:sz w:val="20"/>
                <w:szCs w:val="20"/>
                <w:color w:val="auto"/>
              </w:rPr>
            </w:pPr>
          </w:p>
        </w:tc>
      </w:tr>
      <w:tr>
        <w:trPr>
          <w:trHeight w:val="230"/>
        </w:trPr>
        <w:tc>
          <w:tcPr>
            <w:tcW w:w="736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Forfeited</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0"/>
                <w:szCs w:val="20"/>
                <w:color w:val="auto"/>
              </w:rPr>
            </w:pPr>
          </w:p>
        </w:tc>
      </w:tr>
      <w:tr>
        <w:trPr>
          <w:trHeight w:val="245"/>
        </w:trPr>
        <w:tc>
          <w:tcPr>
            <w:tcW w:w="7360" w:type="dxa"/>
            <w:vAlign w:val="bottom"/>
            <w:tcBorders>
              <w:top w:val="single" w:sz="8" w:color="D5EEEE"/>
              <w:bottom w:val="single" w:sz="8" w:color="D5EEEE"/>
            </w:tcBorders>
            <w:shd w:val="clear" w:color="auto" w:fill="D5EEEE"/>
          </w:tcPr>
          <w:p>
            <w:pPr>
              <w:spacing w:after="0"/>
              <w:rPr>
                <w:sz w:val="20"/>
                <w:szCs w:val="20"/>
                <w:color w:val="auto"/>
              </w:rPr>
            </w:pPr>
            <w:r>
              <w:rPr>
                <w:rFonts w:ascii="Times New Roman" w:cs="Times New Roman" w:eastAsia="Times New Roman" w:hAnsi="Times New Roman"/>
                <w:sz w:val="19"/>
                <w:szCs w:val="19"/>
                <w:color w:val="auto"/>
              </w:rPr>
              <w:t>Unvested as of December 31, 2025</w:t>
            </w:r>
          </w:p>
        </w:tc>
        <w:tc>
          <w:tcPr>
            <w:tcW w:w="1240" w:type="dxa"/>
            <w:vAlign w:val="bottom"/>
            <w:tcBorders>
              <w:top w:val="single" w:sz="8" w:color="auto"/>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23,866</w:t>
            </w:r>
          </w:p>
        </w:tc>
        <w:tc>
          <w:tcPr>
            <w:tcW w:w="160" w:type="dxa"/>
            <w:vAlign w:val="bottom"/>
            <w:tcBorders>
              <w:top w:val="single" w:sz="8" w:color="D5EEEE"/>
              <w:bottom w:val="single" w:sz="8" w:color="D5EEEE"/>
            </w:tcBorders>
            <w:shd w:val="clear" w:color="auto" w:fill="D5EEEE"/>
          </w:tcPr>
          <w:p>
            <w:pPr>
              <w:spacing w:after="0"/>
              <w:rPr>
                <w:sz w:val="21"/>
                <w:szCs w:val="21"/>
                <w:color w:val="auto"/>
              </w:rPr>
            </w:pPr>
          </w:p>
        </w:tc>
        <w:tc>
          <w:tcPr>
            <w:tcW w:w="280" w:type="dxa"/>
            <w:vAlign w:val="bottom"/>
            <w:tcBorders>
              <w:top w:val="single" w:sz="8" w:color="D5EEEE"/>
              <w:bottom w:val="single" w:sz="8" w:color="D5EEEE"/>
            </w:tcBorders>
            <w:gridSpan w:val="2"/>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Borders>
              <w:top w:val="single" w:sz="8" w:color="D5EEEE"/>
              <w:bottom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7.70</w:t>
            </w:r>
          </w:p>
        </w:tc>
        <w:tc>
          <w:tcPr>
            <w:tcW w:w="60" w:type="dxa"/>
            <w:vAlign w:val="bottom"/>
            <w:tcBorders>
              <w:top w:val="single" w:sz="8" w:color="D5EEEE"/>
              <w:bottom w:val="single" w:sz="8" w:color="D5EEEE"/>
            </w:tcBorders>
            <w:shd w:val="clear" w:color="auto" w:fill="D5EEEE"/>
          </w:tcPr>
          <w:p>
            <w:pPr>
              <w:spacing w:after="0"/>
              <w:rPr>
                <w:sz w:val="21"/>
                <w:szCs w:val="21"/>
                <w:color w:val="auto"/>
              </w:rPr>
            </w:pPr>
          </w:p>
        </w:tc>
      </w:tr>
      <w:tr>
        <w:trPr>
          <w:trHeight w:val="20"/>
        </w:trPr>
        <w:tc>
          <w:tcPr>
            <w:tcW w:w="73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9"/>
          <w:szCs w:val="19"/>
          <w:color w:val="auto"/>
        </w:rPr>
        <w:t>For each of the years ended December 31, 2025 and 2024, the Company recognized less than $0.1 million of stock-based compensation expense related to these awards. As of December 31, 2025 the Company had unrecognized stock-based compensation expense of $0.1 million related to these restricted stock units, which is expected to be recognized over 2.0 years.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11. Net Loss Per Share</w:t>
      </w:r>
    </w:p>
    <w:p>
      <w:pPr>
        <w:spacing w:after="0" w:line="23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The Company calculates basic net loss per share by dividing net loss by the weighted average number of shares of common stock outstanding. The weighted average number of shares of common stock used in the basic and diluted net loss per share calculation includes prefunded warrants to purchase common stock that were outstanding during the years ended December 31, 2025 and 2024, as the prefunded warrants are exercisable at any time for nominal cash consideration. As of December 31, 2025, 524,033 prefunded warrants have been exercised and 8,502,224 prefunded warrants are outstanding.</w:t>
      </w:r>
    </w:p>
    <w:p>
      <w:pPr>
        <w:sectPr>
          <w:pgSz w:w="12240" w:h="15840" w:orient="portrait"/>
          <w:cols w:equalWidth="0" w:num="1">
            <w:col w:w="10200"/>
          </w:cols>
          <w:pgMar w:left="1020" w:top="1347" w:right="1020" w:bottom="5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F-27</w:t>
      </w:r>
    </w:p>
    <w:p>
      <w:pPr>
        <w:sectPr>
          <w:pgSz w:w="12240" w:h="15840" w:orient="portrait"/>
          <w:cols w:equalWidth="0" w:num="1">
            <w:col w:w="10200"/>
          </w:cols>
          <w:pgMar w:left="1020" w:top="1347" w:right="1020" w:bottom="556" w:gutter="0" w:footer="0" w:header="0"/>
          <w:type w:val="continuous"/>
        </w:sectPr>
      </w:pPr>
    </w:p>
    <w:bookmarkStart w:id="150" w:name="page151"/>
    <w:bookmarkEnd w:id="150"/>
    <w:p>
      <w:pPr>
        <w:jc w:val="both"/>
        <w:spacing w:after="0" w:line="234" w:lineRule="auto"/>
        <w:rPr>
          <w:sz w:val="20"/>
          <w:szCs w:val="20"/>
          <w:color w:val="auto"/>
        </w:rPr>
      </w:pPr>
      <w:r>
        <w:rPr>
          <w:rFonts w:ascii="Times New Roman" w:cs="Times New Roman" w:eastAsia="Times New Roman" w:hAnsi="Times New Roman"/>
          <w:sz w:val="19"/>
          <w:szCs w:val="19"/>
          <w:color w:val="auto"/>
        </w:rPr>
        <w:t>The following table sets forth the outstanding shares of common stock equivalents, presented based on amounts outstanding at each period end, that were excluded from the calculation of diluted net loss per share for the periods indicated because including them would have been anti-dilutive: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900" w:type="dxa"/>
            <w:vAlign w:val="bottom"/>
          </w:tcPr>
          <w:p>
            <w:pPr>
              <w:spacing w:after="0"/>
              <w:rPr>
                <w:sz w:val="15"/>
                <w:szCs w:val="15"/>
                <w:color w:val="auto"/>
              </w:rPr>
            </w:pPr>
          </w:p>
        </w:tc>
        <w:tc>
          <w:tcPr>
            <w:tcW w:w="2200" w:type="dxa"/>
            <w:vAlign w:val="bottom"/>
            <w:gridSpan w:val="3"/>
          </w:tcPr>
          <w:p>
            <w:pPr>
              <w:jc w:val="center"/>
              <w:ind w:left="933"/>
              <w:spacing w:after="0"/>
              <w:rPr>
                <w:sz w:val="20"/>
                <w:szCs w:val="20"/>
                <w:color w:val="auto"/>
              </w:rPr>
            </w:pPr>
            <w:r>
              <w:rPr>
                <w:rFonts w:ascii="Times New Roman" w:cs="Times New Roman" w:eastAsia="Times New Roman" w:hAnsi="Times New Roman"/>
                <w:sz w:val="15"/>
                <w:szCs w:val="15"/>
                <w:b w:val="1"/>
                <w:bCs w:val="1"/>
                <w:color w:val="auto"/>
              </w:rPr>
              <w:t>Year Ended</w:t>
            </w: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7"/>
        </w:trPr>
        <w:tc>
          <w:tcPr>
            <w:tcW w:w="6900" w:type="dxa"/>
            <w:vAlign w:val="bottom"/>
          </w:tcPr>
          <w:p>
            <w:pPr>
              <w:spacing w:after="0"/>
              <w:rPr>
                <w:sz w:val="16"/>
                <w:szCs w:val="16"/>
                <w:color w:val="auto"/>
              </w:rPr>
            </w:pPr>
          </w:p>
        </w:tc>
        <w:tc>
          <w:tcPr>
            <w:tcW w:w="2200" w:type="dxa"/>
            <w:vAlign w:val="bottom"/>
            <w:tcBorders>
              <w:bottom w:val="single" w:sz="8" w:color="auto"/>
            </w:tcBorders>
            <w:gridSpan w:val="3"/>
          </w:tcPr>
          <w:p>
            <w:pPr>
              <w:jc w:val="center"/>
              <w:ind w:left="953"/>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0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81"/>
        </w:trPr>
        <w:tc>
          <w:tcPr>
            <w:tcW w:w="6900" w:type="dxa"/>
            <w:vAlign w:val="bottom"/>
            <w:tcBorders>
              <w:bottom w:val="single" w:sz="8" w:color="D5EEEE"/>
            </w:tcBorders>
          </w:tcPr>
          <w:p>
            <w:pPr>
              <w:spacing w:after="0"/>
              <w:rPr>
                <w:sz w:val="15"/>
                <w:szCs w:val="15"/>
                <w:color w:val="auto"/>
              </w:rPr>
            </w:pPr>
          </w:p>
        </w:tc>
        <w:tc>
          <w:tcPr>
            <w:tcW w:w="14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5"/>
                <w:szCs w:val="15"/>
                <w:b w:val="1"/>
                <w:bCs w:val="1"/>
                <w:color w:val="auto"/>
              </w:rPr>
              <w:t>2025</w:t>
            </w:r>
          </w:p>
        </w:tc>
        <w:tc>
          <w:tcPr>
            <w:tcW w:w="260" w:type="dxa"/>
            <w:vAlign w:val="bottom"/>
            <w:tcBorders>
              <w:bottom w:val="single" w:sz="8" w:color="D5EEEE"/>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5"/>
                <w:szCs w:val="15"/>
                <w:b w:val="1"/>
                <w:bCs w:val="1"/>
                <w:color w:val="auto"/>
              </w:rPr>
              <w:t>2024</w:t>
            </w:r>
          </w:p>
        </w:tc>
        <w:tc>
          <w:tcPr>
            <w:tcW w:w="60" w:type="dxa"/>
            <w:vAlign w:val="bottom"/>
            <w:tcBorders>
              <w:bottom w:val="single" w:sz="8" w:color="D5EEEE"/>
            </w:tcBorders>
          </w:tcPr>
          <w:p>
            <w:pPr>
              <w:spacing w:after="0"/>
              <w:rPr>
                <w:sz w:val="15"/>
                <w:szCs w:val="15"/>
                <w:color w:val="auto"/>
              </w:rPr>
            </w:pPr>
          </w:p>
        </w:tc>
      </w:tr>
      <w:tr>
        <w:trPr>
          <w:trHeight w:val="225"/>
        </w:trPr>
        <w:tc>
          <w:tcPr>
            <w:tcW w:w="6900" w:type="dxa"/>
            <w:vAlign w:val="bottom"/>
            <w:shd w:val="clear" w:color="auto" w:fill="D5EEEE"/>
          </w:tcPr>
          <w:p>
            <w:pPr>
              <w:spacing w:after="0"/>
              <w:rPr>
                <w:sz w:val="20"/>
                <w:szCs w:val="20"/>
                <w:color w:val="auto"/>
              </w:rPr>
            </w:pPr>
            <w:r>
              <w:rPr>
                <w:rFonts w:ascii="Times New Roman" w:cs="Times New Roman" w:eastAsia="Times New Roman" w:hAnsi="Times New Roman"/>
                <w:sz w:val="19"/>
                <w:szCs w:val="19"/>
                <w:color w:val="auto"/>
              </w:rPr>
              <w:t>Unvested restricted stock units</w:t>
            </w:r>
          </w:p>
        </w:tc>
        <w:tc>
          <w:tcPr>
            <w:tcW w:w="14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23,866</w:t>
            </w:r>
          </w:p>
        </w:tc>
        <w:tc>
          <w:tcPr>
            <w:tcW w:w="260" w:type="dxa"/>
            <w:vAlign w:val="bottom"/>
            <w:shd w:val="clear" w:color="auto" w:fill="D5EEEE"/>
          </w:tcPr>
          <w:p>
            <w:pPr>
              <w:spacing w:after="0"/>
              <w:rPr>
                <w:sz w:val="19"/>
                <w:szCs w:val="19"/>
                <w:color w:val="auto"/>
              </w:rPr>
            </w:pPr>
          </w:p>
        </w:tc>
        <w:tc>
          <w:tcPr>
            <w:tcW w:w="460" w:type="dxa"/>
            <w:vAlign w:val="bottom"/>
            <w:shd w:val="clear" w:color="auto" w:fill="D5EEEE"/>
          </w:tcPr>
          <w:p>
            <w:pPr>
              <w:spacing w:after="0"/>
              <w:rPr>
                <w:sz w:val="19"/>
                <w:szCs w:val="19"/>
                <w:color w:val="auto"/>
              </w:rPr>
            </w:pPr>
          </w:p>
        </w:tc>
        <w:tc>
          <w:tcPr>
            <w:tcW w:w="10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31,818</w:t>
            </w:r>
          </w:p>
        </w:tc>
        <w:tc>
          <w:tcPr>
            <w:tcW w:w="60" w:type="dxa"/>
            <w:vAlign w:val="bottom"/>
            <w:shd w:val="clear" w:color="auto" w:fill="D5EEEE"/>
          </w:tcPr>
          <w:p>
            <w:pPr>
              <w:spacing w:after="0"/>
              <w:rPr>
                <w:sz w:val="19"/>
                <w:szCs w:val="19"/>
                <w:color w:val="auto"/>
              </w:rPr>
            </w:pPr>
          </w:p>
        </w:tc>
      </w:tr>
      <w:tr>
        <w:trPr>
          <w:trHeight w:val="230"/>
        </w:trPr>
        <w:tc>
          <w:tcPr>
            <w:tcW w:w="6900" w:type="dxa"/>
            <w:vAlign w:val="bottom"/>
          </w:tcPr>
          <w:p>
            <w:pPr>
              <w:spacing w:after="0"/>
              <w:rPr>
                <w:sz w:val="20"/>
                <w:szCs w:val="20"/>
                <w:color w:val="auto"/>
              </w:rPr>
            </w:pPr>
            <w:r>
              <w:rPr>
                <w:rFonts w:ascii="Times New Roman" w:cs="Times New Roman" w:eastAsia="Times New Roman" w:hAnsi="Times New Roman"/>
                <w:sz w:val="19"/>
                <w:szCs w:val="19"/>
                <w:color w:val="auto"/>
              </w:rPr>
              <w:t>Outstanding stock options</w:t>
            </w:r>
          </w:p>
        </w:tc>
        <w:tc>
          <w:tcPr>
            <w:tcW w:w="14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2,785,102</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595,074</w:t>
            </w:r>
          </w:p>
        </w:tc>
        <w:tc>
          <w:tcPr>
            <w:tcW w:w="60" w:type="dxa"/>
            <w:vAlign w:val="bottom"/>
          </w:tcPr>
          <w:p>
            <w:pPr>
              <w:spacing w:after="0"/>
              <w:rPr>
                <w:sz w:val="20"/>
                <w:szCs w:val="20"/>
                <w:color w:val="auto"/>
              </w:rPr>
            </w:pPr>
          </w:p>
        </w:tc>
      </w:tr>
      <w:tr>
        <w:trPr>
          <w:trHeight w:val="231"/>
        </w:trPr>
        <w:tc>
          <w:tcPr>
            <w:tcW w:w="6900" w:type="dxa"/>
            <w:vAlign w:val="bottom"/>
            <w:shd w:val="clear" w:color="auto" w:fill="D5EEEE"/>
          </w:tcPr>
          <w:p>
            <w:pPr>
              <w:spacing w:after="0"/>
              <w:rPr>
                <w:sz w:val="20"/>
                <w:szCs w:val="20"/>
                <w:color w:val="auto"/>
              </w:rPr>
            </w:pPr>
            <w:r>
              <w:rPr>
                <w:rFonts w:ascii="Times New Roman" w:cs="Times New Roman" w:eastAsia="Times New Roman" w:hAnsi="Times New Roman"/>
                <w:sz w:val="19"/>
                <w:szCs w:val="19"/>
                <w:color w:val="auto"/>
              </w:rPr>
              <w:t>Common stock warrants</w:t>
            </w:r>
          </w:p>
        </w:tc>
        <w:tc>
          <w:tcPr>
            <w:tcW w:w="14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8,206,109</w:t>
            </w:r>
          </w:p>
        </w:tc>
        <w:tc>
          <w:tcPr>
            <w:tcW w:w="260" w:type="dxa"/>
            <w:vAlign w:val="bottom"/>
            <w:shd w:val="clear" w:color="auto" w:fill="D5EEEE"/>
          </w:tcPr>
          <w:p>
            <w:pPr>
              <w:spacing w:after="0"/>
              <w:rPr>
                <w:sz w:val="20"/>
                <w:szCs w:val="20"/>
                <w:color w:val="auto"/>
              </w:rPr>
            </w:pPr>
          </w:p>
        </w:tc>
        <w:tc>
          <w:tcPr>
            <w:tcW w:w="460" w:type="dxa"/>
            <w:vAlign w:val="bottom"/>
            <w:shd w:val="clear" w:color="auto" w:fill="D5EEEE"/>
          </w:tcPr>
          <w:p>
            <w:pPr>
              <w:spacing w:after="0"/>
              <w:rPr>
                <w:sz w:val="20"/>
                <w:szCs w:val="20"/>
                <w:color w:val="auto"/>
              </w:rPr>
            </w:pPr>
          </w:p>
        </w:tc>
        <w:tc>
          <w:tcPr>
            <w:tcW w:w="10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188</w:t>
            </w:r>
          </w:p>
        </w:tc>
        <w:tc>
          <w:tcPr>
            <w:tcW w:w="60" w:type="dxa"/>
            <w:vAlign w:val="bottom"/>
            <w:shd w:val="clear" w:color="auto" w:fill="D5EEEE"/>
          </w:tcPr>
          <w:p>
            <w:pPr>
              <w:spacing w:after="0"/>
              <w:rPr>
                <w:sz w:val="20"/>
                <w:szCs w:val="20"/>
                <w:color w:val="auto"/>
              </w:rPr>
            </w:pPr>
          </w:p>
        </w:tc>
      </w:tr>
      <w:tr>
        <w:trPr>
          <w:trHeight w:val="230"/>
        </w:trPr>
        <w:tc>
          <w:tcPr>
            <w:tcW w:w="6900" w:type="dxa"/>
            <w:vAlign w:val="bottom"/>
            <w:tcBorders>
              <w:bottom w:val="single" w:sz="8" w:color="D5EEEE"/>
            </w:tcBorders>
          </w:tcPr>
          <w:p>
            <w:pPr>
              <w:spacing w:after="0"/>
              <w:rPr>
                <w:sz w:val="20"/>
                <w:szCs w:val="20"/>
                <w:color w:val="auto"/>
              </w:rPr>
            </w:pPr>
            <w:r>
              <w:rPr>
                <w:rFonts w:ascii="Times New Roman" w:cs="Times New Roman" w:eastAsia="Times New Roman" w:hAnsi="Times New Roman"/>
                <w:sz w:val="19"/>
                <w:szCs w:val="19"/>
                <w:color w:val="auto"/>
              </w:rPr>
              <w:t>Unvested employee stock purchase plan shares</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4,983</w:t>
            </w:r>
          </w:p>
        </w:tc>
        <w:tc>
          <w:tcPr>
            <w:tcW w:w="260" w:type="dxa"/>
            <w:vAlign w:val="bottom"/>
            <w:tcBorders>
              <w:bottom w:val="single" w:sz="8" w:color="D5EEEE"/>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3,338</w:t>
            </w:r>
          </w:p>
        </w:tc>
        <w:tc>
          <w:tcPr>
            <w:tcW w:w="60" w:type="dxa"/>
            <w:vAlign w:val="bottom"/>
            <w:tcBorders>
              <w:bottom w:val="single" w:sz="8" w:color="D5EEEE"/>
            </w:tcBorders>
          </w:tcPr>
          <w:p>
            <w:pPr>
              <w:spacing w:after="0"/>
              <w:rPr>
                <w:sz w:val="20"/>
                <w:szCs w:val="20"/>
                <w:color w:val="auto"/>
              </w:rPr>
            </w:pPr>
          </w:p>
        </w:tc>
      </w:tr>
      <w:tr>
        <w:trPr>
          <w:trHeight w:val="245"/>
        </w:trPr>
        <w:tc>
          <w:tcPr>
            <w:tcW w:w="6900" w:type="dxa"/>
            <w:vAlign w:val="bottom"/>
            <w:tcBorders>
              <w:bottom w:val="single" w:sz="8" w:color="D5EEEE"/>
            </w:tcBorders>
            <w:shd w:val="clear" w:color="auto" w:fill="D5EEEE"/>
          </w:tcPr>
          <w:p>
            <w:pPr>
              <w:spacing w:after="0"/>
              <w:rPr>
                <w:sz w:val="20"/>
                <w:szCs w:val="20"/>
                <w:color w:val="auto"/>
              </w:rPr>
            </w:pPr>
            <w:r>
              <w:rPr>
                <w:rFonts w:ascii="Times New Roman" w:cs="Times New Roman" w:eastAsia="Times New Roman" w:hAnsi="Times New Roman"/>
                <w:sz w:val="19"/>
                <w:szCs w:val="19"/>
                <w:color w:val="auto"/>
              </w:rPr>
              <w:t>Total common stock equivalents</w:t>
            </w:r>
          </w:p>
        </w:tc>
        <w:tc>
          <w:tcPr>
            <w:tcW w:w="14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11,020,060</w:t>
            </w:r>
          </w:p>
        </w:tc>
        <w:tc>
          <w:tcPr>
            <w:tcW w:w="260" w:type="dxa"/>
            <w:vAlign w:val="bottom"/>
            <w:tcBorders>
              <w:bottom w:val="single" w:sz="8" w:color="D5EEEE"/>
            </w:tcBorders>
            <w:shd w:val="clear" w:color="auto" w:fill="D5EEEE"/>
          </w:tcPr>
          <w:p>
            <w:pPr>
              <w:spacing w:after="0"/>
              <w:rPr>
                <w:sz w:val="21"/>
                <w:szCs w:val="21"/>
                <w:color w:val="auto"/>
              </w:rPr>
            </w:pPr>
          </w:p>
        </w:tc>
        <w:tc>
          <w:tcPr>
            <w:tcW w:w="460" w:type="dxa"/>
            <w:vAlign w:val="bottom"/>
            <w:tcBorders>
              <w:bottom w:val="single" w:sz="8" w:color="auto"/>
            </w:tcBorders>
            <w:shd w:val="clear" w:color="auto" w:fill="D5EEEE"/>
          </w:tcPr>
          <w:p>
            <w:pPr>
              <w:spacing w:after="0"/>
              <w:rPr>
                <w:sz w:val="21"/>
                <w:szCs w:val="21"/>
                <w:color w:val="auto"/>
              </w:rPr>
            </w:pPr>
          </w:p>
        </w:tc>
        <w:tc>
          <w:tcPr>
            <w:tcW w:w="10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630,418</w:t>
            </w:r>
          </w:p>
        </w:tc>
        <w:tc>
          <w:tcPr>
            <w:tcW w:w="60" w:type="dxa"/>
            <w:vAlign w:val="bottom"/>
            <w:tcBorders>
              <w:bottom w:val="single" w:sz="8" w:color="D5EEEE"/>
            </w:tcBorders>
            <w:shd w:val="clear" w:color="auto" w:fill="D5EEEE"/>
          </w:tcPr>
          <w:p>
            <w:pPr>
              <w:spacing w:after="0"/>
              <w:rPr>
                <w:sz w:val="21"/>
                <w:szCs w:val="21"/>
                <w:color w:val="auto"/>
              </w:rPr>
            </w:pPr>
          </w:p>
        </w:tc>
      </w:tr>
      <w:tr>
        <w:trPr>
          <w:trHeight w:val="20"/>
        </w:trPr>
        <w:tc>
          <w:tcPr>
            <w:tcW w:w="69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12. Income Taxes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components of loss before income taxes were as follows:</w:t>
      </w:r>
    </w:p>
    <w:p>
      <w:pPr>
        <w:spacing w:after="0" w:line="128" w:lineRule="exact"/>
        <w:rPr>
          <w:sz w:val="20"/>
          <w:szCs w:val="20"/>
          <w:color w:val="auto"/>
        </w:rPr>
      </w:pPr>
    </w:p>
    <w:p>
      <w:pPr>
        <w:jc w:val="center"/>
        <w:ind w:left="7280"/>
        <w:spacing w:after="0"/>
        <w:rPr>
          <w:sz w:val="20"/>
          <w:szCs w:val="20"/>
          <w:color w:val="auto"/>
        </w:rPr>
      </w:pPr>
      <w:r>
        <w:rPr>
          <w:rFonts w:ascii="Times New Roman" w:cs="Times New Roman" w:eastAsia="Times New Roman" w:hAnsi="Times New Roman"/>
          <w:sz w:val="15"/>
          <w:szCs w:val="15"/>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-12700</wp:posOffset>
            </wp:positionV>
            <wp:extent cx="1774825" cy="361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1">
                      <a:extLst>
                        <a:ext uri="{28A0092B-C50C-407E-A947-70E740481C1C}"/>
                      </a:extLst>
                    </a:blip>
                    <a:srcRect/>
                    <a:stretch>
                      <a:fillRect/>
                    </a:stretch>
                  </pic:blipFill>
                  <pic:spPr bwMode="auto">
                    <a:xfrm>
                      <a:off x="0" y="0"/>
                      <a:ext cx="1774825" cy="36195"/>
                    </a:xfrm>
                    <a:prstGeom prst="rect">
                      <a:avLst/>
                    </a:prstGeom>
                    <a:noFill/>
                  </pic:spPr>
                </pic:pic>
              </a:graphicData>
            </a:graphic>
          </wp:anchor>
        </w:drawing>
      </w:r>
    </w:p>
    <w:p>
      <w:pPr>
        <w:spacing w:after="0" w:line="9" w:lineRule="exact"/>
        <w:rPr>
          <w:sz w:val="20"/>
          <w:szCs w:val="20"/>
          <w:color w:val="auto"/>
        </w:rPr>
      </w:pPr>
    </w:p>
    <w:p>
      <w:pPr>
        <w:ind w:left="7820"/>
        <w:spacing w:after="0"/>
        <w:tabs>
          <w:tab w:leader="none" w:pos="9340" w:val="left"/>
        </w:tabs>
        <w:rPr>
          <w:sz w:val="20"/>
          <w:szCs w:val="20"/>
          <w:color w:val="auto"/>
        </w:rPr>
      </w:pPr>
      <w:r>
        <w:rPr>
          <w:rFonts w:ascii="Times New Roman" w:cs="Times New Roman" w:eastAsia="Times New Roman" w:hAnsi="Times New Roman"/>
          <w:sz w:val="15"/>
          <w:szCs w:val="15"/>
          <w:b w:val="1"/>
          <w:bCs w:val="1"/>
          <w:color w:val="auto"/>
        </w:rPr>
        <w:t>2025</w:t>
      </w:r>
      <w:r>
        <w:rPr>
          <w:sz w:val="20"/>
          <w:szCs w:val="20"/>
          <w:color w:val="auto"/>
        </w:rPr>
        <w:tab/>
      </w:r>
      <w:r>
        <w:rPr>
          <w:rFonts w:ascii="Times New Roman" w:cs="Times New Roman" w:eastAsia="Times New Roman" w:hAnsi="Times New Roman"/>
          <w:sz w:val="15"/>
          <w:szCs w:val="15"/>
          <w:b w:val="1"/>
          <w:bCs w:val="1"/>
          <w:color w:val="auto"/>
        </w:rPr>
        <w:t>2024</w:t>
      </w:r>
    </w:p>
    <w:tbl>
      <w:tblPr>
        <w:tblLayout w:type="fixed"/>
        <w:tblInd w:w="0" w:type="dxa"/>
        <w:tblCellMar>
          <w:top w:w="0" w:type="dxa"/>
          <w:left w:w="0" w:type="dxa"/>
          <w:bottom w:w="0" w:type="dxa"/>
          <w:right w:w="0" w:type="dxa"/>
        </w:tblCellMar>
      </w:tblPr>
      <w:tr>
        <w:trPr>
          <w:trHeight w:val="225"/>
        </w:trPr>
        <w:tc>
          <w:tcPr>
            <w:tcW w:w="7380" w:type="dxa"/>
            <w:vAlign w:val="bottom"/>
            <w:tcBorders>
              <w:top w:val="single" w:sz="8" w:color="D5EEEE"/>
              <w:bottom w:val="single" w:sz="8" w:color="D5EEEE"/>
            </w:tcBorders>
            <w:shd w:val="clear" w:color="auto" w:fill="D5EEEE"/>
          </w:tcPr>
          <w:p>
            <w:pPr>
              <w:spacing w:after="0"/>
              <w:rPr>
                <w:sz w:val="20"/>
                <w:szCs w:val="20"/>
                <w:color w:val="auto"/>
              </w:rPr>
            </w:pPr>
            <w:r>
              <w:rPr>
                <w:rFonts w:ascii="Times New Roman" w:cs="Times New Roman" w:eastAsia="Times New Roman" w:hAnsi="Times New Roman"/>
                <w:sz w:val="19"/>
                <w:szCs w:val="19"/>
                <w:color w:val="auto"/>
              </w:rPr>
              <w:t>Domestic</w:t>
            </w:r>
          </w:p>
        </w:tc>
        <w:tc>
          <w:tcPr>
            <w:tcW w:w="340" w:type="dxa"/>
            <w:vAlign w:val="bottom"/>
            <w:tcBorders>
              <w:top w:val="single" w:sz="8" w:color="auto"/>
              <w:bottom w:val="single" w:sz="8" w:color="auto"/>
            </w:tcBorders>
            <w:shd w:val="clear" w:color="auto" w:fill="D5EEEE"/>
          </w:tcPr>
          <w:p>
            <w:pPr>
              <w:jc w:val="right"/>
              <w:ind w:right="146"/>
              <w:spacing w:after="0"/>
              <w:rPr>
                <w:sz w:val="20"/>
                <w:szCs w:val="20"/>
                <w:color w:val="auto"/>
              </w:rPr>
            </w:pPr>
            <w:r>
              <w:rPr>
                <w:rFonts w:ascii="Times New Roman" w:cs="Times New Roman" w:eastAsia="Times New Roman" w:hAnsi="Times New Roman"/>
                <w:sz w:val="19"/>
                <w:szCs w:val="19"/>
                <w:color w:val="auto"/>
                <w:w w:val="83"/>
              </w:rPr>
              <w:t>$</w:t>
            </w:r>
          </w:p>
        </w:tc>
        <w:tc>
          <w:tcPr>
            <w:tcW w:w="860" w:type="dxa"/>
            <w:vAlign w:val="bottom"/>
            <w:tcBorders>
              <w:top w:val="single" w:sz="8" w:color="auto"/>
              <w:bottom w:val="single" w:sz="8" w:color="auto"/>
            </w:tcBorders>
            <w:shd w:val="clear" w:color="auto" w:fill="D5EEEE"/>
          </w:tcPr>
          <w:p>
            <w:pPr>
              <w:ind w:left="260"/>
              <w:spacing w:after="0"/>
              <w:rPr>
                <w:sz w:val="20"/>
                <w:szCs w:val="20"/>
                <w:color w:val="auto"/>
              </w:rPr>
            </w:pPr>
            <w:r>
              <w:rPr>
                <w:rFonts w:ascii="Times New Roman" w:cs="Times New Roman" w:eastAsia="Times New Roman" w:hAnsi="Times New Roman"/>
                <w:sz w:val="19"/>
                <w:szCs w:val="19"/>
                <w:color w:val="auto"/>
                <w:w w:val="89"/>
              </w:rPr>
              <w:t>(35,036)</w:t>
            </w:r>
          </w:p>
        </w:tc>
        <w:tc>
          <w:tcPr>
            <w:tcW w:w="340" w:type="dxa"/>
            <w:vAlign w:val="bottom"/>
            <w:tcBorders>
              <w:top w:val="single" w:sz="8" w:color="D5EEEE"/>
              <w:bottom w:val="single" w:sz="8" w:color="D5EEEE"/>
            </w:tcBorders>
            <w:shd w:val="clear" w:color="auto" w:fill="D5EEEE"/>
          </w:tcPr>
          <w:p>
            <w:pPr>
              <w:spacing w:after="0"/>
              <w:rPr>
                <w:sz w:val="19"/>
                <w:szCs w:val="19"/>
                <w:color w:val="auto"/>
              </w:rPr>
            </w:pPr>
          </w:p>
        </w:tc>
        <w:tc>
          <w:tcPr>
            <w:tcW w:w="340" w:type="dxa"/>
            <w:vAlign w:val="bottom"/>
            <w:tcBorders>
              <w:top w:val="single" w:sz="8" w:color="auto"/>
              <w:bottom w:val="single" w:sz="8" w:color="auto"/>
            </w:tcBorders>
            <w:shd w:val="clear" w:color="auto" w:fill="D5EEEE"/>
          </w:tcPr>
          <w:p>
            <w:pPr>
              <w:jc w:val="right"/>
              <w:ind w:right="146"/>
              <w:spacing w:after="0"/>
              <w:rPr>
                <w:sz w:val="20"/>
                <w:szCs w:val="20"/>
                <w:color w:val="auto"/>
              </w:rPr>
            </w:pPr>
            <w:r>
              <w:rPr>
                <w:rFonts w:ascii="Times New Roman" w:cs="Times New Roman" w:eastAsia="Times New Roman" w:hAnsi="Times New Roman"/>
                <w:sz w:val="19"/>
                <w:szCs w:val="19"/>
                <w:color w:val="auto"/>
                <w:w w:val="83"/>
              </w:rPr>
              <w:t>$</w:t>
            </w:r>
          </w:p>
        </w:tc>
        <w:tc>
          <w:tcPr>
            <w:tcW w:w="860" w:type="dxa"/>
            <w:vAlign w:val="bottom"/>
            <w:tcBorders>
              <w:top w:val="single" w:sz="8" w:color="auto"/>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(58,241</w:t>
            </w:r>
          </w:p>
        </w:tc>
        <w:tc>
          <w:tcPr>
            <w:tcW w:w="80" w:type="dxa"/>
            <w:vAlign w:val="bottom"/>
            <w:tcBorders>
              <w:top w:val="single" w:sz="8" w:color="D5EEEE"/>
              <w:bottom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5EEEE"/>
              </w:rPr>
              <w:t>)</w:t>
            </w:r>
          </w:p>
        </w:tc>
      </w:tr>
      <w:tr>
        <w:trPr>
          <w:trHeight w:val="225"/>
        </w:trPr>
        <w:tc>
          <w:tcPr>
            <w:tcW w:w="738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Total loss before income taxes</w:t>
            </w:r>
          </w:p>
        </w:tc>
        <w:tc>
          <w:tcPr>
            <w:tcW w:w="340" w:type="dxa"/>
            <w:vAlign w:val="bottom"/>
          </w:tcPr>
          <w:p>
            <w:pPr>
              <w:jc w:val="right"/>
              <w:ind w:right="146"/>
              <w:spacing w:after="0"/>
              <w:rPr>
                <w:sz w:val="20"/>
                <w:szCs w:val="20"/>
                <w:color w:val="auto"/>
              </w:rPr>
            </w:pPr>
            <w:r>
              <w:rPr>
                <w:rFonts w:ascii="Times New Roman" w:cs="Times New Roman" w:eastAsia="Times New Roman" w:hAnsi="Times New Roman"/>
                <w:sz w:val="19"/>
                <w:szCs w:val="19"/>
                <w:color w:val="auto"/>
                <w:w w:val="83"/>
              </w:rPr>
              <w:t>$</w:t>
            </w:r>
          </w:p>
        </w:tc>
        <w:tc>
          <w:tcPr>
            <w:tcW w:w="1200" w:type="dxa"/>
            <w:vAlign w:val="bottom"/>
            <w:gridSpan w:val="2"/>
          </w:tcPr>
          <w:p>
            <w:pPr>
              <w:ind w:left="260"/>
              <w:spacing w:after="0"/>
              <w:rPr>
                <w:sz w:val="20"/>
                <w:szCs w:val="20"/>
                <w:color w:val="auto"/>
              </w:rPr>
            </w:pPr>
            <w:r>
              <w:rPr>
                <w:rFonts w:ascii="Times New Roman" w:cs="Times New Roman" w:eastAsia="Times New Roman" w:hAnsi="Times New Roman"/>
                <w:sz w:val="19"/>
                <w:szCs w:val="19"/>
                <w:color w:val="auto"/>
              </w:rPr>
              <w:t>(35,036)</w:t>
            </w:r>
          </w:p>
        </w:tc>
        <w:tc>
          <w:tcPr>
            <w:tcW w:w="340" w:type="dxa"/>
            <w:vAlign w:val="bottom"/>
          </w:tcPr>
          <w:p>
            <w:pPr>
              <w:jc w:val="right"/>
              <w:ind w:right="146"/>
              <w:spacing w:after="0"/>
              <w:rPr>
                <w:sz w:val="20"/>
                <w:szCs w:val="20"/>
                <w:color w:val="auto"/>
              </w:rPr>
            </w:pPr>
            <w:r>
              <w:rPr>
                <w:rFonts w:ascii="Times New Roman" w:cs="Times New Roman" w:eastAsia="Times New Roman" w:hAnsi="Times New Roman"/>
                <w:sz w:val="19"/>
                <w:szCs w:val="19"/>
                <w:color w:val="auto"/>
                <w:w w:val="83"/>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(58,241)</w:t>
            </w:r>
          </w:p>
        </w:tc>
      </w:tr>
      <w:tr>
        <w:trPr>
          <w:trHeight w:val="20"/>
        </w:trPr>
        <w:tc>
          <w:tcPr>
            <w:tcW w:w="73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Company has not recorded a current or deferred tax provision for years ended December 31, 2025 and 2024.</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the U.S. federal statutory income tax rate to the Company’s effective income tax rate for the year ended</w:t>
      </w:r>
    </w:p>
    <w:p>
      <w:pPr>
        <w:spacing w:after="0" w:line="238" w:lineRule="auto"/>
        <w:rPr>
          <w:sz w:val="20"/>
          <w:szCs w:val="20"/>
          <w:color w:val="auto"/>
        </w:rPr>
      </w:pPr>
      <w:r>
        <w:rPr>
          <w:rFonts w:ascii="Times New Roman" w:cs="Times New Roman" w:eastAsia="Times New Roman" w:hAnsi="Times New Roman"/>
          <w:sz w:val="19"/>
          <w:szCs w:val="19"/>
          <w:color w:val="auto"/>
        </w:rPr>
        <w:t>December 31, 2025:</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40" w:type="dxa"/>
            <w:vAlign w:val="bottom"/>
            <w:gridSpan w:val="4"/>
          </w:tcPr>
          <w:p>
            <w:pPr>
              <w:jc w:val="right"/>
              <w:ind w:right="181"/>
              <w:spacing w:after="0"/>
              <w:rPr>
                <w:sz w:val="20"/>
                <w:szCs w:val="20"/>
                <w:color w:val="auto"/>
              </w:rPr>
            </w:pPr>
            <w:r>
              <w:rPr>
                <w:rFonts w:ascii="Times New Roman" w:cs="Times New Roman" w:eastAsia="Times New Roman" w:hAnsi="Times New Roman"/>
                <w:sz w:val="15"/>
                <w:szCs w:val="15"/>
                <w:b w:val="1"/>
                <w:bCs w:val="1"/>
                <w:color w:val="auto"/>
              </w:rPr>
              <w:t>Year Ended December 31, 2025</w:t>
            </w:r>
          </w:p>
        </w:tc>
        <w:tc>
          <w:tcPr>
            <w:tcW w:w="200" w:type="dxa"/>
            <w:vAlign w:val="bottom"/>
            <w:tcBorders>
              <w:bottom w:val="single" w:sz="8" w:color="auto"/>
            </w:tcBorders>
          </w:tcPr>
          <w:p>
            <w:pPr>
              <w:spacing w:after="0"/>
              <w:rPr>
                <w:sz w:val="15"/>
                <w:szCs w:val="15"/>
                <w:color w:val="auto"/>
              </w:rPr>
            </w:pPr>
          </w:p>
        </w:tc>
      </w:tr>
      <w:tr>
        <w:trPr>
          <w:trHeight w:val="181"/>
        </w:trPr>
        <w:tc>
          <w:tcPr>
            <w:tcW w:w="7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right"/>
              <w:ind w:right="74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360" w:type="dxa"/>
            <w:vAlign w:val="bottom"/>
            <w:gridSpan w:val="3"/>
          </w:tcPr>
          <w:p>
            <w:pPr>
              <w:jc w:val="right"/>
              <w:ind w:right="246"/>
              <w:spacing w:after="0"/>
              <w:rPr>
                <w:sz w:val="20"/>
                <w:szCs w:val="20"/>
                <w:color w:val="auto"/>
              </w:rPr>
            </w:pPr>
            <w:r>
              <w:rPr>
                <w:rFonts w:ascii="Times New Roman" w:cs="Times New Roman" w:eastAsia="Times New Roman" w:hAnsi="Times New Roman"/>
                <w:sz w:val="15"/>
                <w:szCs w:val="15"/>
                <w:b w:val="1"/>
                <w:bCs w:val="1"/>
                <w:color w:val="auto"/>
              </w:rPr>
              <w:t>Percentage</w:t>
            </w:r>
          </w:p>
        </w:tc>
      </w:tr>
      <w:tr>
        <w:trPr>
          <w:trHeight w:val="225"/>
        </w:trPr>
        <w:tc>
          <w:tcPr>
            <w:tcW w:w="7240" w:type="dxa"/>
            <w:vAlign w:val="bottom"/>
            <w:tcBorders>
              <w:top w:val="single" w:sz="8" w:color="D5EEEE"/>
            </w:tcBorders>
            <w:shd w:val="clear" w:color="auto" w:fill="D5EEEE"/>
          </w:tcPr>
          <w:p>
            <w:pPr>
              <w:spacing w:after="0"/>
              <w:rPr>
                <w:sz w:val="20"/>
                <w:szCs w:val="20"/>
                <w:color w:val="auto"/>
              </w:rPr>
            </w:pPr>
            <w:r>
              <w:rPr>
                <w:rFonts w:ascii="Times New Roman" w:cs="Times New Roman" w:eastAsia="Times New Roman" w:hAnsi="Times New Roman"/>
                <w:sz w:val="19"/>
                <w:szCs w:val="19"/>
                <w:color w:val="auto"/>
              </w:rPr>
              <w:t>Federal statutory income tax rate</w:t>
            </w:r>
          </w:p>
        </w:tc>
        <w:tc>
          <w:tcPr>
            <w:tcW w:w="220" w:type="dxa"/>
            <w:vAlign w:val="bottom"/>
            <w:tcBorders>
              <w:top w:val="single" w:sz="8" w:color="auto"/>
            </w:tcBorders>
            <w:shd w:val="clear" w:color="auto" w:fill="D5EEEE"/>
          </w:tcPr>
          <w:p>
            <w:pPr>
              <w:jc w:val="right"/>
              <w:ind w:right="6"/>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(7,357)</w:t>
            </w:r>
          </w:p>
        </w:tc>
        <w:tc>
          <w:tcPr>
            <w:tcW w:w="380" w:type="dxa"/>
            <w:vAlign w:val="bottom"/>
            <w:tcBorders>
              <w:top w:val="single" w:sz="8" w:color="D5EEEE"/>
            </w:tcBorders>
            <w:shd w:val="clear" w:color="auto" w:fill="D5EEEE"/>
          </w:tcPr>
          <w:p>
            <w:pPr>
              <w:spacing w:after="0"/>
              <w:rPr>
                <w:sz w:val="19"/>
                <w:szCs w:val="19"/>
                <w:color w:val="auto"/>
              </w:rPr>
            </w:pPr>
          </w:p>
        </w:tc>
        <w:tc>
          <w:tcPr>
            <w:tcW w:w="106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21.0</w:t>
            </w:r>
          </w:p>
        </w:tc>
        <w:tc>
          <w:tcPr>
            <w:tcW w:w="100" w:type="dxa"/>
            <w:vAlign w:val="bottom"/>
            <w:tcBorders>
              <w:top w:val="single" w:sz="8" w:color="auto"/>
            </w:tcBorders>
            <w:shd w:val="clear" w:color="auto" w:fill="D5EEEE"/>
          </w:tcPr>
          <w:p>
            <w:pPr>
              <w:spacing w:after="0"/>
              <w:rPr>
                <w:sz w:val="19"/>
                <w:szCs w:val="19"/>
                <w:color w:val="auto"/>
              </w:rPr>
            </w:pPr>
          </w:p>
        </w:tc>
        <w:tc>
          <w:tcPr>
            <w:tcW w:w="20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w w:val="88"/>
                <w:shd w:val="clear" w:color="auto" w:fill="D5EEEE"/>
              </w:rPr>
              <w:t>%</w:t>
            </w:r>
          </w:p>
        </w:tc>
      </w:tr>
      <w:tr>
        <w:trPr>
          <w:trHeight w:val="230"/>
        </w:trPr>
        <w:tc>
          <w:tcPr>
            <w:tcW w:w="7240" w:type="dxa"/>
            <w:vAlign w:val="bottom"/>
          </w:tcPr>
          <w:p>
            <w:pPr>
              <w:spacing w:after="0"/>
              <w:rPr>
                <w:sz w:val="20"/>
                <w:szCs w:val="20"/>
                <w:color w:val="auto"/>
              </w:rPr>
            </w:pPr>
            <w:r>
              <w:rPr>
                <w:rFonts w:ascii="Times New Roman" w:cs="Times New Roman" w:eastAsia="Times New Roman" w:hAnsi="Times New Roman"/>
                <w:sz w:val="19"/>
                <w:szCs w:val="19"/>
                <w:color w:val="auto"/>
              </w:rPr>
              <w:t>State and local income taxes, net of federal income tax effect</w:t>
            </w:r>
          </w:p>
        </w:tc>
        <w:tc>
          <w:tcPr>
            <w:tcW w:w="22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9"/>
                <w:szCs w:val="19"/>
                <w:color w:val="auto"/>
              </w:rPr>
              <w:t>(4)</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1"/>
        </w:trPr>
        <w:tc>
          <w:tcPr>
            <w:tcW w:w="7240" w:type="dxa"/>
            <w:vAlign w:val="bottom"/>
            <w:shd w:val="clear" w:color="auto" w:fill="D5EEEE"/>
          </w:tcPr>
          <w:p>
            <w:pPr>
              <w:spacing w:after="0"/>
              <w:rPr>
                <w:sz w:val="20"/>
                <w:szCs w:val="20"/>
                <w:color w:val="auto"/>
              </w:rPr>
            </w:pPr>
          </w:p>
        </w:tc>
        <w:tc>
          <w:tcPr>
            <w:tcW w:w="220" w:type="dxa"/>
            <w:vAlign w:val="bottom"/>
            <w:shd w:val="clear" w:color="auto" w:fill="D5EEEE"/>
          </w:tcPr>
          <w:p>
            <w:pPr>
              <w:spacing w:after="0"/>
              <w:rPr>
                <w:sz w:val="20"/>
                <w:szCs w:val="20"/>
                <w:color w:val="auto"/>
              </w:rPr>
            </w:pPr>
          </w:p>
        </w:tc>
        <w:tc>
          <w:tcPr>
            <w:tcW w:w="1000" w:type="dxa"/>
            <w:vAlign w:val="bottom"/>
            <w:shd w:val="clear" w:color="auto" w:fill="D5EEEE"/>
          </w:tcPr>
          <w:p>
            <w:pPr>
              <w:spacing w:after="0"/>
              <w:rPr>
                <w:sz w:val="20"/>
                <w:szCs w:val="20"/>
                <w:color w:val="auto"/>
              </w:rPr>
            </w:pPr>
          </w:p>
        </w:tc>
        <w:tc>
          <w:tcPr>
            <w:tcW w:w="380" w:type="dxa"/>
            <w:vAlign w:val="bottom"/>
            <w:shd w:val="clear" w:color="auto" w:fill="D5EEEE"/>
          </w:tcPr>
          <w:p>
            <w:pPr>
              <w:spacing w:after="0"/>
              <w:rPr>
                <w:sz w:val="20"/>
                <w:szCs w:val="20"/>
                <w:color w:val="auto"/>
              </w:rPr>
            </w:pPr>
          </w:p>
        </w:tc>
        <w:tc>
          <w:tcPr>
            <w:tcW w:w="1060" w:type="dxa"/>
            <w:vAlign w:val="bottom"/>
            <w:shd w:val="clear" w:color="auto" w:fill="D5EEEE"/>
          </w:tcPr>
          <w:p>
            <w:pPr>
              <w:spacing w:after="0"/>
              <w:rPr>
                <w:sz w:val="20"/>
                <w:szCs w:val="20"/>
                <w:color w:val="auto"/>
              </w:rPr>
            </w:pPr>
          </w:p>
        </w:tc>
        <w:tc>
          <w:tcPr>
            <w:tcW w:w="100" w:type="dxa"/>
            <w:vAlign w:val="bottom"/>
            <w:shd w:val="clear" w:color="auto" w:fill="D5EEEE"/>
          </w:tcPr>
          <w:p>
            <w:pPr>
              <w:spacing w:after="0"/>
              <w:rPr>
                <w:sz w:val="20"/>
                <w:szCs w:val="20"/>
                <w:color w:val="auto"/>
              </w:rPr>
            </w:pPr>
          </w:p>
        </w:tc>
        <w:tc>
          <w:tcPr>
            <w:tcW w:w="200" w:type="dxa"/>
            <w:vAlign w:val="bottom"/>
            <w:shd w:val="clear" w:color="auto" w:fill="D5EEEE"/>
          </w:tcPr>
          <w:p>
            <w:pPr>
              <w:spacing w:after="0"/>
              <w:rPr>
                <w:sz w:val="20"/>
                <w:szCs w:val="20"/>
                <w:color w:val="auto"/>
              </w:rPr>
            </w:pPr>
          </w:p>
        </w:tc>
      </w:tr>
      <w:tr>
        <w:trPr>
          <w:trHeight w:val="230"/>
        </w:trPr>
        <w:tc>
          <w:tcPr>
            <w:tcW w:w="7240" w:type="dxa"/>
            <w:vAlign w:val="bottom"/>
          </w:tcPr>
          <w:p>
            <w:pPr>
              <w:spacing w:after="0"/>
              <w:rPr>
                <w:sz w:val="20"/>
                <w:szCs w:val="20"/>
                <w:color w:val="auto"/>
              </w:rPr>
            </w:pPr>
            <w:r>
              <w:rPr>
                <w:rFonts w:ascii="Times New Roman" w:cs="Times New Roman" w:eastAsia="Times New Roman" w:hAnsi="Times New Roman"/>
                <w:sz w:val="19"/>
                <w:szCs w:val="19"/>
                <w:color w:val="auto"/>
              </w:rPr>
              <w:t>Tax credits:</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31"/>
        </w:trPr>
        <w:tc>
          <w:tcPr>
            <w:tcW w:w="7240" w:type="dxa"/>
            <w:vAlign w:val="bottom"/>
            <w:shd w:val="clear" w:color="auto" w:fill="D5EEEE"/>
          </w:tcPr>
          <w:p>
            <w:pPr>
              <w:ind w:left="100"/>
              <w:spacing w:after="0"/>
              <w:rPr>
                <w:sz w:val="20"/>
                <w:szCs w:val="20"/>
                <w:color w:val="auto"/>
              </w:rPr>
            </w:pPr>
            <w:r>
              <w:rPr>
                <w:rFonts w:ascii="Times New Roman" w:cs="Times New Roman" w:eastAsia="Times New Roman" w:hAnsi="Times New Roman"/>
                <w:sz w:val="19"/>
                <w:szCs w:val="19"/>
                <w:color w:val="auto"/>
              </w:rPr>
              <w:t>Research and development tax credits</w:t>
            </w:r>
          </w:p>
        </w:tc>
        <w:tc>
          <w:tcPr>
            <w:tcW w:w="220" w:type="dxa"/>
            <w:vAlign w:val="bottom"/>
            <w:shd w:val="clear" w:color="auto" w:fill="D5EEEE"/>
          </w:tcPr>
          <w:p>
            <w:pPr>
              <w:spacing w:after="0"/>
              <w:rPr>
                <w:sz w:val="20"/>
                <w:szCs w:val="20"/>
                <w:color w:val="auto"/>
              </w:rPr>
            </w:pPr>
          </w:p>
        </w:tc>
        <w:tc>
          <w:tcPr>
            <w:tcW w:w="1380" w:type="dxa"/>
            <w:vAlign w:val="bottom"/>
            <w:gridSpan w:val="2"/>
            <w:shd w:val="clear" w:color="auto" w:fill="D5EEEE"/>
          </w:tcPr>
          <w:p>
            <w:pPr>
              <w:jc w:val="right"/>
              <w:ind w:right="320"/>
              <w:spacing w:after="0"/>
              <w:rPr>
                <w:sz w:val="20"/>
                <w:szCs w:val="20"/>
                <w:color w:val="auto"/>
              </w:rPr>
            </w:pPr>
            <w:r>
              <w:rPr>
                <w:rFonts w:ascii="Times New Roman" w:cs="Times New Roman" w:eastAsia="Times New Roman" w:hAnsi="Times New Roman"/>
                <w:sz w:val="19"/>
                <w:szCs w:val="19"/>
                <w:color w:val="auto"/>
              </w:rPr>
              <w:t>(2,166)</w:t>
            </w:r>
          </w:p>
        </w:tc>
        <w:tc>
          <w:tcPr>
            <w:tcW w:w="10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6.2</w:t>
            </w:r>
          </w:p>
        </w:tc>
        <w:tc>
          <w:tcPr>
            <w:tcW w:w="100" w:type="dxa"/>
            <w:vAlign w:val="bottom"/>
            <w:shd w:val="clear" w:color="auto" w:fill="D5EEEE"/>
          </w:tcPr>
          <w:p>
            <w:pPr>
              <w:spacing w:after="0"/>
              <w:rPr>
                <w:sz w:val="20"/>
                <w:szCs w:val="20"/>
                <w:color w:val="auto"/>
              </w:rPr>
            </w:pPr>
          </w:p>
        </w:tc>
        <w:tc>
          <w:tcPr>
            <w:tcW w:w="200" w:type="dxa"/>
            <w:vAlign w:val="bottom"/>
            <w:shd w:val="clear" w:color="auto" w:fill="D5EEEE"/>
          </w:tcPr>
          <w:p>
            <w:pPr>
              <w:spacing w:after="0"/>
              <w:rPr>
                <w:sz w:val="20"/>
                <w:szCs w:val="20"/>
                <w:color w:val="auto"/>
              </w:rPr>
            </w:pPr>
          </w:p>
        </w:tc>
      </w:tr>
      <w:tr>
        <w:trPr>
          <w:trHeight w:val="230"/>
        </w:trPr>
        <w:tc>
          <w:tcPr>
            <w:tcW w:w="7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gridSpan w:val="2"/>
          </w:tcPr>
          <w:p>
            <w:pPr>
              <w:spacing w:after="0"/>
              <w:rPr>
                <w:sz w:val="20"/>
                <w:szCs w:val="20"/>
                <w:color w:val="auto"/>
              </w:rPr>
            </w:pPr>
          </w:p>
        </w:tc>
        <w:tc>
          <w:tcPr>
            <w:tcW w:w="200" w:type="dxa"/>
            <w:vAlign w:val="bottom"/>
          </w:tcPr>
          <w:p>
            <w:pPr>
              <w:spacing w:after="0"/>
              <w:rPr>
                <w:sz w:val="20"/>
                <w:szCs w:val="20"/>
                <w:color w:val="auto"/>
              </w:rPr>
            </w:pPr>
          </w:p>
        </w:tc>
      </w:tr>
      <w:tr>
        <w:trPr>
          <w:trHeight w:val="230"/>
        </w:trPr>
        <w:tc>
          <w:tcPr>
            <w:tcW w:w="7240" w:type="dxa"/>
            <w:vAlign w:val="bottom"/>
            <w:shd w:val="clear" w:color="auto" w:fill="D5EEEE"/>
          </w:tcPr>
          <w:p>
            <w:pPr>
              <w:spacing w:after="0"/>
              <w:rPr>
                <w:sz w:val="20"/>
                <w:szCs w:val="20"/>
                <w:color w:val="auto"/>
              </w:rPr>
            </w:pPr>
            <w:r>
              <w:rPr>
                <w:rFonts w:ascii="Times New Roman" w:cs="Times New Roman" w:eastAsia="Times New Roman" w:hAnsi="Times New Roman"/>
                <w:sz w:val="19"/>
                <w:szCs w:val="19"/>
                <w:color w:val="auto"/>
              </w:rPr>
              <w:t>Change in valuation allowance</w:t>
            </w:r>
          </w:p>
        </w:tc>
        <w:tc>
          <w:tcPr>
            <w:tcW w:w="220" w:type="dxa"/>
            <w:vAlign w:val="bottom"/>
            <w:shd w:val="clear" w:color="auto" w:fill="D5EEEE"/>
          </w:tcPr>
          <w:p>
            <w:pPr>
              <w:spacing w:after="0"/>
              <w:rPr>
                <w:sz w:val="20"/>
                <w:szCs w:val="20"/>
                <w:color w:val="auto"/>
              </w:rPr>
            </w:pPr>
          </w:p>
        </w:tc>
        <w:tc>
          <w:tcPr>
            <w:tcW w:w="10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9,929</w:t>
            </w:r>
          </w:p>
        </w:tc>
        <w:tc>
          <w:tcPr>
            <w:tcW w:w="380" w:type="dxa"/>
            <w:vAlign w:val="bottom"/>
            <w:shd w:val="clear" w:color="auto" w:fill="D5EEEE"/>
          </w:tcPr>
          <w:p>
            <w:pPr>
              <w:spacing w:after="0"/>
              <w:rPr>
                <w:sz w:val="20"/>
                <w:szCs w:val="20"/>
                <w:color w:val="auto"/>
              </w:rPr>
            </w:pPr>
          </w:p>
        </w:tc>
        <w:tc>
          <w:tcPr>
            <w:tcW w:w="116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(28.3)</w:t>
            </w:r>
          </w:p>
        </w:tc>
        <w:tc>
          <w:tcPr>
            <w:tcW w:w="200" w:type="dxa"/>
            <w:vAlign w:val="bottom"/>
            <w:shd w:val="clear" w:color="auto" w:fill="D5EEEE"/>
          </w:tcPr>
          <w:p>
            <w:pPr>
              <w:spacing w:after="0"/>
              <w:rPr>
                <w:sz w:val="20"/>
                <w:szCs w:val="20"/>
                <w:color w:val="auto"/>
              </w:rPr>
            </w:pPr>
          </w:p>
        </w:tc>
      </w:tr>
      <w:tr>
        <w:trPr>
          <w:trHeight w:val="230"/>
        </w:trPr>
        <w:tc>
          <w:tcPr>
            <w:tcW w:w="7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67"/>
        </w:trPr>
        <w:tc>
          <w:tcPr>
            <w:tcW w:w="7240" w:type="dxa"/>
            <w:vAlign w:val="bottom"/>
            <w:shd w:val="clear" w:color="auto" w:fill="D5EEEE"/>
          </w:tcPr>
          <w:p>
            <w:pPr>
              <w:spacing w:after="0"/>
              <w:rPr>
                <w:sz w:val="20"/>
                <w:szCs w:val="20"/>
                <w:color w:val="auto"/>
              </w:rPr>
            </w:pPr>
            <w:r>
              <w:rPr>
                <w:rFonts w:ascii="Times New Roman" w:cs="Times New Roman" w:eastAsia="Times New Roman" w:hAnsi="Times New Roman"/>
                <w:sz w:val="19"/>
                <w:szCs w:val="19"/>
                <w:color w:val="auto"/>
              </w:rPr>
              <w:t>Nontaxable or nondeductible items:</w:t>
            </w:r>
          </w:p>
        </w:tc>
        <w:tc>
          <w:tcPr>
            <w:tcW w:w="220" w:type="dxa"/>
            <w:vAlign w:val="bottom"/>
            <w:shd w:val="clear" w:color="auto" w:fill="D5EEEE"/>
          </w:tcPr>
          <w:p>
            <w:pPr>
              <w:spacing w:after="0"/>
              <w:rPr>
                <w:sz w:val="23"/>
                <w:szCs w:val="23"/>
                <w:color w:val="auto"/>
              </w:rPr>
            </w:pPr>
          </w:p>
        </w:tc>
        <w:tc>
          <w:tcPr>
            <w:tcW w:w="1000" w:type="dxa"/>
            <w:vAlign w:val="bottom"/>
            <w:shd w:val="clear" w:color="auto" w:fill="D5EEEE"/>
          </w:tcPr>
          <w:p>
            <w:pPr>
              <w:spacing w:after="0"/>
              <w:rPr>
                <w:sz w:val="23"/>
                <w:szCs w:val="23"/>
                <w:color w:val="auto"/>
              </w:rPr>
            </w:pPr>
          </w:p>
        </w:tc>
        <w:tc>
          <w:tcPr>
            <w:tcW w:w="380" w:type="dxa"/>
            <w:vAlign w:val="bottom"/>
            <w:shd w:val="clear" w:color="auto" w:fill="D5EEEE"/>
          </w:tcPr>
          <w:p>
            <w:pPr>
              <w:spacing w:after="0"/>
              <w:rPr>
                <w:sz w:val="23"/>
                <w:szCs w:val="23"/>
                <w:color w:val="auto"/>
              </w:rPr>
            </w:pPr>
          </w:p>
        </w:tc>
        <w:tc>
          <w:tcPr>
            <w:tcW w:w="1060" w:type="dxa"/>
            <w:vAlign w:val="bottom"/>
            <w:shd w:val="clear" w:color="auto" w:fill="D5EEEE"/>
          </w:tcPr>
          <w:p>
            <w:pPr>
              <w:spacing w:after="0"/>
              <w:rPr>
                <w:sz w:val="23"/>
                <w:szCs w:val="23"/>
                <w:color w:val="auto"/>
              </w:rPr>
            </w:pPr>
          </w:p>
        </w:tc>
        <w:tc>
          <w:tcPr>
            <w:tcW w:w="100" w:type="dxa"/>
            <w:vAlign w:val="bottom"/>
            <w:shd w:val="clear" w:color="auto" w:fill="D5EEEE"/>
          </w:tcPr>
          <w:p>
            <w:pPr>
              <w:spacing w:after="0"/>
              <w:rPr>
                <w:sz w:val="23"/>
                <w:szCs w:val="23"/>
                <w:color w:val="auto"/>
              </w:rPr>
            </w:pPr>
          </w:p>
        </w:tc>
        <w:tc>
          <w:tcPr>
            <w:tcW w:w="200" w:type="dxa"/>
            <w:vAlign w:val="bottom"/>
            <w:shd w:val="clear" w:color="auto" w:fill="D5EEEE"/>
          </w:tcPr>
          <w:p>
            <w:pPr>
              <w:spacing w:after="0"/>
              <w:rPr>
                <w:sz w:val="23"/>
                <w:szCs w:val="23"/>
                <w:color w:val="auto"/>
              </w:rPr>
            </w:pPr>
          </w:p>
        </w:tc>
      </w:tr>
      <w:tr>
        <w:trPr>
          <w:trHeight w:val="266"/>
        </w:trPr>
        <w:tc>
          <w:tcPr>
            <w:tcW w:w="72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Warrant and equity premiums</w:t>
            </w:r>
          </w:p>
        </w:tc>
        <w:tc>
          <w:tcPr>
            <w:tcW w:w="220" w:type="dxa"/>
            <w:vAlign w:val="bottom"/>
          </w:tcPr>
          <w:p>
            <w:pPr>
              <w:spacing w:after="0"/>
              <w:rPr>
                <w:sz w:val="23"/>
                <w:szCs w:val="23"/>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9"/>
                <w:szCs w:val="19"/>
                <w:color w:val="auto"/>
              </w:rPr>
              <w:t>(2,727)</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267"/>
        </w:trPr>
        <w:tc>
          <w:tcPr>
            <w:tcW w:w="7240" w:type="dxa"/>
            <w:vAlign w:val="bottom"/>
            <w:shd w:val="clear" w:color="auto" w:fill="D5EEEE"/>
          </w:tcPr>
          <w:p>
            <w:pPr>
              <w:ind w:left="100"/>
              <w:spacing w:after="0"/>
              <w:rPr>
                <w:sz w:val="20"/>
                <w:szCs w:val="20"/>
                <w:color w:val="auto"/>
              </w:rPr>
            </w:pPr>
            <w:r>
              <w:rPr>
                <w:rFonts w:ascii="Times New Roman" w:cs="Times New Roman" w:eastAsia="Times New Roman" w:hAnsi="Times New Roman"/>
                <w:sz w:val="19"/>
                <w:szCs w:val="19"/>
                <w:color w:val="auto"/>
              </w:rPr>
              <w:t>Transaction costs</w:t>
            </w:r>
          </w:p>
        </w:tc>
        <w:tc>
          <w:tcPr>
            <w:tcW w:w="220" w:type="dxa"/>
            <w:vAlign w:val="bottom"/>
            <w:shd w:val="clear" w:color="auto" w:fill="D5EEEE"/>
          </w:tcPr>
          <w:p>
            <w:pPr>
              <w:spacing w:after="0"/>
              <w:rPr>
                <w:sz w:val="23"/>
                <w:szCs w:val="23"/>
                <w:color w:val="auto"/>
              </w:rPr>
            </w:pPr>
          </w:p>
        </w:tc>
        <w:tc>
          <w:tcPr>
            <w:tcW w:w="10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480</w:t>
            </w:r>
          </w:p>
        </w:tc>
        <w:tc>
          <w:tcPr>
            <w:tcW w:w="380" w:type="dxa"/>
            <w:vAlign w:val="bottom"/>
            <w:shd w:val="clear" w:color="auto" w:fill="D5EEEE"/>
          </w:tcPr>
          <w:p>
            <w:pPr>
              <w:spacing w:after="0"/>
              <w:rPr>
                <w:sz w:val="23"/>
                <w:szCs w:val="23"/>
                <w:color w:val="auto"/>
              </w:rPr>
            </w:pPr>
          </w:p>
        </w:tc>
        <w:tc>
          <w:tcPr>
            <w:tcW w:w="116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(1.4)</w:t>
            </w:r>
          </w:p>
        </w:tc>
        <w:tc>
          <w:tcPr>
            <w:tcW w:w="200" w:type="dxa"/>
            <w:vAlign w:val="bottom"/>
            <w:shd w:val="clear" w:color="auto" w:fill="D5EEEE"/>
          </w:tcPr>
          <w:p>
            <w:pPr>
              <w:spacing w:after="0"/>
              <w:rPr>
                <w:sz w:val="23"/>
                <w:szCs w:val="23"/>
                <w:color w:val="auto"/>
              </w:rPr>
            </w:pPr>
          </w:p>
        </w:tc>
      </w:tr>
      <w:tr>
        <w:trPr>
          <w:trHeight w:val="266"/>
        </w:trPr>
        <w:tc>
          <w:tcPr>
            <w:tcW w:w="72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Stock-based compensation</w:t>
            </w: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1,583</w:t>
            </w:r>
          </w:p>
        </w:tc>
        <w:tc>
          <w:tcPr>
            <w:tcW w:w="380" w:type="dxa"/>
            <w:vAlign w:val="bottom"/>
          </w:tcPr>
          <w:p>
            <w:pPr>
              <w:spacing w:after="0"/>
              <w:rPr>
                <w:sz w:val="23"/>
                <w:szCs w:val="23"/>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(4.5)</w:t>
            </w:r>
          </w:p>
        </w:tc>
        <w:tc>
          <w:tcPr>
            <w:tcW w:w="200" w:type="dxa"/>
            <w:vAlign w:val="bottom"/>
          </w:tcPr>
          <w:p>
            <w:pPr>
              <w:spacing w:after="0"/>
              <w:rPr>
                <w:sz w:val="23"/>
                <w:szCs w:val="23"/>
                <w:color w:val="auto"/>
              </w:rPr>
            </w:pPr>
          </w:p>
        </w:tc>
      </w:tr>
      <w:tr>
        <w:trPr>
          <w:trHeight w:val="267"/>
        </w:trPr>
        <w:tc>
          <w:tcPr>
            <w:tcW w:w="7240" w:type="dxa"/>
            <w:vAlign w:val="bottom"/>
            <w:shd w:val="clear" w:color="auto" w:fill="D5EEEE"/>
          </w:tcPr>
          <w:p>
            <w:pPr>
              <w:ind w:left="100"/>
              <w:spacing w:after="0"/>
              <w:rPr>
                <w:sz w:val="20"/>
                <w:szCs w:val="20"/>
                <w:color w:val="auto"/>
              </w:rPr>
            </w:pPr>
            <w:r>
              <w:rPr>
                <w:rFonts w:ascii="Times New Roman" w:cs="Times New Roman" w:eastAsia="Times New Roman" w:hAnsi="Times New Roman"/>
                <w:sz w:val="19"/>
                <w:szCs w:val="19"/>
                <w:color w:val="auto"/>
              </w:rPr>
              <w:t>Other</w:t>
            </w:r>
          </w:p>
        </w:tc>
        <w:tc>
          <w:tcPr>
            <w:tcW w:w="220" w:type="dxa"/>
            <w:vAlign w:val="bottom"/>
            <w:shd w:val="clear" w:color="auto" w:fill="D5EEEE"/>
          </w:tcPr>
          <w:p>
            <w:pPr>
              <w:spacing w:after="0"/>
              <w:rPr>
                <w:sz w:val="23"/>
                <w:szCs w:val="23"/>
                <w:color w:val="auto"/>
              </w:rPr>
            </w:pPr>
          </w:p>
        </w:tc>
        <w:tc>
          <w:tcPr>
            <w:tcW w:w="10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262</w:t>
            </w:r>
          </w:p>
        </w:tc>
        <w:tc>
          <w:tcPr>
            <w:tcW w:w="380" w:type="dxa"/>
            <w:vAlign w:val="bottom"/>
            <w:shd w:val="clear" w:color="auto" w:fill="D5EEEE"/>
          </w:tcPr>
          <w:p>
            <w:pPr>
              <w:spacing w:after="0"/>
              <w:rPr>
                <w:sz w:val="23"/>
                <w:szCs w:val="23"/>
                <w:color w:val="auto"/>
              </w:rPr>
            </w:pPr>
          </w:p>
        </w:tc>
        <w:tc>
          <w:tcPr>
            <w:tcW w:w="116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(0.8)</w:t>
            </w:r>
          </w:p>
        </w:tc>
        <w:tc>
          <w:tcPr>
            <w:tcW w:w="200" w:type="dxa"/>
            <w:vAlign w:val="bottom"/>
            <w:shd w:val="clear" w:color="auto" w:fill="D5EEEE"/>
          </w:tcPr>
          <w:p>
            <w:pPr>
              <w:spacing w:after="0"/>
              <w:rPr>
                <w:sz w:val="23"/>
                <w:szCs w:val="23"/>
                <w:color w:val="auto"/>
              </w:rPr>
            </w:pPr>
          </w:p>
        </w:tc>
      </w:tr>
      <w:tr>
        <w:trPr>
          <w:trHeight w:val="267"/>
        </w:trPr>
        <w:tc>
          <w:tcPr>
            <w:tcW w:w="7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gridSpan w:val="2"/>
          </w:tcPr>
          <w:p>
            <w:pPr>
              <w:spacing w:after="0"/>
              <w:rPr>
                <w:sz w:val="23"/>
                <w:szCs w:val="23"/>
                <w:color w:val="auto"/>
              </w:rPr>
            </w:pPr>
          </w:p>
        </w:tc>
        <w:tc>
          <w:tcPr>
            <w:tcW w:w="1360" w:type="dxa"/>
            <w:vAlign w:val="bottom"/>
            <w:gridSpan w:val="3"/>
          </w:tcPr>
          <w:p>
            <w:pPr>
              <w:spacing w:after="0"/>
              <w:rPr>
                <w:sz w:val="23"/>
                <w:szCs w:val="23"/>
                <w:color w:val="auto"/>
              </w:rPr>
            </w:pPr>
          </w:p>
        </w:tc>
      </w:tr>
      <w:tr>
        <w:trPr>
          <w:trHeight w:val="244"/>
        </w:trPr>
        <w:tc>
          <w:tcPr>
            <w:tcW w:w="7240" w:type="dxa"/>
            <w:vAlign w:val="bottom"/>
            <w:tcBorders>
              <w:top w:val="single" w:sz="8" w:color="D5EEEE"/>
              <w:bottom w:val="single" w:sz="8" w:color="D5EEEE"/>
            </w:tcBorders>
            <w:shd w:val="clear" w:color="auto" w:fill="D5EEEE"/>
          </w:tcPr>
          <w:p>
            <w:pPr>
              <w:spacing w:after="0"/>
              <w:rPr>
                <w:sz w:val="20"/>
                <w:szCs w:val="20"/>
                <w:color w:val="auto"/>
              </w:rPr>
            </w:pPr>
            <w:r>
              <w:rPr>
                <w:rFonts w:ascii="Times New Roman" w:cs="Times New Roman" w:eastAsia="Times New Roman" w:hAnsi="Times New Roman"/>
                <w:sz w:val="19"/>
                <w:szCs w:val="19"/>
                <w:color w:val="auto"/>
              </w:rPr>
              <w:t>Effective income tax rate</w:t>
            </w:r>
          </w:p>
        </w:tc>
        <w:tc>
          <w:tcPr>
            <w:tcW w:w="220" w:type="dxa"/>
            <w:vAlign w:val="bottom"/>
            <w:tcBorders>
              <w:top w:val="single" w:sz="8" w:color="auto"/>
              <w:bottom w:val="single" w:sz="8" w:color="auto"/>
            </w:tcBorders>
            <w:shd w:val="clear" w:color="auto" w:fill="D5EEEE"/>
          </w:tcPr>
          <w:p>
            <w:pPr>
              <w:jc w:val="right"/>
              <w:ind w:right="6"/>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Borders>
              <w:top w:val="single" w:sz="8" w:color="auto"/>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380" w:type="dxa"/>
            <w:vAlign w:val="bottom"/>
            <w:tcBorders>
              <w:top w:val="single" w:sz="8" w:color="D5EEEE"/>
              <w:bottom w:val="single" w:sz="8" w:color="D5EEEE"/>
            </w:tcBorders>
            <w:shd w:val="clear" w:color="auto" w:fill="D5EEEE"/>
          </w:tcPr>
          <w:p>
            <w:pPr>
              <w:spacing w:after="0"/>
              <w:rPr>
                <w:sz w:val="21"/>
                <w:szCs w:val="21"/>
                <w:color w:val="auto"/>
              </w:rPr>
            </w:pPr>
          </w:p>
        </w:tc>
        <w:tc>
          <w:tcPr>
            <w:tcW w:w="1060" w:type="dxa"/>
            <w:vAlign w:val="bottom"/>
            <w:tcBorders>
              <w:top w:val="single" w:sz="8" w:color="auto"/>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(0.00</w:t>
            </w:r>
          </w:p>
        </w:tc>
        <w:tc>
          <w:tcPr>
            <w:tcW w:w="100" w:type="dxa"/>
            <w:vAlign w:val="bottom"/>
            <w:tcBorders>
              <w:top w:val="single" w:sz="8" w:color="D5EEEE"/>
              <w:bottom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5EEEE"/>
              </w:rPr>
              <w:t>)</w:t>
            </w:r>
          </w:p>
        </w:tc>
        <w:tc>
          <w:tcPr>
            <w:tcW w:w="200" w:type="dxa"/>
            <w:vAlign w:val="bottom"/>
            <w:tcBorders>
              <w:top w:val="single" w:sz="8" w:color="auto"/>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w w:val="88"/>
                <w:shd w:val="clear" w:color="auto" w:fill="D5EEEE"/>
              </w:rPr>
              <w:t>%</w:t>
            </w:r>
          </w:p>
        </w:tc>
      </w:tr>
      <w:tr>
        <w:trPr>
          <w:trHeight w:val="20"/>
        </w:trPr>
        <w:tc>
          <w:tcPr>
            <w:tcW w:w="7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4579620</wp:posOffset>
            </wp:positionH>
            <wp:positionV relativeFrom="paragraph">
              <wp:posOffset>-2519680</wp:posOffset>
            </wp:positionV>
            <wp:extent cx="1785620" cy="361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2">
                      <a:extLst>
                        <a:ext uri="{28A0092B-C50C-407E-A947-70E740481C1C}"/>
                      </a:extLst>
                    </a:blip>
                    <a:srcRect/>
                    <a:stretch>
                      <a:fillRect/>
                    </a:stretch>
                  </pic:blipFill>
                  <pic:spPr bwMode="auto">
                    <a:xfrm>
                      <a:off x="0" y="0"/>
                      <a:ext cx="1785620" cy="36195"/>
                    </a:xfrm>
                    <a:prstGeom prst="rect">
                      <a:avLst/>
                    </a:prstGeom>
                    <a:noFill/>
                  </pic:spPr>
                </pic:pic>
              </a:graphicData>
            </a:graphic>
          </wp:anchor>
        </w:drawing>
      </w:r>
    </w:p>
    <w:p>
      <w:pPr>
        <w:sectPr>
          <w:pgSz w:w="12240" w:h="15840" w:orient="portrait"/>
          <w:cols w:equalWidth="0" w:num="1">
            <w:col w:w="10200"/>
          </w:cols>
          <w:pgMar w:left="1020" w:top="1347" w:right="1020" w:bottom="5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F-28</w:t>
      </w:r>
    </w:p>
    <w:p>
      <w:pPr>
        <w:sectPr>
          <w:pgSz w:w="12240" w:h="15840" w:orient="portrait"/>
          <w:cols w:equalWidth="0" w:num="1">
            <w:col w:w="10200"/>
          </w:cols>
          <w:pgMar w:left="1020" w:top="1347" w:right="1020" w:bottom="556" w:gutter="0" w:footer="0" w:header="0"/>
          <w:type w:val="continuous"/>
        </w:sectPr>
      </w:pPr>
    </w:p>
    <w:bookmarkStart w:id="151" w:name="page152"/>
    <w:bookmarkEnd w:id="151"/>
    <w:p>
      <w:pPr>
        <w:jc w:val="both"/>
        <w:spacing w:after="0" w:line="232" w:lineRule="auto"/>
        <w:rPr>
          <w:sz w:val="20"/>
          <w:szCs w:val="20"/>
          <w:color w:val="auto"/>
        </w:rPr>
      </w:pPr>
      <w:r>
        <w:rPr>
          <w:rFonts w:ascii="Times New Roman" w:cs="Times New Roman" w:eastAsia="Times New Roman" w:hAnsi="Times New Roman"/>
          <w:sz w:val="19"/>
          <w:szCs w:val="19"/>
          <w:color w:val="auto"/>
        </w:rPr>
        <w:t>As previously disclosed for the year ended December 31, 2024, prior to the adoption of ASU 2023-09, the effective income tax rate differed from the federal statutory income tax rate as follows:</w:t>
      </w:r>
    </w:p>
    <w:p>
      <w:pPr>
        <w:spacing w:after="0" w:line="129"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5"/>
          <w:szCs w:val="15"/>
          <w:b w:val="1"/>
          <w:bCs w:val="1"/>
          <w:color w:val="auto"/>
        </w:rPr>
        <w:t>Year Ended</w:t>
      </w:r>
    </w:p>
    <w:p>
      <w:pPr>
        <w:spacing w:after="0" w:line="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5"/>
          <w:szCs w:val="15"/>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5438140</wp:posOffset>
                </wp:positionH>
                <wp:positionV relativeFrom="paragraph">
                  <wp:posOffset>4445</wp:posOffset>
                </wp:positionV>
                <wp:extent cx="1038860"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38860" cy="4763"/>
                        </a:xfrm>
                        <a:prstGeom prst="line">
                          <a:avLst/>
                        </a:prstGeom>
                        <a:solidFill>
                          <a:srgbClr val="FFFFFF"/>
                        </a:solidFill>
                        <a:ln w="8991">
                          <a:solidFill>
                            <a:srgbClr val="000000"/>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8.2pt,0.35pt" to="510pt,0.35pt" o:allowincell="f" strokecolor="#000000" strokeweight="0.708pt"/>
            </w:pict>
          </mc:Fallback>
        </mc:AlternateContent>
      </w:r>
    </w:p>
    <w:p>
      <w:pPr>
        <w:spacing w:after="0" w:line="9" w:lineRule="exact"/>
        <w:rPr>
          <w:sz w:val="20"/>
          <w:szCs w:val="20"/>
          <w:color w:val="auto"/>
        </w:rPr>
      </w:pPr>
    </w:p>
    <w:p>
      <w:pPr>
        <w:ind w:left="9220"/>
        <w:spacing w:after="0"/>
        <w:rPr>
          <w:sz w:val="20"/>
          <w:szCs w:val="20"/>
          <w:color w:val="auto"/>
        </w:rPr>
      </w:pPr>
      <w:r>
        <w:rPr>
          <w:rFonts w:ascii="Times New Roman" w:cs="Times New Roman" w:eastAsia="Times New Roman" w:hAnsi="Times New Roman"/>
          <w:sz w:val="15"/>
          <w:szCs w:val="15"/>
          <w:b w:val="1"/>
          <w:bCs w:val="1"/>
          <w:color w:val="auto"/>
        </w:rPr>
        <w:t>2024</w:t>
      </w:r>
    </w:p>
    <w:tbl>
      <w:tblPr>
        <w:tblLayout w:type="fixed"/>
        <w:tblInd w:w="0" w:type="dxa"/>
        <w:tblCellMar>
          <w:top w:w="0" w:type="dxa"/>
          <w:left w:w="0" w:type="dxa"/>
          <w:bottom w:w="0" w:type="dxa"/>
          <w:right w:w="0" w:type="dxa"/>
        </w:tblCellMar>
      </w:tblPr>
      <w:tr>
        <w:trPr>
          <w:trHeight w:val="225"/>
        </w:trPr>
        <w:tc>
          <w:tcPr>
            <w:tcW w:w="6820" w:type="dxa"/>
            <w:vAlign w:val="bottom"/>
            <w:tcBorders>
              <w:top w:val="single" w:sz="8" w:color="D5EEEE"/>
            </w:tcBorders>
            <w:shd w:val="clear" w:color="auto" w:fill="D5EEEE"/>
          </w:tcPr>
          <w:p>
            <w:pPr>
              <w:spacing w:after="0"/>
              <w:rPr>
                <w:sz w:val="20"/>
                <w:szCs w:val="20"/>
                <w:color w:val="auto"/>
              </w:rPr>
            </w:pPr>
            <w:r>
              <w:rPr>
                <w:rFonts w:ascii="Times New Roman" w:cs="Times New Roman" w:eastAsia="Times New Roman" w:hAnsi="Times New Roman"/>
                <w:sz w:val="19"/>
                <w:szCs w:val="19"/>
                <w:color w:val="auto"/>
              </w:rPr>
              <w:t>Tax effected at statutory rate</w:t>
            </w:r>
          </w:p>
        </w:tc>
        <w:tc>
          <w:tcPr>
            <w:tcW w:w="340" w:type="dxa"/>
            <w:vAlign w:val="bottom"/>
            <w:tcBorders>
              <w:top w:val="single" w:sz="8" w:color="D5EEEE"/>
            </w:tcBorders>
            <w:shd w:val="clear" w:color="auto" w:fill="D5EEEE"/>
          </w:tcPr>
          <w:p>
            <w:pPr>
              <w:spacing w:after="0"/>
              <w:rPr>
                <w:sz w:val="19"/>
                <w:szCs w:val="19"/>
                <w:color w:val="auto"/>
              </w:rPr>
            </w:pPr>
          </w:p>
        </w:tc>
        <w:tc>
          <w:tcPr>
            <w:tcW w:w="1280" w:type="dxa"/>
            <w:vAlign w:val="bottom"/>
            <w:tcBorders>
              <w:top w:val="single" w:sz="8" w:color="D5EEEE"/>
            </w:tcBorders>
            <w:shd w:val="clear" w:color="auto" w:fill="D5EEEE"/>
          </w:tcPr>
          <w:p>
            <w:pPr>
              <w:spacing w:after="0"/>
              <w:rPr>
                <w:sz w:val="19"/>
                <w:szCs w:val="19"/>
                <w:color w:val="auto"/>
              </w:rPr>
            </w:pPr>
          </w:p>
        </w:tc>
        <w:tc>
          <w:tcPr>
            <w:tcW w:w="120" w:type="dxa"/>
            <w:vAlign w:val="bottom"/>
            <w:tcBorders>
              <w:top w:val="single" w:sz="8" w:color="D5EEEE"/>
            </w:tcBorders>
            <w:shd w:val="clear" w:color="auto" w:fill="D5EEEE"/>
          </w:tcPr>
          <w:p>
            <w:pPr>
              <w:spacing w:after="0"/>
              <w:rPr>
                <w:sz w:val="19"/>
                <w:szCs w:val="19"/>
                <w:color w:val="auto"/>
              </w:rPr>
            </w:pPr>
          </w:p>
        </w:tc>
        <w:tc>
          <w:tcPr>
            <w:tcW w:w="40" w:type="dxa"/>
            <w:vAlign w:val="bottom"/>
            <w:tcBorders>
              <w:top w:val="single" w:sz="8" w:color="auto"/>
            </w:tcBorders>
            <w:shd w:val="clear" w:color="auto" w:fill="D5EEEE"/>
          </w:tcPr>
          <w:p>
            <w:pPr>
              <w:spacing w:after="0"/>
              <w:rPr>
                <w:sz w:val="19"/>
                <w:szCs w:val="19"/>
                <w:color w:val="auto"/>
              </w:rPr>
            </w:pPr>
          </w:p>
        </w:tc>
        <w:tc>
          <w:tcPr>
            <w:tcW w:w="340" w:type="dxa"/>
            <w:vAlign w:val="bottom"/>
            <w:tcBorders>
              <w:top w:val="single" w:sz="8" w:color="auto"/>
            </w:tcBorders>
            <w:shd w:val="clear" w:color="auto" w:fill="D5EEEE"/>
          </w:tcPr>
          <w:p>
            <w:pPr>
              <w:spacing w:after="0"/>
              <w:rPr>
                <w:sz w:val="19"/>
                <w:szCs w:val="19"/>
                <w:color w:val="auto"/>
              </w:rPr>
            </w:pPr>
          </w:p>
        </w:tc>
        <w:tc>
          <w:tcPr>
            <w:tcW w:w="920" w:type="dxa"/>
            <w:vAlign w:val="bottom"/>
            <w:tcBorders>
              <w:top w:val="single" w:sz="8" w:color="auto"/>
            </w:tcBorders>
            <w:shd w:val="clear" w:color="auto" w:fill="D5EEEE"/>
          </w:tcPr>
          <w:p>
            <w:pPr>
              <w:jc w:val="right"/>
              <w:ind w:right="6"/>
              <w:spacing w:after="0"/>
              <w:rPr>
                <w:sz w:val="20"/>
                <w:szCs w:val="20"/>
                <w:color w:val="auto"/>
              </w:rPr>
            </w:pPr>
            <w:r>
              <w:rPr>
                <w:rFonts w:ascii="Times New Roman" w:cs="Times New Roman" w:eastAsia="Times New Roman" w:hAnsi="Times New Roman"/>
                <w:sz w:val="19"/>
                <w:szCs w:val="19"/>
                <w:color w:val="auto"/>
              </w:rPr>
              <w:t>21.0</w:t>
            </w:r>
          </w:p>
        </w:tc>
        <w:tc>
          <w:tcPr>
            <w:tcW w:w="26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Borders>
              <w:top w:val="single" w:sz="8" w:color="auto"/>
            </w:tcBorders>
            <w:shd w:val="clear" w:color="auto" w:fill="D5EEE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tcPr>
          <w:p>
            <w:pPr>
              <w:spacing w:after="0"/>
              <w:rPr>
                <w:sz w:val="20"/>
                <w:szCs w:val="20"/>
                <w:color w:val="auto"/>
              </w:rPr>
            </w:pPr>
            <w:r>
              <w:rPr>
                <w:rFonts w:ascii="Times New Roman" w:cs="Times New Roman" w:eastAsia="Times New Roman" w:hAnsi="Times New Roman"/>
                <w:sz w:val="19"/>
                <w:szCs w:val="19"/>
                <w:color w:val="auto"/>
              </w:rPr>
              <w:t>State taxes</w:t>
            </w: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auto"/>
              </w:rPr>
              <w:t>7.4</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6820" w:type="dxa"/>
            <w:vAlign w:val="bottom"/>
            <w:shd w:val="clear" w:color="auto" w:fill="D5EEEE"/>
          </w:tcPr>
          <w:p>
            <w:pPr>
              <w:spacing w:after="0"/>
              <w:rPr>
                <w:sz w:val="20"/>
                <w:szCs w:val="20"/>
                <w:color w:val="auto"/>
              </w:rPr>
            </w:pPr>
            <w:r>
              <w:rPr>
                <w:rFonts w:ascii="Times New Roman" w:cs="Times New Roman" w:eastAsia="Times New Roman" w:hAnsi="Times New Roman"/>
                <w:sz w:val="19"/>
                <w:szCs w:val="19"/>
                <w:color w:val="auto"/>
              </w:rPr>
              <w:t>Stock-based compensation</w:t>
            </w:r>
          </w:p>
        </w:tc>
        <w:tc>
          <w:tcPr>
            <w:tcW w:w="340" w:type="dxa"/>
            <w:vAlign w:val="bottom"/>
            <w:shd w:val="clear" w:color="auto" w:fill="D5EEEE"/>
          </w:tcPr>
          <w:p>
            <w:pPr>
              <w:spacing w:after="0"/>
              <w:rPr>
                <w:sz w:val="20"/>
                <w:szCs w:val="20"/>
                <w:color w:val="auto"/>
              </w:rPr>
            </w:pPr>
          </w:p>
        </w:tc>
        <w:tc>
          <w:tcPr>
            <w:tcW w:w="1280" w:type="dxa"/>
            <w:vAlign w:val="bottom"/>
            <w:shd w:val="clear" w:color="auto" w:fill="D5EEEE"/>
          </w:tcPr>
          <w:p>
            <w:pPr>
              <w:spacing w:after="0"/>
              <w:rPr>
                <w:sz w:val="20"/>
                <w:szCs w:val="20"/>
                <w:color w:val="auto"/>
              </w:rPr>
            </w:pPr>
          </w:p>
        </w:tc>
        <w:tc>
          <w:tcPr>
            <w:tcW w:w="120" w:type="dxa"/>
            <w:vAlign w:val="bottom"/>
            <w:shd w:val="clear" w:color="auto" w:fill="D5EEEE"/>
          </w:tcPr>
          <w:p>
            <w:pPr>
              <w:spacing w:after="0"/>
              <w:rPr>
                <w:sz w:val="20"/>
                <w:szCs w:val="20"/>
                <w:color w:val="auto"/>
              </w:rPr>
            </w:pPr>
          </w:p>
        </w:tc>
        <w:tc>
          <w:tcPr>
            <w:tcW w:w="40" w:type="dxa"/>
            <w:vAlign w:val="bottom"/>
            <w:shd w:val="clear" w:color="auto" w:fill="D5EEEE"/>
          </w:tcPr>
          <w:p>
            <w:pPr>
              <w:spacing w:after="0"/>
              <w:rPr>
                <w:sz w:val="20"/>
                <w:szCs w:val="20"/>
                <w:color w:val="auto"/>
              </w:rPr>
            </w:pPr>
          </w:p>
        </w:tc>
        <w:tc>
          <w:tcPr>
            <w:tcW w:w="340" w:type="dxa"/>
            <w:vAlign w:val="bottom"/>
            <w:shd w:val="clear" w:color="auto" w:fill="D5EEEE"/>
          </w:tcPr>
          <w:p>
            <w:pPr>
              <w:spacing w:after="0"/>
              <w:rPr>
                <w:sz w:val="20"/>
                <w:szCs w:val="20"/>
                <w:color w:val="auto"/>
              </w:rPr>
            </w:pPr>
          </w:p>
        </w:tc>
        <w:tc>
          <w:tcPr>
            <w:tcW w:w="9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(1.0)</w:t>
            </w:r>
          </w:p>
        </w:tc>
        <w:tc>
          <w:tcPr>
            <w:tcW w:w="260" w:type="dxa"/>
            <w:vAlign w:val="bottom"/>
            <w:shd w:val="clear" w:color="auto" w:fill="D5EEEE"/>
          </w:tcPr>
          <w:p>
            <w:pPr>
              <w:spacing w:after="0"/>
              <w:rPr>
                <w:sz w:val="20"/>
                <w:szCs w:val="20"/>
                <w:color w:val="auto"/>
              </w:rPr>
            </w:pPr>
          </w:p>
        </w:tc>
        <w:tc>
          <w:tcPr>
            <w:tcW w:w="80" w:type="dxa"/>
            <w:vAlign w:val="bottom"/>
            <w:shd w:val="clear" w:color="auto" w:fill="D5EEE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820" w:type="dxa"/>
            <w:vAlign w:val="bottom"/>
          </w:tcPr>
          <w:p>
            <w:pPr>
              <w:spacing w:after="0"/>
              <w:rPr>
                <w:sz w:val="20"/>
                <w:szCs w:val="20"/>
                <w:color w:val="auto"/>
              </w:rPr>
            </w:pPr>
            <w:r>
              <w:rPr>
                <w:rFonts w:ascii="Times New Roman" w:cs="Times New Roman" w:eastAsia="Times New Roman" w:hAnsi="Times New Roman"/>
                <w:sz w:val="19"/>
                <w:szCs w:val="19"/>
                <w:color w:val="auto"/>
              </w:rPr>
              <w:t>Non-deductible expenses</w:t>
            </w: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6820" w:type="dxa"/>
            <w:vAlign w:val="bottom"/>
            <w:shd w:val="clear" w:color="auto" w:fill="D5EEEE"/>
          </w:tcPr>
          <w:p>
            <w:pPr>
              <w:spacing w:after="0"/>
              <w:rPr>
                <w:sz w:val="20"/>
                <w:szCs w:val="20"/>
                <w:color w:val="auto"/>
              </w:rPr>
            </w:pPr>
            <w:r>
              <w:rPr>
                <w:rFonts w:ascii="Times New Roman" w:cs="Times New Roman" w:eastAsia="Times New Roman" w:hAnsi="Times New Roman"/>
                <w:sz w:val="19"/>
                <w:szCs w:val="19"/>
                <w:color w:val="auto"/>
              </w:rPr>
              <w:t>Federal research and development credits</w:t>
            </w:r>
          </w:p>
        </w:tc>
        <w:tc>
          <w:tcPr>
            <w:tcW w:w="340" w:type="dxa"/>
            <w:vAlign w:val="bottom"/>
            <w:shd w:val="clear" w:color="auto" w:fill="D5EEEE"/>
          </w:tcPr>
          <w:p>
            <w:pPr>
              <w:spacing w:after="0"/>
              <w:rPr>
                <w:sz w:val="20"/>
                <w:szCs w:val="20"/>
                <w:color w:val="auto"/>
              </w:rPr>
            </w:pPr>
          </w:p>
        </w:tc>
        <w:tc>
          <w:tcPr>
            <w:tcW w:w="1280" w:type="dxa"/>
            <w:vAlign w:val="bottom"/>
            <w:shd w:val="clear" w:color="auto" w:fill="D5EEEE"/>
          </w:tcPr>
          <w:p>
            <w:pPr>
              <w:spacing w:after="0"/>
              <w:rPr>
                <w:sz w:val="20"/>
                <w:szCs w:val="20"/>
                <w:color w:val="auto"/>
              </w:rPr>
            </w:pPr>
          </w:p>
        </w:tc>
        <w:tc>
          <w:tcPr>
            <w:tcW w:w="120" w:type="dxa"/>
            <w:vAlign w:val="bottom"/>
            <w:shd w:val="clear" w:color="auto" w:fill="D5EEEE"/>
          </w:tcPr>
          <w:p>
            <w:pPr>
              <w:spacing w:after="0"/>
              <w:rPr>
                <w:sz w:val="20"/>
                <w:szCs w:val="20"/>
                <w:color w:val="auto"/>
              </w:rPr>
            </w:pPr>
          </w:p>
        </w:tc>
        <w:tc>
          <w:tcPr>
            <w:tcW w:w="40" w:type="dxa"/>
            <w:vAlign w:val="bottom"/>
            <w:shd w:val="clear" w:color="auto" w:fill="D5EEEE"/>
          </w:tcPr>
          <w:p>
            <w:pPr>
              <w:spacing w:after="0"/>
              <w:rPr>
                <w:sz w:val="20"/>
                <w:szCs w:val="20"/>
                <w:color w:val="auto"/>
              </w:rPr>
            </w:pPr>
          </w:p>
        </w:tc>
        <w:tc>
          <w:tcPr>
            <w:tcW w:w="340" w:type="dxa"/>
            <w:vAlign w:val="bottom"/>
            <w:shd w:val="clear" w:color="auto" w:fill="D5EEEE"/>
          </w:tcPr>
          <w:p>
            <w:pPr>
              <w:spacing w:after="0"/>
              <w:rPr>
                <w:sz w:val="20"/>
                <w:szCs w:val="20"/>
                <w:color w:val="auto"/>
              </w:rPr>
            </w:pPr>
          </w:p>
        </w:tc>
        <w:tc>
          <w:tcPr>
            <w:tcW w:w="920" w:type="dxa"/>
            <w:vAlign w:val="bottom"/>
            <w:shd w:val="clear" w:color="auto" w:fill="D5EEEE"/>
          </w:tcPr>
          <w:p>
            <w:pPr>
              <w:jc w:val="right"/>
              <w:ind w:right="6"/>
              <w:spacing w:after="0"/>
              <w:rPr>
                <w:sz w:val="20"/>
                <w:szCs w:val="20"/>
                <w:color w:val="auto"/>
              </w:rPr>
            </w:pPr>
            <w:r>
              <w:rPr>
                <w:rFonts w:ascii="Times New Roman" w:cs="Times New Roman" w:eastAsia="Times New Roman" w:hAnsi="Times New Roman"/>
                <w:sz w:val="19"/>
                <w:szCs w:val="19"/>
                <w:color w:val="auto"/>
              </w:rPr>
              <w:t>4.0</w:t>
            </w:r>
          </w:p>
        </w:tc>
        <w:tc>
          <w:tcPr>
            <w:tcW w:w="260" w:type="dxa"/>
            <w:vAlign w:val="bottom"/>
            <w:shd w:val="clear" w:color="auto" w:fill="D5EEEE"/>
          </w:tcPr>
          <w:p>
            <w:pPr>
              <w:spacing w:after="0"/>
              <w:rPr>
                <w:sz w:val="20"/>
                <w:szCs w:val="20"/>
                <w:color w:val="auto"/>
              </w:rPr>
            </w:pPr>
          </w:p>
        </w:tc>
        <w:tc>
          <w:tcPr>
            <w:tcW w:w="80" w:type="dxa"/>
            <w:vAlign w:val="bottom"/>
            <w:shd w:val="clear" w:color="auto" w:fill="D5EEE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820" w:type="dxa"/>
            <w:vAlign w:val="bottom"/>
            <w:tcBorders>
              <w:bottom w:val="single" w:sz="8" w:color="D5EEEE"/>
            </w:tcBorders>
          </w:tcPr>
          <w:p>
            <w:pPr>
              <w:spacing w:after="0"/>
              <w:rPr>
                <w:sz w:val="20"/>
                <w:szCs w:val="20"/>
                <w:color w:val="auto"/>
              </w:rPr>
            </w:pPr>
            <w:r>
              <w:rPr>
                <w:rFonts w:ascii="Times New Roman" w:cs="Times New Roman" w:eastAsia="Times New Roman" w:hAnsi="Times New Roman"/>
                <w:sz w:val="19"/>
                <w:szCs w:val="19"/>
                <w:color w:val="auto"/>
              </w:rPr>
              <w:t>Change in valuation allowance</w:t>
            </w:r>
          </w:p>
        </w:tc>
        <w:tc>
          <w:tcPr>
            <w:tcW w:w="340" w:type="dxa"/>
            <w:vAlign w:val="bottom"/>
            <w:tcBorders>
              <w:bottom w:val="single" w:sz="8" w:color="D5EEEE"/>
            </w:tcBorders>
          </w:tcPr>
          <w:p>
            <w:pPr>
              <w:spacing w:after="0"/>
              <w:rPr>
                <w:sz w:val="19"/>
                <w:szCs w:val="19"/>
                <w:color w:val="auto"/>
              </w:rPr>
            </w:pPr>
          </w:p>
        </w:tc>
        <w:tc>
          <w:tcPr>
            <w:tcW w:w="1280" w:type="dxa"/>
            <w:vAlign w:val="bottom"/>
            <w:tcBorders>
              <w:bottom w:val="single" w:sz="8" w:color="D5EEEE"/>
            </w:tcBorders>
          </w:tcPr>
          <w:p>
            <w:pPr>
              <w:spacing w:after="0"/>
              <w:rPr>
                <w:sz w:val="19"/>
                <w:szCs w:val="19"/>
                <w:color w:val="auto"/>
              </w:rPr>
            </w:pPr>
          </w:p>
        </w:tc>
        <w:tc>
          <w:tcPr>
            <w:tcW w:w="120" w:type="dxa"/>
            <w:vAlign w:val="bottom"/>
            <w:tcBorders>
              <w:bottom w:val="single" w:sz="8" w:color="D5EEEE"/>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(30.2)</w:t>
            </w:r>
          </w:p>
        </w:tc>
        <w:tc>
          <w:tcPr>
            <w:tcW w:w="2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820" w:type="dxa"/>
            <w:vAlign w:val="bottom"/>
            <w:shd w:val="clear" w:color="auto" w:fill="D5EEEE"/>
          </w:tcPr>
          <w:p>
            <w:pPr>
              <w:ind w:left="100"/>
              <w:spacing w:after="0"/>
              <w:rPr>
                <w:sz w:val="20"/>
                <w:szCs w:val="20"/>
                <w:color w:val="auto"/>
              </w:rPr>
            </w:pPr>
            <w:r>
              <w:rPr>
                <w:rFonts w:ascii="Times New Roman" w:cs="Times New Roman" w:eastAsia="Times New Roman" w:hAnsi="Times New Roman"/>
                <w:sz w:val="19"/>
                <w:szCs w:val="19"/>
                <w:color w:val="auto"/>
              </w:rPr>
              <w:t>Effective income tax rate</w:t>
            </w:r>
          </w:p>
        </w:tc>
        <w:tc>
          <w:tcPr>
            <w:tcW w:w="340" w:type="dxa"/>
            <w:vAlign w:val="bottom"/>
            <w:shd w:val="clear" w:color="auto" w:fill="D5EEEE"/>
          </w:tcPr>
          <w:p>
            <w:pPr>
              <w:spacing w:after="0"/>
              <w:rPr>
                <w:sz w:val="19"/>
                <w:szCs w:val="19"/>
                <w:color w:val="auto"/>
              </w:rPr>
            </w:pPr>
          </w:p>
        </w:tc>
        <w:tc>
          <w:tcPr>
            <w:tcW w:w="1280" w:type="dxa"/>
            <w:vAlign w:val="bottom"/>
            <w:shd w:val="clear" w:color="auto" w:fill="D5EEEE"/>
          </w:tcPr>
          <w:p>
            <w:pPr>
              <w:spacing w:after="0"/>
              <w:rPr>
                <w:sz w:val="19"/>
                <w:szCs w:val="19"/>
                <w:color w:val="auto"/>
              </w:rPr>
            </w:pPr>
          </w:p>
        </w:tc>
        <w:tc>
          <w:tcPr>
            <w:tcW w:w="120" w:type="dxa"/>
            <w:vAlign w:val="bottom"/>
            <w:shd w:val="clear" w:color="auto" w:fill="D5EEEE"/>
          </w:tcPr>
          <w:p>
            <w:pPr>
              <w:spacing w:after="0"/>
              <w:rPr>
                <w:sz w:val="19"/>
                <w:szCs w:val="19"/>
                <w:color w:val="auto"/>
              </w:rPr>
            </w:pPr>
          </w:p>
        </w:tc>
        <w:tc>
          <w:tcPr>
            <w:tcW w:w="40" w:type="dxa"/>
            <w:vAlign w:val="bottom"/>
            <w:tcBorders>
              <w:bottom w:val="single" w:sz="8" w:color="auto"/>
            </w:tcBorders>
            <w:shd w:val="clear" w:color="auto" w:fill="D5EEEE"/>
          </w:tcPr>
          <w:p>
            <w:pPr>
              <w:spacing w:after="0"/>
              <w:rPr>
                <w:sz w:val="19"/>
                <w:szCs w:val="19"/>
                <w:color w:val="auto"/>
              </w:rPr>
            </w:pPr>
          </w:p>
        </w:tc>
        <w:tc>
          <w:tcPr>
            <w:tcW w:w="340" w:type="dxa"/>
            <w:vAlign w:val="bottom"/>
            <w:tcBorders>
              <w:bottom w:val="single" w:sz="8" w:color="auto"/>
            </w:tcBorders>
            <w:shd w:val="clear" w:color="auto" w:fill="D5EEEE"/>
          </w:tcPr>
          <w:p>
            <w:pPr>
              <w:spacing w:after="0"/>
              <w:rPr>
                <w:sz w:val="19"/>
                <w:szCs w:val="19"/>
                <w:color w:val="auto"/>
              </w:rPr>
            </w:pPr>
          </w:p>
        </w:tc>
        <w:tc>
          <w:tcPr>
            <w:tcW w:w="920" w:type="dxa"/>
            <w:vAlign w:val="bottom"/>
            <w:tcBorders>
              <w:bottom w:val="single" w:sz="8" w:color="auto"/>
            </w:tcBorders>
            <w:shd w:val="clear" w:color="auto" w:fill="D5EEEE"/>
          </w:tcPr>
          <w:p>
            <w:pPr>
              <w:jc w:val="right"/>
              <w:ind w:right="6"/>
              <w:spacing w:after="0"/>
              <w:rPr>
                <w:sz w:val="20"/>
                <w:szCs w:val="20"/>
                <w:color w:val="auto"/>
              </w:rPr>
            </w:pPr>
            <w:r>
              <w:rPr>
                <w:rFonts w:ascii="Times New Roman" w:cs="Times New Roman" w:eastAsia="Times New Roman" w:hAnsi="Times New Roman"/>
                <w:sz w:val="19"/>
                <w:szCs w:val="19"/>
                <w:color w:val="auto"/>
              </w:rPr>
              <w:t>0.0</w:t>
            </w:r>
          </w:p>
        </w:tc>
        <w:tc>
          <w:tcPr>
            <w:tcW w:w="2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Borders>
              <w:bottom w:val="single" w:sz="8" w:color="auto"/>
            </w:tcBorders>
            <w:shd w:val="clear" w:color="auto" w:fill="D5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Deferred tax assets consist of the following as of December 31, 2025 and 2024:</w:t>
            </w:r>
          </w:p>
        </w:tc>
        <w:tc>
          <w:tcPr>
            <w:tcW w:w="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8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6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00" w:type="dxa"/>
            <w:vAlign w:val="bottom"/>
            <w:gridSpan w:val="5"/>
          </w:tcPr>
          <w:p>
            <w:pPr>
              <w:jc w:val="right"/>
              <w:ind w:right="466"/>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2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6820" w:type="dxa"/>
            <w:vAlign w:val="bottom"/>
            <w:tcBorders>
              <w:bottom w:val="single" w:sz="8" w:color="D5EEEE"/>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28"/>
              <w:spacing w:after="0"/>
              <w:rPr>
                <w:sz w:val="20"/>
                <w:szCs w:val="20"/>
                <w:color w:val="auto"/>
              </w:rPr>
            </w:pPr>
            <w:r>
              <w:rPr>
                <w:rFonts w:ascii="Times New Roman" w:cs="Times New Roman" w:eastAsia="Times New Roman" w:hAnsi="Times New Roman"/>
                <w:sz w:val="15"/>
                <w:szCs w:val="15"/>
                <w:b w:val="1"/>
                <w:bCs w:val="1"/>
                <w:color w:val="auto"/>
              </w:rPr>
              <w:t>2025</w:t>
            </w:r>
          </w:p>
        </w:tc>
        <w:tc>
          <w:tcPr>
            <w:tcW w:w="120" w:type="dxa"/>
            <w:vAlign w:val="bottom"/>
            <w:tcBorders>
              <w:bottom w:val="single" w:sz="8" w:color="D5EEEE"/>
            </w:tcBorders>
          </w:tcPr>
          <w:p>
            <w:pPr>
              <w:spacing w:after="0"/>
              <w:rPr>
                <w:sz w:val="15"/>
                <w:szCs w:val="15"/>
                <w:color w:val="auto"/>
              </w:rPr>
            </w:pPr>
          </w:p>
        </w:tc>
        <w:tc>
          <w:tcPr>
            <w:tcW w:w="40" w:type="dxa"/>
            <w:vAlign w:val="bottom"/>
            <w:tcBorders>
              <w:bottom w:val="single" w:sz="8" w:color="D5EEEE"/>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5"/>
                <w:szCs w:val="15"/>
                <w:b w:val="1"/>
                <w:bCs w:val="1"/>
                <w:color w:val="auto"/>
              </w:rPr>
              <w:t>2024</w:t>
            </w:r>
          </w:p>
        </w:tc>
        <w:tc>
          <w:tcPr>
            <w:tcW w:w="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6820" w:type="dxa"/>
            <w:vAlign w:val="bottom"/>
            <w:shd w:val="clear" w:color="auto" w:fill="D5EEEE"/>
          </w:tcPr>
          <w:p>
            <w:pPr>
              <w:spacing w:after="0"/>
              <w:rPr>
                <w:sz w:val="20"/>
                <w:szCs w:val="20"/>
                <w:color w:val="auto"/>
              </w:rPr>
            </w:pPr>
            <w:r>
              <w:rPr>
                <w:rFonts w:ascii="Times New Roman" w:cs="Times New Roman" w:eastAsia="Times New Roman" w:hAnsi="Times New Roman"/>
                <w:sz w:val="19"/>
                <w:szCs w:val="19"/>
                <w:color w:val="auto"/>
              </w:rPr>
              <w:t>Deferred tax assets:</w:t>
            </w:r>
          </w:p>
        </w:tc>
        <w:tc>
          <w:tcPr>
            <w:tcW w:w="340" w:type="dxa"/>
            <w:vAlign w:val="bottom"/>
            <w:shd w:val="clear" w:color="auto" w:fill="D5EEEE"/>
          </w:tcPr>
          <w:p>
            <w:pPr>
              <w:spacing w:after="0"/>
              <w:rPr>
                <w:sz w:val="19"/>
                <w:szCs w:val="19"/>
                <w:color w:val="auto"/>
              </w:rPr>
            </w:pPr>
          </w:p>
        </w:tc>
        <w:tc>
          <w:tcPr>
            <w:tcW w:w="1280" w:type="dxa"/>
            <w:vAlign w:val="bottom"/>
            <w:shd w:val="clear" w:color="auto" w:fill="D5EEEE"/>
          </w:tcPr>
          <w:p>
            <w:pPr>
              <w:spacing w:after="0"/>
              <w:rPr>
                <w:sz w:val="19"/>
                <w:szCs w:val="19"/>
                <w:color w:val="auto"/>
              </w:rPr>
            </w:pPr>
          </w:p>
        </w:tc>
        <w:tc>
          <w:tcPr>
            <w:tcW w:w="120" w:type="dxa"/>
            <w:vAlign w:val="bottom"/>
            <w:shd w:val="clear" w:color="auto" w:fill="D5EEEE"/>
          </w:tcPr>
          <w:p>
            <w:pPr>
              <w:spacing w:after="0"/>
              <w:rPr>
                <w:sz w:val="19"/>
                <w:szCs w:val="19"/>
                <w:color w:val="auto"/>
              </w:rPr>
            </w:pPr>
          </w:p>
        </w:tc>
        <w:tc>
          <w:tcPr>
            <w:tcW w:w="40" w:type="dxa"/>
            <w:vAlign w:val="bottom"/>
            <w:shd w:val="clear" w:color="auto" w:fill="D5EEEE"/>
          </w:tcPr>
          <w:p>
            <w:pPr>
              <w:spacing w:after="0"/>
              <w:rPr>
                <w:sz w:val="19"/>
                <w:szCs w:val="19"/>
                <w:color w:val="auto"/>
              </w:rPr>
            </w:pPr>
          </w:p>
        </w:tc>
        <w:tc>
          <w:tcPr>
            <w:tcW w:w="340" w:type="dxa"/>
            <w:vAlign w:val="bottom"/>
            <w:shd w:val="clear" w:color="auto" w:fill="D5EEEE"/>
          </w:tcPr>
          <w:p>
            <w:pPr>
              <w:spacing w:after="0"/>
              <w:rPr>
                <w:sz w:val="19"/>
                <w:szCs w:val="19"/>
                <w:color w:val="auto"/>
              </w:rPr>
            </w:pPr>
          </w:p>
        </w:tc>
        <w:tc>
          <w:tcPr>
            <w:tcW w:w="920" w:type="dxa"/>
            <w:vAlign w:val="bottom"/>
            <w:shd w:val="clear" w:color="auto" w:fill="D5EEEE"/>
          </w:tcPr>
          <w:p>
            <w:pPr>
              <w:spacing w:after="0"/>
              <w:rPr>
                <w:sz w:val="19"/>
                <w:szCs w:val="19"/>
                <w:color w:val="auto"/>
              </w:rPr>
            </w:pPr>
          </w:p>
        </w:tc>
        <w:tc>
          <w:tcPr>
            <w:tcW w:w="260" w:type="dxa"/>
            <w:vAlign w:val="bottom"/>
            <w:shd w:val="clear" w:color="auto" w:fill="D5EEEE"/>
          </w:tcPr>
          <w:p>
            <w:pPr>
              <w:spacing w:after="0"/>
              <w:rPr>
                <w:sz w:val="19"/>
                <w:szCs w:val="19"/>
                <w:color w:val="auto"/>
              </w:rPr>
            </w:pPr>
          </w:p>
        </w:tc>
        <w:tc>
          <w:tcPr>
            <w:tcW w:w="80" w:type="dxa"/>
            <w:vAlign w:val="bottom"/>
            <w:shd w:val="clear" w:color="auto" w:fill="D5EEE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Federal net operating loss carryforwards</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ind w:right="28"/>
              <w:spacing w:after="0"/>
              <w:rPr>
                <w:sz w:val="20"/>
                <w:szCs w:val="20"/>
                <w:color w:val="auto"/>
              </w:rPr>
            </w:pPr>
            <w:r>
              <w:rPr>
                <w:rFonts w:ascii="Times New Roman" w:cs="Times New Roman" w:eastAsia="Times New Roman" w:hAnsi="Times New Roman"/>
                <w:sz w:val="19"/>
                <w:szCs w:val="19"/>
                <w:color w:val="auto"/>
              </w:rPr>
              <w:t>55,331</w:t>
            </w:r>
          </w:p>
        </w:tc>
        <w:tc>
          <w:tcPr>
            <w:tcW w:w="120" w:type="dxa"/>
            <w:vAlign w:val="bottom"/>
          </w:tcPr>
          <w:p>
            <w:pPr>
              <w:spacing w:after="0"/>
              <w:rPr>
                <w:sz w:val="20"/>
                <w:szCs w:val="20"/>
                <w:color w:val="auto"/>
              </w:rPr>
            </w:pPr>
          </w:p>
        </w:tc>
        <w:tc>
          <w:tcPr>
            <w:tcW w:w="380" w:type="dxa"/>
            <w:vAlign w:val="bottom"/>
            <w:gridSpan w:val="2"/>
          </w:tcPr>
          <w:p>
            <w:pPr>
              <w:jc w:val="right"/>
              <w:ind w:right="240"/>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51,548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6820" w:type="dxa"/>
            <w:vAlign w:val="bottom"/>
            <w:shd w:val="clear" w:color="auto" w:fill="D5EEEE"/>
          </w:tcPr>
          <w:p>
            <w:pPr>
              <w:ind w:left="100"/>
              <w:spacing w:after="0"/>
              <w:rPr>
                <w:sz w:val="20"/>
                <w:szCs w:val="20"/>
                <w:color w:val="auto"/>
              </w:rPr>
            </w:pPr>
            <w:r>
              <w:rPr>
                <w:rFonts w:ascii="Times New Roman" w:cs="Times New Roman" w:eastAsia="Times New Roman" w:hAnsi="Times New Roman"/>
                <w:sz w:val="19"/>
                <w:szCs w:val="19"/>
                <w:color w:val="auto"/>
              </w:rPr>
              <w:t>State net operating loss carryforwards</w:t>
            </w:r>
          </w:p>
        </w:tc>
        <w:tc>
          <w:tcPr>
            <w:tcW w:w="340" w:type="dxa"/>
            <w:vAlign w:val="bottom"/>
            <w:shd w:val="clear" w:color="auto" w:fill="D5EEEE"/>
          </w:tcPr>
          <w:p>
            <w:pPr>
              <w:spacing w:after="0"/>
              <w:rPr>
                <w:sz w:val="20"/>
                <w:szCs w:val="20"/>
                <w:color w:val="auto"/>
              </w:rPr>
            </w:pPr>
          </w:p>
        </w:tc>
        <w:tc>
          <w:tcPr>
            <w:tcW w:w="1280" w:type="dxa"/>
            <w:vAlign w:val="bottom"/>
            <w:shd w:val="clear" w:color="auto" w:fill="D5EEEE"/>
          </w:tcPr>
          <w:p>
            <w:pPr>
              <w:jc w:val="right"/>
              <w:ind w:right="28"/>
              <w:spacing w:after="0"/>
              <w:rPr>
                <w:sz w:val="20"/>
                <w:szCs w:val="20"/>
                <w:color w:val="auto"/>
              </w:rPr>
            </w:pPr>
            <w:r>
              <w:rPr>
                <w:rFonts w:ascii="Times New Roman" w:cs="Times New Roman" w:eastAsia="Times New Roman" w:hAnsi="Times New Roman"/>
                <w:sz w:val="19"/>
                <w:szCs w:val="19"/>
                <w:color w:val="auto"/>
              </w:rPr>
              <w:t>14,827</w:t>
            </w:r>
          </w:p>
        </w:tc>
        <w:tc>
          <w:tcPr>
            <w:tcW w:w="120" w:type="dxa"/>
            <w:vAlign w:val="bottom"/>
            <w:shd w:val="clear" w:color="auto" w:fill="D5EEEE"/>
          </w:tcPr>
          <w:p>
            <w:pPr>
              <w:spacing w:after="0"/>
              <w:rPr>
                <w:sz w:val="20"/>
                <w:szCs w:val="20"/>
                <w:color w:val="auto"/>
              </w:rPr>
            </w:pPr>
          </w:p>
        </w:tc>
        <w:tc>
          <w:tcPr>
            <w:tcW w:w="40" w:type="dxa"/>
            <w:vAlign w:val="bottom"/>
            <w:shd w:val="clear" w:color="auto" w:fill="D5EEEE"/>
          </w:tcPr>
          <w:p>
            <w:pPr>
              <w:spacing w:after="0"/>
              <w:rPr>
                <w:sz w:val="20"/>
                <w:szCs w:val="20"/>
                <w:color w:val="auto"/>
              </w:rPr>
            </w:pPr>
          </w:p>
        </w:tc>
        <w:tc>
          <w:tcPr>
            <w:tcW w:w="340" w:type="dxa"/>
            <w:vAlign w:val="bottom"/>
            <w:shd w:val="clear" w:color="auto" w:fill="D5EEEE"/>
          </w:tcPr>
          <w:p>
            <w:pPr>
              <w:spacing w:after="0"/>
              <w:rPr>
                <w:sz w:val="20"/>
                <w:szCs w:val="20"/>
                <w:color w:val="auto"/>
              </w:rPr>
            </w:pPr>
          </w:p>
        </w:tc>
        <w:tc>
          <w:tcPr>
            <w:tcW w:w="118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13,745</w:t>
            </w:r>
          </w:p>
        </w:tc>
        <w:tc>
          <w:tcPr>
            <w:tcW w:w="80" w:type="dxa"/>
            <w:vAlign w:val="bottom"/>
            <w:shd w:val="clear" w:color="auto" w:fill="D5EEE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8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Capitalized research and development expenditures</w:t>
            </w:r>
          </w:p>
        </w:tc>
        <w:tc>
          <w:tcPr>
            <w:tcW w:w="340" w:type="dxa"/>
            <w:vAlign w:val="bottom"/>
          </w:tcPr>
          <w:p>
            <w:pPr>
              <w:spacing w:after="0"/>
              <w:rPr>
                <w:sz w:val="19"/>
                <w:szCs w:val="19"/>
                <w:color w:val="auto"/>
              </w:rPr>
            </w:pPr>
          </w:p>
        </w:tc>
        <w:tc>
          <w:tcPr>
            <w:tcW w:w="1280" w:type="dxa"/>
            <w:vAlign w:val="bottom"/>
          </w:tcPr>
          <w:p>
            <w:pPr>
              <w:jc w:val="right"/>
              <w:ind w:right="28"/>
              <w:spacing w:after="0"/>
              <w:rPr>
                <w:sz w:val="20"/>
                <w:szCs w:val="20"/>
                <w:color w:val="auto"/>
              </w:rPr>
            </w:pPr>
            <w:r>
              <w:rPr>
                <w:rFonts w:ascii="Times New Roman" w:cs="Times New Roman" w:eastAsia="Times New Roman" w:hAnsi="Times New Roman"/>
                <w:sz w:val="19"/>
                <w:szCs w:val="19"/>
                <w:color w:val="auto"/>
              </w:rPr>
              <w:t>19,804</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28,934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6820" w:type="dxa"/>
            <w:vAlign w:val="bottom"/>
            <w:shd w:val="clear" w:color="auto" w:fill="D5EEEE"/>
          </w:tcPr>
          <w:p>
            <w:pPr>
              <w:ind w:left="100"/>
              <w:spacing w:after="0"/>
              <w:rPr>
                <w:sz w:val="20"/>
                <w:szCs w:val="20"/>
                <w:color w:val="auto"/>
              </w:rPr>
            </w:pPr>
            <w:r>
              <w:rPr>
                <w:rFonts w:ascii="Times New Roman" w:cs="Times New Roman" w:eastAsia="Times New Roman" w:hAnsi="Times New Roman"/>
                <w:sz w:val="19"/>
                <w:szCs w:val="19"/>
                <w:color w:val="auto"/>
              </w:rPr>
              <w:t>Research and development credit carryforwards</w:t>
            </w:r>
          </w:p>
        </w:tc>
        <w:tc>
          <w:tcPr>
            <w:tcW w:w="340" w:type="dxa"/>
            <w:vAlign w:val="bottom"/>
            <w:shd w:val="clear" w:color="auto" w:fill="D5EEEE"/>
          </w:tcPr>
          <w:p>
            <w:pPr>
              <w:spacing w:after="0"/>
              <w:rPr>
                <w:sz w:val="20"/>
                <w:szCs w:val="20"/>
                <w:color w:val="auto"/>
              </w:rPr>
            </w:pPr>
          </w:p>
        </w:tc>
        <w:tc>
          <w:tcPr>
            <w:tcW w:w="1280" w:type="dxa"/>
            <w:vAlign w:val="bottom"/>
            <w:shd w:val="clear" w:color="auto" w:fill="D5EEEE"/>
          </w:tcPr>
          <w:p>
            <w:pPr>
              <w:jc w:val="right"/>
              <w:ind w:right="28"/>
              <w:spacing w:after="0"/>
              <w:rPr>
                <w:sz w:val="20"/>
                <w:szCs w:val="20"/>
                <w:color w:val="auto"/>
              </w:rPr>
            </w:pPr>
            <w:r>
              <w:rPr>
                <w:rFonts w:ascii="Times New Roman" w:cs="Times New Roman" w:eastAsia="Times New Roman" w:hAnsi="Times New Roman"/>
                <w:sz w:val="19"/>
                <w:szCs w:val="19"/>
                <w:color w:val="auto"/>
              </w:rPr>
              <w:t>16,021</w:t>
            </w:r>
          </w:p>
        </w:tc>
        <w:tc>
          <w:tcPr>
            <w:tcW w:w="120" w:type="dxa"/>
            <w:vAlign w:val="bottom"/>
            <w:shd w:val="clear" w:color="auto" w:fill="D5EEEE"/>
          </w:tcPr>
          <w:p>
            <w:pPr>
              <w:spacing w:after="0"/>
              <w:rPr>
                <w:sz w:val="20"/>
                <w:szCs w:val="20"/>
                <w:color w:val="auto"/>
              </w:rPr>
            </w:pPr>
          </w:p>
        </w:tc>
        <w:tc>
          <w:tcPr>
            <w:tcW w:w="40" w:type="dxa"/>
            <w:vAlign w:val="bottom"/>
            <w:shd w:val="clear" w:color="auto" w:fill="D5EEEE"/>
          </w:tcPr>
          <w:p>
            <w:pPr>
              <w:spacing w:after="0"/>
              <w:rPr>
                <w:sz w:val="20"/>
                <w:szCs w:val="20"/>
                <w:color w:val="auto"/>
              </w:rPr>
            </w:pPr>
          </w:p>
        </w:tc>
        <w:tc>
          <w:tcPr>
            <w:tcW w:w="340" w:type="dxa"/>
            <w:vAlign w:val="bottom"/>
            <w:shd w:val="clear" w:color="auto" w:fill="D5EEEE"/>
          </w:tcPr>
          <w:p>
            <w:pPr>
              <w:spacing w:after="0"/>
              <w:rPr>
                <w:sz w:val="20"/>
                <w:szCs w:val="20"/>
                <w:color w:val="auto"/>
              </w:rPr>
            </w:pPr>
          </w:p>
        </w:tc>
        <w:tc>
          <w:tcPr>
            <w:tcW w:w="118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13,149</w:t>
            </w:r>
          </w:p>
        </w:tc>
        <w:tc>
          <w:tcPr>
            <w:tcW w:w="80" w:type="dxa"/>
            <w:vAlign w:val="bottom"/>
            <w:shd w:val="clear" w:color="auto" w:fill="D5EEE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8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Deferred revenue</w:t>
            </w:r>
          </w:p>
        </w:tc>
        <w:tc>
          <w:tcPr>
            <w:tcW w:w="340" w:type="dxa"/>
            <w:vAlign w:val="bottom"/>
          </w:tcPr>
          <w:p>
            <w:pPr>
              <w:spacing w:after="0"/>
              <w:rPr>
                <w:sz w:val="20"/>
                <w:szCs w:val="20"/>
                <w:color w:val="auto"/>
              </w:rPr>
            </w:pPr>
          </w:p>
        </w:tc>
        <w:tc>
          <w:tcPr>
            <w:tcW w:w="1280" w:type="dxa"/>
            <w:vAlign w:val="bottom"/>
          </w:tcPr>
          <w:p>
            <w:pPr>
              <w:jc w:val="right"/>
              <w:ind w:right="28"/>
              <w:spacing w:after="0"/>
              <w:rPr>
                <w:sz w:val="20"/>
                <w:szCs w:val="20"/>
                <w:color w:val="auto"/>
              </w:rPr>
            </w:pPr>
            <w:r>
              <w:rPr>
                <w:rFonts w:ascii="Times New Roman" w:cs="Times New Roman" w:eastAsia="Times New Roman" w:hAnsi="Times New Roman"/>
                <w:sz w:val="19"/>
                <w:szCs w:val="19"/>
                <w:color w:val="auto"/>
              </w:rPr>
              <w:t>16,572</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2,089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6820" w:type="dxa"/>
            <w:vAlign w:val="bottom"/>
            <w:shd w:val="clear" w:color="auto" w:fill="D5EEEE"/>
          </w:tcPr>
          <w:p>
            <w:pPr>
              <w:ind w:left="100"/>
              <w:spacing w:after="0"/>
              <w:rPr>
                <w:sz w:val="20"/>
                <w:szCs w:val="20"/>
                <w:color w:val="auto"/>
              </w:rPr>
            </w:pPr>
            <w:r>
              <w:rPr>
                <w:rFonts w:ascii="Times New Roman" w:cs="Times New Roman" w:eastAsia="Times New Roman" w:hAnsi="Times New Roman"/>
                <w:sz w:val="19"/>
                <w:szCs w:val="19"/>
                <w:color w:val="auto"/>
              </w:rPr>
              <w:t>Lease liability</w:t>
            </w:r>
          </w:p>
        </w:tc>
        <w:tc>
          <w:tcPr>
            <w:tcW w:w="340" w:type="dxa"/>
            <w:vAlign w:val="bottom"/>
            <w:shd w:val="clear" w:color="auto" w:fill="D5EEEE"/>
          </w:tcPr>
          <w:p>
            <w:pPr>
              <w:spacing w:after="0"/>
              <w:rPr>
                <w:sz w:val="20"/>
                <w:szCs w:val="20"/>
                <w:color w:val="auto"/>
              </w:rPr>
            </w:pPr>
          </w:p>
        </w:tc>
        <w:tc>
          <w:tcPr>
            <w:tcW w:w="1280" w:type="dxa"/>
            <w:vAlign w:val="bottom"/>
            <w:shd w:val="clear" w:color="auto" w:fill="D5EEEE"/>
          </w:tcPr>
          <w:p>
            <w:pPr>
              <w:jc w:val="right"/>
              <w:ind w:right="28"/>
              <w:spacing w:after="0"/>
              <w:rPr>
                <w:sz w:val="20"/>
                <w:szCs w:val="20"/>
                <w:color w:val="auto"/>
              </w:rPr>
            </w:pPr>
            <w:r>
              <w:rPr>
                <w:rFonts w:ascii="Times New Roman" w:cs="Times New Roman" w:eastAsia="Times New Roman" w:hAnsi="Times New Roman"/>
                <w:sz w:val="19"/>
                <w:szCs w:val="19"/>
                <w:color w:val="auto"/>
              </w:rPr>
              <w:t>1,900</w:t>
            </w:r>
          </w:p>
        </w:tc>
        <w:tc>
          <w:tcPr>
            <w:tcW w:w="120" w:type="dxa"/>
            <w:vAlign w:val="bottom"/>
            <w:shd w:val="clear" w:color="auto" w:fill="D5EEEE"/>
          </w:tcPr>
          <w:p>
            <w:pPr>
              <w:spacing w:after="0"/>
              <w:rPr>
                <w:sz w:val="20"/>
                <w:szCs w:val="20"/>
                <w:color w:val="auto"/>
              </w:rPr>
            </w:pPr>
          </w:p>
        </w:tc>
        <w:tc>
          <w:tcPr>
            <w:tcW w:w="40" w:type="dxa"/>
            <w:vAlign w:val="bottom"/>
            <w:shd w:val="clear" w:color="auto" w:fill="D5EEEE"/>
          </w:tcPr>
          <w:p>
            <w:pPr>
              <w:spacing w:after="0"/>
              <w:rPr>
                <w:sz w:val="20"/>
                <w:szCs w:val="20"/>
                <w:color w:val="auto"/>
              </w:rPr>
            </w:pPr>
          </w:p>
        </w:tc>
        <w:tc>
          <w:tcPr>
            <w:tcW w:w="340" w:type="dxa"/>
            <w:vAlign w:val="bottom"/>
            <w:shd w:val="clear" w:color="auto" w:fill="D5EEEE"/>
          </w:tcPr>
          <w:p>
            <w:pPr>
              <w:spacing w:after="0"/>
              <w:rPr>
                <w:sz w:val="20"/>
                <w:szCs w:val="20"/>
                <w:color w:val="auto"/>
              </w:rPr>
            </w:pPr>
          </w:p>
        </w:tc>
        <w:tc>
          <w:tcPr>
            <w:tcW w:w="118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2,224</w:t>
            </w:r>
          </w:p>
        </w:tc>
        <w:tc>
          <w:tcPr>
            <w:tcW w:w="80" w:type="dxa"/>
            <w:vAlign w:val="bottom"/>
            <w:shd w:val="clear" w:color="auto" w:fill="D5EEE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8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Accruals and reserves</w:t>
            </w:r>
          </w:p>
        </w:tc>
        <w:tc>
          <w:tcPr>
            <w:tcW w:w="340" w:type="dxa"/>
            <w:vAlign w:val="bottom"/>
          </w:tcPr>
          <w:p>
            <w:pPr>
              <w:spacing w:after="0"/>
              <w:rPr>
                <w:sz w:val="19"/>
                <w:szCs w:val="19"/>
                <w:color w:val="auto"/>
              </w:rPr>
            </w:pPr>
          </w:p>
        </w:tc>
        <w:tc>
          <w:tcPr>
            <w:tcW w:w="1280" w:type="dxa"/>
            <w:vAlign w:val="bottom"/>
          </w:tcPr>
          <w:p>
            <w:pPr>
              <w:jc w:val="right"/>
              <w:ind w:right="28"/>
              <w:spacing w:after="0"/>
              <w:rPr>
                <w:sz w:val="20"/>
                <w:szCs w:val="20"/>
                <w:color w:val="auto"/>
              </w:rPr>
            </w:pPr>
            <w:r>
              <w:rPr>
                <w:rFonts w:ascii="Times New Roman" w:cs="Times New Roman" w:eastAsia="Times New Roman" w:hAnsi="Times New Roman"/>
                <w:sz w:val="19"/>
                <w:szCs w:val="19"/>
                <w:color w:val="auto"/>
              </w:rPr>
              <w:t>148</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151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6820" w:type="dxa"/>
            <w:vAlign w:val="bottom"/>
            <w:shd w:val="clear" w:color="auto" w:fill="D5EEEE"/>
          </w:tcPr>
          <w:p>
            <w:pPr>
              <w:ind w:left="100"/>
              <w:spacing w:after="0"/>
              <w:rPr>
                <w:sz w:val="20"/>
                <w:szCs w:val="20"/>
                <w:color w:val="auto"/>
              </w:rPr>
            </w:pPr>
            <w:r>
              <w:rPr>
                <w:rFonts w:ascii="Times New Roman" w:cs="Times New Roman" w:eastAsia="Times New Roman" w:hAnsi="Times New Roman"/>
                <w:sz w:val="19"/>
                <w:szCs w:val="19"/>
                <w:color w:val="auto"/>
              </w:rPr>
              <w:t>Intangible assets</w:t>
            </w:r>
          </w:p>
        </w:tc>
        <w:tc>
          <w:tcPr>
            <w:tcW w:w="340" w:type="dxa"/>
            <w:vAlign w:val="bottom"/>
            <w:shd w:val="clear" w:color="auto" w:fill="D5EEEE"/>
          </w:tcPr>
          <w:p>
            <w:pPr>
              <w:spacing w:after="0"/>
              <w:rPr>
                <w:sz w:val="20"/>
                <w:szCs w:val="20"/>
                <w:color w:val="auto"/>
              </w:rPr>
            </w:pPr>
          </w:p>
        </w:tc>
        <w:tc>
          <w:tcPr>
            <w:tcW w:w="1280" w:type="dxa"/>
            <w:vAlign w:val="bottom"/>
            <w:shd w:val="clear" w:color="auto" w:fill="D5EEEE"/>
          </w:tcPr>
          <w:p>
            <w:pPr>
              <w:jc w:val="right"/>
              <w:ind w:right="28"/>
              <w:spacing w:after="0"/>
              <w:rPr>
                <w:sz w:val="20"/>
                <w:szCs w:val="20"/>
                <w:color w:val="auto"/>
              </w:rPr>
            </w:pPr>
            <w:r>
              <w:rPr>
                <w:rFonts w:ascii="Times New Roman" w:cs="Times New Roman" w:eastAsia="Times New Roman" w:hAnsi="Times New Roman"/>
                <w:sz w:val="19"/>
                <w:szCs w:val="19"/>
                <w:color w:val="auto"/>
              </w:rPr>
              <w:t>1,617</w:t>
            </w:r>
          </w:p>
        </w:tc>
        <w:tc>
          <w:tcPr>
            <w:tcW w:w="120" w:type="dxa"/>
            <w:vAlign w:val="bottom"/>
            <w:shd w:val="clear" w:color="auto" w:fill="D5EEEE"/>
          </w:tcPr>
          <w:p>
            <w:pPr>
              <w:spacing w:after="0"/>
              <w:rPr>
                <w:sz w:val="20"/>
                <w:szCs w:val="20"/>
                <w:color w:val="auto"/>
              </w:rPr>
            </w:pPr>
          </w:p>
        </w:tc>
        <w:tc>
          <w:tcPr>
            <w:tcW w:w="40" w:type="dxa"/>
            <w:vAlign w:val="bottom"/>
            <w:shd w:val="clear" w:color="auto" w:fill="D5EEEE"/>
          </w:tcPr>
          <w:p>
            <w:pPr>
              <w:spacing w:after="0"/>
              <w:rPr>
                <w:sz w:val="20"/>
                <w:szCs w:val="20"/>
                <w:color w:val="auto"/>
              </w:rPr>
            </w:pPr>
          </w:p>
        </w:tc>
        <w:tc>
          <w:tcPr>
            <w:tcW w:w="340" w:type="dxa"/>
            <w:vAlign w:val="bottom"/>
            <w:shd w:val="clear" w:color="auto" w:fill="D5EEEE"/>
          </w:tcPr>
          <w:p>
            <w:pPr>
              <w:spacing w:after="0"/>
              <w:rPr>
                <w:sz w:val="20"/>
                <w:szCs w:val="20"/>
                <w:color w:val="auto"/>
              </w:rPr>
            </w:pPr>
          </w:p>
        </w:tc>
        <w:tc>
          <w:tcPr>
            <w:tcW w:w="118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1,777</w:t>
            </w:r>
          </w:p>
        </w:tc>
        <w:tc>
          <w:tcPr>
            <w:tcW w:w="80" w:type="dxa"/>
            <w:vAlign w:val="bottom"/>
            <w:shd w:val="clear" w:color="auto" w:fill="D5EEE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820" w:type="dxa"/>
            <w:vAlign w:val="bottom"/>
            <w:tcBorders>
              <w:bottom w:val="single" w:sz="8" w:color="D5EEEE"/>
            </w:tcBorders>
          </w:tcPr>
          <w:p>
            <w:pPr>
              <w:ind w:left="100"/>
              <w:spacing w:after="0"/>
              <w:rPr>
                <w:sz w:val="20"/>
                <w:szCs w:val="20"/>
                <w:color w:val="auto"/>
              </w:rPr>
            </w:pPr>
            <w:r>
              <w:rPr>
                <w:rFonts w:ascii="Times New Roman" w:cs="Times New Roman" w:eastAsia="Times New Roman" w:hAnsi="Times New Roman"/>
                <w:sz w:val="19"/>
                <w:szCs w:val="19"/>
                <w:color w:val="auto"/>
              </w:rPr>
              <w:t>Stock-based compensation</w:t>
            </w: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9"/>
                <w:szCs w:val="19"/>
                <w:color w:val="auto"/>
              </w:rPr>
              <w:t>1,225</w:t>
            </w:r>
          </w:p>
        </w:tc>
        <w:tc>
          <w:tcPr>
            <w:tcW w:w="120" w:type="dxa"/>
            <w:vAlign w:val="bottom"/>
            <w:tcBorders>
              <w:bottom w:val="single" w:sz="8" w:color="D5EEEE"/>
            </w:tcBorders>
          </w:tcPr>
          <w:p>
            <w:pPr>
              <w:spacing w:after="0"/>
              <w:rPr>
                <w:sz w:val="19"/>
                <w:szCs w:val="19"/>
                <w:color w:val="auto"/>
              </w:rPr>
            </w:pPr>
          </w:p>
        </w:tc>
        <w:tc>
          <w:tcPr>
            <w:tcW w:w="40" w:type="dxa"/>
            <w:vAlign w:val="bottom"/>
            <w:tcBorders>
              <w:bottom w:val="single" w:sz="8" w:color="D5EEEE"/>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9"/>
                <w:szCs w:val="19"/>
                <w:color w:val="auto"/>
              </w:rPr>
              <w:t>1,362</w:t>
            </w:r>
          </w:p>
        </w:tc>
        <w:tc>
          <w:tcPr>
            <w:tcW w:w="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820" w:type="dxa"/>
            <w:vAlign w:val="bottom"/>
            <w:shd w:val="clear" w:color="auto" w:fill="D5EEEE"/>
          </w:tcPr>
          <w:p>
            <w:pPr>
              <w:ind w:left="180"/>
              <w:spacing w:after="0"/>
              <w:rPr>
                <w:sz w:val="20"/>
                <w:szCs w:val="20"/>
                <w:color w:val="auto"/>
              </w:rPr>
            </w:pPr>
            <w:r>
              <w:rPr>
                <w:rFonts w:ascii="Times New Roman" w:cs="Times New Roman" w:eastAsia="Times New Roman" w:hAnsi="Times New Roman"/>
                <w:sz w:val="19"/>
                <w:szCs w:val="19"/>
                <w:color w:val="auto"/>
              </w:rPr>
              <w:t>Total deferred tax assets:</w:t>
            </w:r>
          </w:p>
        </w:tc>
        <w:tc>
          <w:tcPr>
            <w:tcW w:w="340" w:type="dxa"/>
            <w:vAlign w:val="bottom"/>
            <w:shd w:val="clear" w:color="auto" w:fill="D5EEEE"/>
          </w:tcPr>
          <w:p>
            <w:pPr>
              <w:spacing w:after="0"/>
              <w:rPr>
                <w:sz w:val="19"/>
                <w:szCs w:val="19"/>
                <w:color w:val="auto"/>
              </w:rPr>
            </w:pPr>
          </w:p>
        </w:tc>
        <w:tc>
          <w:tcPr>
            <w:tcW w:w="1280" w:type="dxa"/>
            <w:vAlign w:val="bottom"/>
            <w:shd w:val="clear" w:color="auto" w:fill="D5EEEE"/>
          </w:tcPr>
          <w:p>
            <w:pPr>
              <w:jc w:val="right"/>
              <w:ind w:right="28"/>
              <w:spacing w:after="0"/>
              <w:rPr>
                <w:sz w:val="20"/>
                <w:szCs w:val="20"/>
                <w:color w:val="auto"/>
              </w:rPr>
            </w:pPr>
            <w:r>
              <w:rPr>
                <w:rFonts w:ascii="Times New Roman" w:cs="Times New Roman" w:eastAsia="Times New Roman" w:hAnsi="Times New Roman"/>
                <w:sz w:val="19"/>
                <w:szCs w:val="19"/>
                <w:color w:val="auto"/>
              </w:rPr>
              <w:t>127,445</w:t>
            </w:r>
          </w:p>
        </w:tc>
        <w:tc>
          <w:tcPr>
            <w:tcW w:w="120" w:type="dxa"/>
            <w:vAlign w:val="bottom"/>
            <w:shd w:val="clear" w:color="auto" w:fill="D5EEEE"/>
          </w:tcPr>
          <w:p>
            <w:pPr>
              <w:spacing w:after="0"/>
              <w:rPr>
                <w:sz w:val="19"/>
                <w:szCs w:val="19"/>
                <w:color w:val="auto"/>
              </w:rPr>
            </w:pPr>
          </w:p>
        </w:tc>
        <w:tc>
          <w:tcPr>
            <w:tcW w:w="40" w:type="dxa"/>
            <w:vAlign w:val="bottom"/>
            <w:shd w:val="clear" w:color="auto" w:fill="D5EEEE"/>
          </w:tcPr>
          <w:p>
            <w:pPr>
              <w:spacing w:after="0"/>
              <w:rPr>
                <w:sz w:val="19"/>
                <w:szCs w:val="19"/>
                <w:color w:val="auto"/>
              </w:rPr>
            </w:pPr>
          </w:p>
        </w:tc>
        <w:tc>
          <w:tcPr>
            <w:tcW w:w="340" w:type="dxa"/>
            <w:vAlign w:val="bottom"/>
            <w:shd w:val="clear" w:color="auto" w:fill="D5EEEE"/>
          </w:tcPr>
          <w:p>
            <w:pPr>
              <w:spacing w:after="0"/>
              <w:rPr>
                <w:sz w:val="19"/>
                <w:szCs w:val="19"/>
                <w:color w:val="auto"/>
              </w:rPr>
            </w:pPr>
          </w:p>
        </w:tc>
        <w:tc>
          <w:tcPr>
            <w:tcW w:w="118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114,979</w:t>
            </w:r>
          </w:p>
        </w:tc>
        <w:tc>
          <w:tcPr>
            <w:tcW w:w="80" w:type="dxa"/>
            <w:vAlign w:val="bottom"/>
            <w:shd w:val="clear" w:color="auto" w:fill="D5EEE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tcBorders>
              <w:bottom w:val="single" w:sz="8" w:color="D5EEEE"/>
            </w:tcBorders>
          </w:tcPr>
          <w:p>
            <w:pPr>
              <w:spacing w:after="0"/>
              <w:rPr>
                <w:sz w:val="20"/>
                <w:szCs w:val="20"/>
                <w:color w:val="auto"/>
              </w:rPr>
            </w:pPr>
            <w:r>
              <w:rPr>
                <w:rFonts w:ascii="Times New Roman" w:cs="Times New Roman" w:eastAsia="Times New Roman" w:hAnsi="Times New Roman"/>
                <w:sz w:val="19"/>
                <w:szCs w:val="19"/>
                <w:color w:val="auto"/>
              </w:rPr>
              <w:t>Valuation allowance</w:t>
            </w: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(125,437)</w:t>
            </w:r>
          </w:p>
        </w:tc>
        <w:tc>
          <w:tcPr>
            <w:tcW w:w="120" w:type="dxa"/>
            <w:vAlign w:val="bottom"/>
            <w:tcBorders>
              <w:bottom w:val="single" w:sz="8" w:color="D5EEEE"/>
            </w:tcBorders>
          </w:tcPr>
          <w:p>
            <w:pPr>
              <w:spacing w:after="0"/>
              <w:rPr>
                <w:sz w:val="19"/>
                <w:szCs w:val="19"/>
                <w:color w:val="auto"/>
              </w:rPr>
            </w:pPr>
          </w:p>
        </w:tc>
        <w:tc>
          <w:tcPr>
            <w:tcW w:w="40" w:type="dxa"/>
            <w:vAlign w:val="bottom"/>
            <w:tcBorders>
              <w:bottom w:val="single" w:sz="8" w:color="D5EEEE"/>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9"/>
                <w:szCs w:val="19"/>
                <w:color w:val="auto"/>
              </w:rPr>
              <w:t>(112,522)</w:t>
            </w:r>
          </w:p>
        </w:tc>
        <w:tc>
          <w:tcPr>
            <w:tcW w:w="0" w:type="dxa"/>
            <w:vAlign w:val="bottom"/>
          </w:tcPr>
          <w:p>
            <w:pPr>
              <w:spacing w:after="0"/>
              <w:rPr>
                <w:sz w:val="1"/>
                <w:szCs w:val="1"/>
                <w:color w:val="auto"/>
              </w:rPr>
            </w:pPr>
          </w:p>
        </w:tc>
      </w:tr>
      <w:tr>
        <w:trPr>
          <w:trHeight w:val="225"/>
        </w:trPr>
        <w:tc>
          <w:tcPr>
            <w:tcW w:w="6820" w:type="dxa"/>
            <w:vAlign w:val="bottom"/>
            <w:shd w:val="clear" w:color="auto" w:fill="D5EEEE"/>
          </w:tcPr>
          <w:p>
            <w:pPr>
              <w:spacing w:after="0"/>
              <w:rPr>
                <w:sz w:val="20"/>
                <w:szCs w:val="20"/>
                <w:color w:val="auto"/>
              </w:rPr>
            </w:pPr>
            <w:r>
              <w:rPr>
                <w:rFonts w:ascii="Times New Roman" w:cs="Times New Roman" w:eastAsia="Times New Roman" w:hAnsi="Times New Roman"/>
                <w:sz w:val="19"/>
                <w:szCs w:val="19"/>
                <w:color w:val="auto"/>
              </w:rPr>
              <w:t>Subtotal</w:t>
            </w:r>
          </w:p>
        </w:tc>
        <w:tc>
          <w:tcPr>
            <w:tcW w:w="340" w:type="dxa"/>
            <w:vAlign w:val="bottom"/>
            <w:shd w:val="clear" w:color="auto" w:fill="D5EEEE"/>
          </w:tcPr>
          <w:p>
            <w:pPr>
              <w:spacing w:after="0"/>
              <w:rPr>
                <w:sz w:val="19"/>
                <w:szCs w:val="19"/>
                <w:color w:val="auto"/>
              </w:rPr>
            </w:pPr>
          </w:p>
        </w:tc>
        <w:tc>
          <w:tcPr>
            <w:tcW w:w="1280" w:type="dxa"/>
            <w:vAlign w:val="bottom"/>
            <w:shd w:val="clear" w:color="auto" w:fill="D5EEEE"/>
          </w:tcPr>
          <w:p>
            <w:pPr>
              <w:jc w:val="right"/>
              <w:ind w:right="28"/>
              <w:spacing w:after="0"/>
              <w:rPr>
                <w:sz w:val="20"/>
                <w:szCs w:val="20"/>
                <w:color w:val="auto"/>
              </w:rPr>
            </w:pPr>
            <w:r>
              <w:rPr>
                <w:rFonts w:ascii="Times New Roman" w:cs="Times New Roman" w:eastAsia="Times New Roman" w:hAnsi="Times New Roman"/>
                <w:sz w:val="19"/>
                <w:szCs w:val="19"/>
                <w:color w:val="auto"/>
              </w:rPr>
              <w:t>2,008</w:t>
            </w:r>
          </w:p>
        </w:tc>
        <w:tc>
          <w:tcPr>
            <w:tcW w:w="120" w:type="dxa"/>
            <w:vAlign w:val="bottom"/>
            <w:shd w:val="clear" w:color="auto" w:fill="D5EEEE"/>
          </w:tcPr>
          <w:p>
            <w:pPr>
              <w:spacing w:after="0"/>
              <w:rPr>
                <w:sz w:val="19"/>
                <w:szCs w:val="19"/>
                <w:color w:val="auto"/>
              </w:rPr>
            </w:pPr>
          </w:p>
        </w:tc>
        <w:tc>
          <w:tcPr>
            <w:tcW w:w="40" w:type="dxa"/>
            <w:vAlign w:val="bottom"/>
            <w:shd w:val="clear" w:color="auto" w:fill="D5EEEE"/>
          </w:tcPr>
          <w:p>
            <w:pPr>
              <w:spacing w:after="0"/>
              <w:rPr>
                <w:sz w:val="19"/>
                <w:szCs w:val="19"/>
                <w:color w:val="auto"/>
              </w:rPr>
            </w:pPr>
          </w:p>
        </w:tc>
        <w:tc>
          <w:tcPr>
            <w:tcW w:w="340" w:type="dxa"/>
            <w:vAlign w:val="bottom"/>
            <w:shd w:val="clear" w:color="auto" w:fill="D5EEEE"/>
          </w:tcPr>
          <w:p>
            <w:pPr>
              <w:spacing w:after="0"/>
              <w:rPr>
                <w:sz w:val="19"/>
                <w:szCs w:val="19"/>
                <w:color w:val="auto"/>
              </w:rPr>
            </w:pPr>
          </w:p>
        </w:tc>
        <w:tc>
          <w:tcPr>
            <w:tcW w:w="118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2,457</w:t>
            </w:r>
          </w:p>
        </w:tc>
        <w:tc>
          <w:tcPr>
            <w:tcW w:w="80" w:type="dxa"/>
            <w:vAlign w:val="bottom"/>
            <w:shd w:val="clear" w:color="auto" w:fill="D5EEE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tcPr>
          <w:p>
            <w:pPr>
              <w:spacing w:after="0"/>
              <w:rPr>
                <w:sz w:val="20"/>
                <w:szCs w:val="20"/>
                <w:color w:val="auto"/>
              </w:rPr>
            </w:pPr>
            <w:r>
              <w:rPr>
                <w:rFonts w:ascii="Times New Roman" w:cs="Times New Roman" w:eastAsia="Times New Roman" w:hAnsi="Times New Roman"/>
                <w:sz w:val="19"/>
                <w:szCs w:val="19"/>
                <w:color w:val="auto"/>
              </w:rPr>
              <w:t>Deferred tax liabilities:</w:t>
            </w: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6820" w:type="dxa"/>
            <w:vAlign w:val="bottom"/>
            <w:shd w:val="clear" w:color="auto" w:fill="D5EEEE"/>
          </w:tcPr>
          <w:p>
            <w:pPr>
              <w:ind w:left="100"/>
              <w:spacing w:after="0"/>
              <w:rPr>
                <w:sz w:val="20"/>
                <w:szCs w:val="20"/>
                <w:color w:val="auto"/>
              </w:rPr>
            </w:pPr>
            <w:r>
              <w:rPr>
                <w:rFonts w:ascii="Times New Roman" w:cs="Times New Roman" w:eastAsia="Times New Roman" w:hAnsi="Times New Roman"/>
                <w:sz w:val="19"/>
                <w:szCs w:val="19"/>
                <w:color w:val="auto"/>
              </w:rPr>
              <w:t>Property and equipment</w:t>
            </w:r>
          </w:p>
        </w:tc>
        <w:tc>
          <w:tcPr>
            <w:tcW w:w="340" w:type="dxa"/>
            <w:vAlign w:val="bottom"/>
            <w:shd w:val="clear" w:color="auto" w:fill="D5EEEE"/>
          </w:tcPr>
          <w:p>
            <w:pPr>
              <w:spacing w:after="0"/>
              <w:rPr>
                <w:sz w:val="20"/>
                <w:szCs w:val="20"/>
                <w:color w:val="auto"/>
              </w:rPr>
            </w:pPr>
          </w:p>
        </w:tc>
        <w:tc>
          <w:tcPr>
            <w:tcW w:w="12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(927)</w:t>
            </w:r>
          </w:p>
        </w:tc>
        <w:tc>
          <w:tcPr>
            <w:tcW w:w="120" w:type="dxa"/>
            <w:vAlign w:val="bottom"/>
            <w:shd w:val="clear" w:color="auto" w:fill="D5EEEE"/>
          </w:tcPr>
          <w:p>
            <w:pPr>
              <w:spacing w:after="0"/>
              <w:rPr>
                <w:sz w:val="20"/>
                <w:szCs w:val="20"/>
                <w:color w:val="auto"/>
              </w:rPr>
            </w:pPr>
          </w:p>
        </w:tc>
        <w:tc>
          <w:tcPr>
            <w:tcW w:w="40" w:type="dxa"/>
            <w:vAlign w:val="bottom"/>
            <w:shd w:val="clear" w:color="auto" w:fill="D5EEEE"/>
          </w:tcPr>
          <w:p>
            <w:pPr>
              <w:spacing w:after="0"/>
              <w:rPr>
                <w:sz w:val="20"/>
                <w:szCs w:val="20"/>
                <w:color w:val="auto"/>
              </w:rPr>
            </w:pPr>
          </w:p>
        </w:tc>
        <w:tc>
          <w:tcPr>
            <w:tcW w:w="340" w:type="dxa"/>
            <w:vAlign w:val="bottom"/>
            <w:shd w:val="clear" w:color="auto" w:fill="D5EEEE"/>
          </w:tcPr>
          <w:p>
            <w:pPr>
              <w:spacing w:after="0"/>
              <w:rPr>
                <w:sz w:val="20"/>
                <w:szCs w:val="20"/>
                <w:color w:val="auto"/>
              </w:rPr>
            </w:pPr>
          </w:p>
        </w:tc>
        <w:tc>
          <w:tcPr>
            <w:tcW w:w="1260" w:type="dxa"/>
            <w:vAlign w:val="bottom"/>
            <w:gridSpan w:val="3"/>
            <w:shd w:val="clear" w:color="auto" w:fill="D5EEEE"/>
          </w:tcPr>
          <w:p>
            <w:pPr>
              <w:jc w:val="right"/>
              <w:ind w:right="20"/>
              <w:spacing w:after="0"/>
              <w:rPr>
                <w:sz w:val="20"/>
                <w:szCs w:val="20"/>
                <w:color w:val="auto"/>
              </w:rPr>
            </w:pPr>
            <w:r>
              <w:rPr>
                <w:rFonts w:ascii="Times New Roman" w:cs="Times New Roman" w:eastAsia="Times New Roman" w:hAnsi="Times New Roman"/>
                <w:sz w:val="19"/>
                <w:szCs w:val="19"/>
                <w:color w:val="auto"/>
              </w:rPr>
              <w:t>(1,204)</w:t>
            </w:r>
          </w:p>
        </w:tc>
        <w:tc>
          <w:tcPr>
            <w:tcW w:w="0" w:type="dxa"/>
            <w:vAlign w:val="bottom"/>
          </w:tcPr>
          <w:p>
            <w:pPr>
              <w:spacing w:after="0"/>
              <w:rPr>
                <w:sz w:val="1"/>
                <w:szCs w:val="1"/>
                <w:color w:val="auto"/>
              </w:rPr>
            </w:pPr>
          </w:p>
        </w:tc>
      </w:tr>
      <w:tr>
        <w:trPr>
          <w:trHeight w:val="230"/>
        </w:trPr>
        <w:tc>
          <w:tcPr>
            <w:tcW w:w="6820" w:type="dxa"/>
            <w:vAlign w:val="bottom"/>
            <w:tcBorders>
              <w:bottom w:val="single" w:sz="8" w:color="D5EEEE"/>
            </w:tcBorders>
          </w:tcPr>
          <w:p>
            <w:pPr>
              <w:ind w:left="100"/>
              <w:spacing w:after="0"/>
              <w:rPr>
                <w:sz w:val="20"/>
                <w:szCs w:val="20"/>
                <w:color w:val="auto"/>
              </w:rPr>
            </w:pPr>
            <w:r>
              <w:rPr>
                <w:rFonts w:ascii="Times New Roman" w:cs="Times New Roman" w:eastAsia="Times New Roman" w:hAnsi="Times New Roman"/>
                <w:sz w:val="19"/>
                <w:szCs w:val="19"/>
                <w:color w:val="auto"/>
              </w:rPr>
              <w:t>Right of use asset</w:t>
            </w: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(1,081)</w:t>
            </w:r>
          </w:p>
        </w:tc>
        <w:tc>
          <w:tcPr>
            <w:tcW w:w="120" w:type="dxa"/>
            <w:vAlign w:val="bottom"/>
            <w:tcBorders>
              <w:bottom w:val="single" w:sz="8" w:color="D5EEEE"/>
            </w:tcBorders>
          </w:tcPr>
          <w:p>
            <w:pPr>
              <w:spacing w:after="0"/>
              <w:rPr>
                <w:sz w:val="19"/>
                <w:szCs w:val="19"/>
                <w:color w:val="auto"/>
              </w:rPr>
            </w:pPr>
          </w:p>
        </w:tc>
        <w:tc>
          <w:tcPr>
            <w:tcW w:w="40" w:type="dxa"/>
            <w:vAlign w:val="bottom"/>
            <w:tcBorders>
              <w:bottom w:val="single" w:sz="8" w:color="D5EEEE"/>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9"/>
                <w:szCs w:val="19"/>
                <w:color w:val="auto"/>
              </w:rPr>
              <w:t>(1,253)</w:t>
            </w:r>
          </w:p>
        </w:tc>
        <w:tc>
          <w:tcPr>
            <w:tcW w:w="0" w:type="dxa"/>
            <w:vAlign w:val="bottom"/>
          </w:tcPr>
          <w:p>
            <w:pPr>
              <w:spacing w:after="0"/>
              <w:rPr>
                <w:sz w:val="1"/>
                <w:szCs w:val="1"/>
                <w:color w:val="auto"/>
              </w:rPr>
            </w:pPr>
          </w:p>
        </w:tc>
      </w:tr>
      <w:tr>
        <w:trPr>
          <w:trHeight w:val="225"/>
        </w:trPr>
        <w:tc>
          <w:tcPr>
            <w:tcW w:w="6820" w:type="dxa"/>
            <w:vAlign w:val="bottom"/>
            <w:tcBorders>
              <w:bottom w:val="single" w:sz="8" w:color="D5EEEE"/>
            </w:tcBorders>
            <w:shd w:val="clear" w:color="auto" w:fill="D5EEEE"/>
          </w:tcPr>
          <w:p>
            <w:pPr>
              <w:ind w:left="180"/>
              <w:spacing w:after="0"/>
              <w:rPr>
                <w:sz w:val="20"/>
                <w:szCs w:val="20"/>
                <w:color w:val="auto"/>
              </w:rPr>
            </w:pPr>
            <w:r>
              <w:rPr>
                <w:rFonts w:ascii="Times New Roman" w:cs="Times New Roman" w:eastAsia="Times New Roman" w:hAnsi="Times New Roman"/>
                <w:sz w:val="19"/>
                <w:szCs w:val="19"/>
                <w:color w:val="auto"/>
              </w:rPr>
              <w:t>Total deferred tax liabilities</w:t>
            </w:r>
          </w:p>
        </w:tc>
        <w:tc>
          <w:tcPr>
            <w:tcW w:w="340" w:type="dxa"/>
            <w:vAlign w:val="bottom"/>
            <w:tcBorders>
              <w:bottom w:val="single" w:sz="8" w:color="auto"/>
            </w:tcBorders>
            <w:shd w:val="clear" w:color="auto" w:fill="D5EEEE"/>
          </w:tcPr>
          <w:p>
            <w:pPr>
              <w:spacing w:after="0"/>
              <w:rPr>
                <w:sz w:val="19"/>
                <w:szCs w:val="19"/>
                <w:color w:val="auto"/>
              </w:rPr>
            </w:pPr>
          </w:p>
        </w:tc>
        <w:tc>
          <w:tcPr>
            <w:tcW w:w="12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(2,008)</w:t>
            </w:r>
          </w:p>
        </w:tc>
        <w:tc>
          <w:tcPr>
            <w:tcW w:w="120" w:type="dxa"/>
            <w:vAlign w:val="bottom"/>
            <w:tcBorders>
              <w:bottom w:val="single" w:sz="8" w:color="D5EEEE"/>
            </w:tcBorders>
            <w:shd w:val="clear" w:color="auto" w:fill="D5EEEE"/>
          </w:tcPr>
          <w:p>
            <w:pPr>
              <w:spacing w:after="0"/>
              <w:rPr>
                <w:sz w:val="19"/>
                <w:szCs w:val="19"/>
                <w:color w:val="auto"/>
              </w:rPr>
            </w:pPr>
          </w:p>
        </w:tc>
        <w:tc>
          <w:tcPr>
            <w:tcW w:w="40" w:type="dxa"/>
            <w:vAlign w:val="bottom"/>
            <w:tcBorders>
              <w:bottom w:val="single" w:sz="8" w:color="D5EEEE"/>
            </w:tcBorders>
            <w:shd w:val="clear" w:color="auto" w:fill="D5EEEE"/>
          </w:tcPr>
          <w:p>
            <w:pPr>
              <w:spacing w:after="0"/>
              <w:rPr>
                <w:sz w:val="19"/>
                <w:szCs w:val="19"/>
                <w:color w:val="auto"/>
              </w:rPr>
            </w:pPr>
          </w:p>
        </w:tc>
        <w:tc>
          <w:tcPr>
            <w:tcW w:w="340" w:type="dxa"/>
            <w:vAlign w:val="bottom"/>
            <w:tcBorders>
              <w:bottom w:val="single" w:sz="8" w:color="auto"/>
            </w:tcBorders>
            <w:shd w:val="clear" w:color="auto" w:fill="D5EEEE"/>
          </w:tcPr>
          <w:p>
            <w:pPr>
              <w:spacing w:after="0"/>
              <w:rPr>
                <w:sz w:val="19"/>
                <w:szCs w:val="19"/>
                <w:color w:val="auto"/>
              </w:rPr>
            </w:pPr>
          </w:p>
        </w:tc>
        <w:tc>
          <w:tcPr>
            <w:tcW w:w="1260" w:type="dxa"/>
            <w:vAlign w:val="bottom"/>
            <w:tcBorders>
              <w:bottom w:val="single" w:sz="8" w:color="auto"/>
            </w:tcBorders>
            <w:gridSpan w:val="3"/>
            <w:shd w:val="clear" w:color="auto" w:fill="D5EEEE"/>
          </w:tcPr>
          <w:p>
            <w:pPr>
              <w:jc w:val="right"/>
              <w:ind w:right="20"/>
              <w:spacing w:after="0"/>
              <w:rPr>
                <w:sz w:val="20"/>
                <w:szCs w:val="20"/>
                <w:color w:val="auto"/>
              </w:rPr>
            </w:pPr>
            <w:r>
              <w:rPr>
                <w:rFonts w:ascii="Times New Roman" w:cs="Times New Roman" w:eastAsia="Times New Roman" w:hAnsi="Times New Roman"/>
                <w:sz w:val="19"/>
                <w:szCs w:val="19"/>
                <w:color w:val="auto"/>
              </w:rPr>
              <w:t>(2,457)</w:t>
            </w:r>
          </w:p>
        </w:tc>
        <w:tc>
          <w:tcPr>
            <w:tcW w:w="0" w:type="dxa"/>
            <w:vAlign w:val="bottom"/>
          </w:tcPr>
          <w:p>
            <w:pPr>
              <w:spacing w:after="0"/>
              <w:rPr>
                <w:sz w:val="1"/>
                <w:szCs w:val="1"/>
                <w:color w:val="auto"/>
              </w:rPr>
            </w:pPr>
          </w:p>
        </w:tc>
      </w:tr>
      <w:tr>
        <w:trPr>
          <w:trHeight w:val="225"/>
        </w:trPr>
        <w:tc>
          <w:tcPr>
            <w:tcW w:w="6820" w:type="dxa"/>
            <w:vAlign w:val="bottom"/>
          </w:tcPr>
          <w:p>
            <w:pPr>
              <w:spacing w:after="0"/>
              <w:rPr>
                <w:sz w:val="20"/>
                <w:szCs w:val="20"/>
                <w:color w:val="auto"/>
              </w:rPr>
            </w:pPr>
            <w:r>
              <w:rPr>
                <w:rFonts w:ascii="Times New Roman" w:cs="Times New Roman" w:eastAsia="Times New Roman" w:hAnsi="Times New Roman"/>
                <w:sz w:val="19"/>
                <w:szCs w:val="19"/>
                <w:color w:val="auto"/>
              </w:rPr>
              <w:t>Net deferred tax assets</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9"/>
                <w:szCs w:val="19"/>
                <w:color w:val="auto"/>
              </w:rPr>
              <w:t>—</w:t>
            </w:r>
          </w:p>
        </w:tc>
        <w:tc>
          <w:tcPr>
            <w:tcW w:w="380" w:type="dxa"/>
            <w:vAlign w:val="bottom"/>
            <w:gridSpan w:val="2"/>
          </w:tcPr>
          <w:p>
            <w:pPr>
              <w:jc w:val="right"/>
              <w:ind w:right="240"/>
              <w:spacing w:after="0"/>
              <w:rPr>
                <w:sz w:val="20"/>
                <w:szCs w:val="20"/>
                <w:color w:val="auto"/>
              </w:rPr>
            </w:pPr>
            <w:r>
              <w:rPr>
                <w:rFonts w:ascii="Times New Roman" w:cs="Times New Roman" w:eastAsia="Times New Roman" w:hAnsi="Times New Roman"/>
                <w:sz w:val="19"/>
                <w:szCs w:val="19"/>
                <w:color w:val="auto"/>
              </w:rPr>
              <w:t>$</w:t>
            </w:r>
          </w:p>
        </w:tc>
        <w:tc>
          <w:tcPr>
            <w:tcW w:w="920" w:type="dxa"/>
            <w:vAlign w:val="bottom"/>
          </w:tcPr>
          <w:p>
            <w:pPr>
              <w:spacing w:after="0"/>
              <w:rPr>
                <w:sz w:val="19"/>
                <w:szCs w:val="19"/>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-2846705</wp:posOffset>
            </wp:positionV>
            <wp:extent cx="2134870" cy="361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3">
                      <a:extLst>
                        <a:ext uri="{28A0092B-C50C-407E-A947-70E740481C1C}"/>
                      </a:extLst>
                    </a:blip>
                    <a:srcRect/>
                    <a:stretch>
                      <a:fillRect/>
                    </a:stretch>
                  </pic:blipFill>
                  <pic:spPr bwMode="auto">
                    <a:xfrm>
                      <a:off x="0" y="0"/>
                      <a:ext cx="2134870" cy="36195"/>
                    </a:xfrm>
                    <a:prstGeom prst="rect">
                      <a:avLst/>
                    </a:prstGeom>
                    <a:noFill/>
                  </pic:spPr>
                </pic:pic>
              </a:graphicData>
            </a:graphic>
          </wp:anchor>
        </w:drawing>
      </w:r>
    </w:p>
    <w:p>
      <w:pPr>
        <w:spacing w:after="0" w:line="21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The Company has had no income tax expense due to operating losses incurred since inception. Deferred tax assets are reduced by a valuation allowance if, based on the weight of available positive and negative evidence, it is more likely than not that some portion or all of the deferred tax assets will not be realized. The Company has evaluated the positive and negative evidence bearing upon the realizability of its deferred tax assets. Based on this, the Company has provided a valuation allowance for the full amount of the net deferred tax assets as the realization of the deferred tax assets is not determined to be more likely than not. During the year ended December 31, 2025, the valuation allowance increased by $12.9 million primarily due to the Company’s net operating loss, capitalized research and development expenditures and tax credit carryforwards during the period.</w:t>
      </w:r>
    </w:p>
    <w:p>
      <w:pPr>
        <w:spacing w:after="0" w:line="2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As of December 31, 2025, the Company had $263.5 million and $234.6 million of federal and state operating loss carryforwards, respectively. Substantially all of the federal net operating loss carryforwards are not subject to expiration and the state net operating loss carryforwards begin to expire in 2038. These net operating loss carryforwards are available to reduce future federal taxable income, if any. As of December 31, 2025, the Company had federal and state research and development credit carryovers of $12.3 million and $4.7 million, respectively, which may be available to offset any future income tax and which will begin to expire in 2033. These loss and credit carryforwards are subject to review and possible adjustment by the appropriate taxing authorities.</w:t>
      </w:r>
    </w:p>
    <w:p>
      <w:pPr>
        <w:spacing w:after="0" w:line="24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Utilization of the Company’s net operating loss carryforwards and research and development credit carryforwards may be subject to a substantial annual limitation due to ownership change limitations that have occurred previously or that could occur in the future in accordance with Section 382 of the Internal Revenue Code of 1986, as amended (the “Code”) as well as similar state provisions. These ownership changes may limit the amount of net operating loss and research and development credit carryforwards that can be utilized annually to offset future taxable income and taxes, respectively. In general, an ownership change as defined by Section 382 of the Code results from transactions increasing the ownership of certain stockholders or public groups in the stock of a corporation by</w:t>
      </w:r>
    </w:p>
    <w:p>
      <w:pPr>
        <w:sectPr>
          <w:pgSz w:w="12240" w:h="15840" w:orient="portrait"/>
          <w:cols w:equalWidth="0" w:num="1">
            <w:col w:w="10200"/>
          </w:cols>
          <w:pgMar w:left="1020" w:top="1347" w:right="1020" w:bottom="556" w:gutter="0" w:footer="0" w:header="0"/>
        </w:sect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F-29</w:t>
      </w:r>
    </w:p>
    <w:p>
      <w:pPr>
        <w:sectPr>
          <w:pgSz w:w="12240" w:h="15840" w:orient="portrait"/>
          <w:cols w:equalWidth="0" w:num="1">
            <w:col w:w="10200"/>
          </w:cols>
          <w:pgMar w:left="1020" w:top="1347" w:right="1020" w:bottom="556" w:gutter="0" w:footer="0" w:header="0"/>
          <w:type w:val="continuous"/>
        </w:sectPr>
      </w:pPr>
    </w:p>
    <w:bookmarkStart w:id="152" w:name="page153"/>
    <w:bookmarkEnd w:id="152"/>
    <w:p>
      <w:pPr>
        <w:jc w:val="both"/>
        <w:spacing w:after="0" w:line="235" w:lineRule="auto"/>
        <w:rPr>
          <w:sz w:val="20"/>
          <w:szCs w:val="20"/>
          <w:color w:val="auto"/>
        </w:rPr>
      </w:pPr>
      <w:r>
        <w:rPr>
          <w:rFonts w:ascii="Times New Roman" w:cs="Times New Roman" w:eastAsia="Times New Roman" w:hAnsi="Times New Roman"/>
          <w:sz w:val="19"/>
          <w:szCs w:val="19"/>
          <w:color w:val="auto"/>
        </w:rPr>
        <w:t>more than 50% over a three-year period. In the second quarter of 2024, the Company had an ownership change as defined by Section 382 and Section 383 of the Code. As a result, if the Company earns net taxable income, its ability to use its pre-change net operating loss carryforwards and other pre-change tax attributes to offset such taxable income may be subject to limitations, which could result in increased future tax liability to the Company and could have an adverse effect on its future results of operations.</w:t>
      </w:r>
    </w:p>
    <w:p>
      <w:pPr>
        <w:spacing w:after="0" w:line="20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 xml:space="preserve">The Company follows the provisions of ASC 740-10, </w:t>
      </w:r>
      <w:r>
        <w:rPr>
          <w:rFonts w:ascii="Times New Roman" w:cs="Times New Roman" w:eastAsia="Times New Roman" w:hAnsi="Times New Roman"/>
          <w:sz w:val="19"/>
          <w:szCs w:val="19"/>
          <w:i w:val="1"/>
          <w:iCs w:val="1"/>
          <w:color w:val="auto"/>
        </w:rPr>
        <w:t>Accounting for Uncertainty in Income Taxes</w:t>
      </w:r>
      <w:r>
        <w:rPr>
          <w:rFonts w:ascii="Times New Roman" w:cs="Times New Roman" w:eastAsia="Times New Roman" w:hAnsi="Times New Roman"/>
          <w:sz w:val="19"/>
          <w:szCs w:val="19"/>
          <w:color w:val="auto"/>
        </w:rPr>
        <w:t>, which specifies how tax benefits for uncertain tax positions are to be recognized, measured, and recorded in financial statements; requires certain disclosures of uncertain tax matters; specifies how reserves for uncertain tax positions should be classified on the balance sheet; and provides transition and interim period guidance, among other provisions. As of December 31, 2025, and 2024, the Company has not recorded tax reserves associated with any unrecognized tax benefits. The Company’s policy is to recognize interest and penalties accrued on any uncertain tax positions as a component of income tax expense, if any, in its statements of income. As of December 31, 2025, and 2024, the Company had no reserves for uncertain tax positions. For the years ended December 31, 2025 and 2024, no estimated interest or penalties were recognized on uncertain tax positions. The Company has not recorded any interest or penalties on any unrecognized tax benefits since its inception.</w:t>
      </w:r>
    </w:p>
    <w:p>
      <w:pPr>
        <w:spacing w:after="0" w:line="2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The Company has not conducted a study of its research and development credit carryforwards. This study may result in an adjustment to research and development credit carryforwards; however, until a study is completed, and any adjustment is known, no amounts are being presented as an uncertain tax position. A full valuation allowance has been provided against the Company’s research and development credits and, if an adjustment is required, this adjustment would be offset by an adjustment to the valuation allowance. Thus, there would be no impact to the consolidated balance sheets or statements of operations and comprehensive loss if an adjustment were required.</w:t>
      </w:r>
    </w:p>
    <w:p>
      <w:pPr>
        <w:spacing w:after="0" w:line="12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9"/>
          <w:szCs w:val="19"/>
          <w:color w:val="auto"/>
        </w:rPr>
        <w:t>On July 4, 2025, the One Big Beautiful Bill Act (“OBBBA”) was signed into law. Among other provisions, OBBBA permanently extended and modified certain expiring provisions of the 2017 Tax Cuts and Jobs Act and provided for the election to either fully deduct or continue to capitalize and amortize domestic research and development expenditures.</w:t>
      </w:r>
    </w:p>
    <w:p>
      <w:pPr>
        <w:spacing w:after="0" w:line="23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The Company files federal income tax returns in the United States, and state income tax returns in Massachusetts and various other state jurisdictions. The Company’s tax returns for the years ended December 31, 2022 to December 31, 2025 remain open to examination by the Internal Revenue Service and state taxing authorities. In addition, the Company’s tax carryover attributes such as net operating losses or credits from earlier periods are also subject to examination. The Company is currently not subject to any examinations by the Internal Revenue Service or any other tax authorities for any tax years.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13. 401(k) Plan</w:t>
      </w:r>
    </w:p>
    <w:p>
      <w:pPr>
        <w:spacing w:after="0" w:line="23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The Company maintains a defined contribution savings plan for employees that is defined to qualify under Section 401(k) of the Internal Revenue Code, as amended, (the “401(k) Plan”) in which substantially all employees are eligible to participate. Under the 401(k) Plan, all employees who meet minimum age and service requirements may elect to defer a portion of their annual compensation on a pre-tax basis or post-tax basis, up to the maximum amount prescribed by statute. For each participating employee, the Company makes matching contributions equal to 100% of the first 3% of compensation contributed, plus 50% of the next 2% of compensation contributed, for a maximum of up to 4% of the employee’s eligible compensation. Matching contributions are fully vested at the time of contribution. The Company incurred expenses related to matching contributions on behalf of employees to the 401(k) Plan of $0.7 million and $0.6 million during the years ended December 31, 2025 and 2024, respectively.</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14. Subsequent Events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February 2026 Follow-On Offering</w:t>
      </w:r>
    </w:p>
    <w:p>
      <w:pPr>
        <w:spacing w:after="0" w:line="26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9"/>
          <w:szCs w:val="19"/>
          <w:color w:val="auto"/>
        </w:rPr>
        <w:t xml:space="preserve">In February 2026, the Company closed a follow-on offering of prefunded warrants and received gross proceeds of $40.0 million before deducting underwriting discounts and commissions and offering expenses payable by the Company. In connection with the offering, the Company issued prefunded warrants to purchase 5,341,404 </w:t>
      </w:r>
      <w:r>
        <w:rPr>
          <w:rFonts w:ascii="Times New Roman" w:cs="Times New Roman" w:eastAsia="Times New Roman" w:hAnsi="Times New Roman"/>
          <w:sz w:val="18"/>
          <w:szCs w:val="18"/>
          <w:color w:val="auto"/>
        </w:rPr>
        <w:t>shares of its common stock. Each prefunded warrant is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8"/>
          <w:szCs w:val="18"/>
          <w:color w:val="auto"/>
        </w:rPr>
        <w:t>exercisable for one share of the Company's common stock. The purchase price of each warrant was $7.4886. Each prefunded warrant has an exercise price of $0.0014 per share and will be exercisable from the date of issuance until fully exercised, subject to beneficial ownership limitations for each holder.</w:t>
      </w:r>
    </w:p>
    <w:p>
      <w:pPr>
        <w:sectPr>
          <w:pgSz w:w="12240" w:h="15840" w:orient="portrait"/>
          <w:cols w:equalWidth="0" w:num="1">
            <w:col w:w="10200"/>
          </w:cols>
          <w:pgMar w:left="1020" w:top="1347" w:right="1020" w:bottom="5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F-30</w:t>
      </w:r>
    </w:p>
    <w:p>
      <w:pPr>
        <w:sectPr>
          <w:pgSz w:w="12240" w:h="15840" w:orient="portrait"/>
          <w:cols w:equalWidth="0" w:num="1">
            <w:col w:w="10200"/>
          </w:cols>
          <w:pgMar w:left="1020" w:top="1347" w:right="1020" w:bottom="556" w:gutter="0" w:footer="0" w:header="0"/>
          <w:type w:val="continuous"/>
        </w:sectPr>
      </w:pPr>
    </w:p>
    <w:bookmarkStart w:id="153" w:name="page154"/>
    <w:bookmarkEnd w:id="153"/>
    <w:p>
      <w:pPr>
        <w:spacing w:after="0"/>
        <w:rPr>
          <w:sz w:val="20"/>
          <w:szCs w:val="20"/>
          <w:color w:val="auto"/>
        </w:rPr>
      </w:pPr>
      <w:r>
        <w:rPr>
          <w:rFonts w:ascii="Arial" w:cs="Arial" w:eastAsia="Arial" w:hAnsi="Arial"/>
          <w:sz w:val="32"/>
          <w:szCs w:val="32"/>
          <w:color w:val="auto"/>
        </w:rPr>
        <w:t>SENIOR LEADERSHIP TEAM</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9"/>
          <w:szCs w:val="19"/>
          <w:color w:val="F40413"/>
        </w:rPr>
        <w:t>RENÉ RUSSO, PHARM.D.</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PRESIDENT AND CHIEF EXECUTIVE OFFICER</w:t>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color w:val="F40413"/>
        </w:rPr>
        <w:t>ULI BIALUCHA, PH.D.</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CHIEF SCIENTIFIC OFFICER</w:t>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color w:val="F40413"/>
        </w:rPr>
        <w:t>SCOTT COLEMAN, PH.D.</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CHIEF DEVELPOMENT OFFICER</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color w:val="F40413"/>
        </w:rPr>
        <w:t>CHRIS FRANKENFIELD</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CHIEF FINANCIAL AND OPERATING OFFICER</w:t>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color w:val="F40413"/>
        </w:rPr>
        <w:t>CAROLINE HENSLEY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CHIEF LEGAL OFFICER</w:t>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color w:val="F40413"/>
        </w:rPr>
        <w:t>KATARINA LUPTAKOVA, M.D.</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CHIEF MEDICAL OFFICER</w:t>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color w:val="F40413"/>
        </w:rPr>
        <w:t>NATHAN MCBRIDE</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CHIEF INFORMATION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32"/>
          <w:szCs w:val="32"/>
          <w:color w:val="auto"/>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-832485</wp:posOffset>
            </wp:positionV>
            <wp:extent cx="7772400" cy="100577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34">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60"/>
        <w:spacing w:after="0"/>
        <w:rPr>
          <w:sz w:val="20"/>
          <w:szCs w:val="20"/>
          <w:color w:val="auto"/>
        </w:rPr>
      </w:pPr>
      <w:r>
        <w:rPr>
          <w:rFonts w:ascii="Arial" w:cs="Arial" w:eastAsia="Arial" w:hAnsi="Arial"/>
          <w:sz w:val="19"/>
          <w:szCs w:val="19"/>
          <w:color w:val="F40413"/>
        </w:rPr>
        <w:t>SARA M. BONSTEIN</w:t>
      </w:r>
    </w:p>
    <w:p>
      <w:pPr>
        <w:spacing w:after="0" w:line="28" w:lineRule="exact"/>
        <w:rPr>
          <w:sz w:val="20"/>
          <w:szCs w:val="20"/>
          <w:color w:val="auto"/>
        </w:rPr>
      </w:pPr>
    </w:p>
    <w:p>
      <w:pPr>
        <w:ind w:left="60"/>
        <w:spacing w:after="0"/>
        <w:rPr>
          <w:sz w:val="20"/>
          <w:szCs w:val="20"/>
          <w:color w:val="auto"/>
        </w:rPr>
      </w:pPr>
      <w:r>
        <w:rPr>
          <w:rFonts w:ascii="Arial" w:cs="Arial" w:eastAsia="Arial" w:hAnsi="Arial"/>
          <w:sz w:val="14"/>
          <w:szCs w:val="14"/>
          <w:color w:val="auto"/>
        </w:rPr>
        <w:t>CHAIR OF THE BOARD</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4"/>
          <w:szCs w:val="14"/>
          <w:color w:val="auto"/>
        </w:rPr>
        <w:t>CHIEF FINANCIAL OFFICER OF INSMED, INC.</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9"/>
          <w:szCs w:val="19"/>
          <w:color w:val="F40413"/>
        </w:rPr>
        <w:t>RENÉ RUSSO, PHARM.D.</w:t>
      </w:r>
    </w:p>
    <w:p>
      <w:pPr>
        <w:spacing w:after="0" w:line="28" w:lineRule="exact"/>
        <w:rPr>
          <w:sz w:val="20"/>
          <w:szCs w:val="20"/>
          <w:color w:val="auto"/>
        </w:rPr>
      </w:pPr>
    </w:p>
    <w:p>
      <w:pPr>
        <w:ind w:left="60"/>
        <w:spacing w:after="0"/>
        <w:rPr>
          <w:sz w:val="20"/>
          <w:szCs w:val="20"/>
          <w:color w:val="auto"/>
        </w:rPr>
      </w:pPr>
      <w:r>
        <w:rPr>
          <w:rFonts w:ascii="Arial" w:cs="Arial" w:eastAsia="Arial" w:hAnsi="Arial"/>
          <w:sz w:val="14"/>
          <w:szCs w:val="14"/>
          <w:color w:val="auto"/>
        </w:rPr>
        <w:t>PRESIDENT AND CHIEF EXECUTIVE OFFICER</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9"/>
          <w:szCs w:val="19"/>
          <w:color w:val="F40413"/>
        </w:rPr>
        <w:t>AKINTUNDE BELLO, PH.D.</w:t>
      </w:r>
    </w:p>
    <w:p>
      <w:pPr>
        <w:spacing w:after="0" w:line="28" w:lineRule="exact"/>
        <w:rPr>
          <w:sz w:val="20"/>
          <w:szCs w:val="20"/>
          <w:color w:val="auto"/>
        </w:rPr>
      </w:pPr>
    </w:p>
    <w:p>
      <w:pPr>
        <w:ind w:left="60"/>
        <w:spacing w:after="0"/>
        <w:rPr>
          <w:sz w:val="20"/>
          <w:szCs w:val="20"/>
          <w:color w:val="auto"/>
        </w:rPr>
      </w:pPr>
      <w:r>
        <w:rPr>
          <w:rFonts w:ascii="Arial" w:cs="Arial" w:eastAsia="Arial" w:hAnsi="Arial"/>
          <w:sz w:val="14"/>
          <w:szCs w:val="14"/>
          <w:color w:val="auto"/>
        </w:rPr>
        <w:t>FORMER VICE PRESIDENT AT</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4"/>
          <w:szCs w:val="14"/>
          <w:color w:val="auto"/>
        </w:rPr>
        <w:t>BRISTOL MYERS SQUIBB COMPANY</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9"/>
          <w:szCs w:val="19"/>
          <w:color w:val="F40413"/>
        </w:rPr>
        <w:t>CHERYL BLANCHARD, PH.D.</w:t>
      </w:r>
    </w:p>
    <w:p>
      <w:pPr>
        <w:spacing w:after="0" w:line="28" w:lineRule="exact"/>
        <w:rPr>
          <w:sz w:val="20"/>
          <w:szCs w:val="20"/>
          <w:color w:val="auto"/>
        </w:rPr>
      </w:pPr>
    </w:p>
    <w:p>
      <w:pPr>
        <w:ind w:left="60"/>
        <w:spacing w:after="0"/>
        <w:rPr>
          <w:sz w:val="20"/>
          <w:szCs w:val="20"/>
          <w:color w:val="auto"/>
        </w:rPr>
      </w:pPr>
      <w:r>
        <w:rPr>
          <w:rFonts w:ascii="Arial" w:cs="Arial" w:eastAsia="Arial" w:hAnsi="Arial"/>
          <w:sz w:val="14"/>
          <w:szCs w:val="14"/>
          <w:color w:val="auto"/>
        </w:rPr>
        <w:t>EXECUTIVE CHAIR OF THE BOARD OF</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4"/>
          <w:szCs w:val="14"/>
          <w:color w:val="auto"/>
        </w:rPr>
        <w:t>DIRECTORS AND FORMER PRESIDENT</w:t>
      </w:r>
    </w:p>
    <w:p>
      <w:pPr>
        <w:spacing w:after="0" w:line="29" w:lineRule="exact"/>
        <w:rPr>
          <w:sz w:val="20"/>
          <w:szCs w:val="20"/>
          <w:color w:val="auto"/>
        </w:rPr>
      </w:pPr>
    </w:p>
    <w:p>
      <w:pPr>
        <w:ind w:left="60"/>
        <w:spacing w:after="0"/>
        <w:rPr>
          <w:sz w:val="20"/>
          <w:szCs w:val="20"/>
          <w:color w:val="auto"/>
        </w:rPr>
      </w:pPr>
      <w:r>
        <w:rPr>
          <w:rFonts w:ascii="Arial" w:cs="Arial" w:eastAsia="Arial" w:hAnsi="Arial"/>
          <w:sz w:val="14"/>
          <w:szCs w:val="14"/>
          <w:color w:val="auto"/>
        </w:rPr>
        <w:t>AND CHIEF EXECUTIVE OFFICER AT</w:t>
      </w:r>
    </w:p>
    <w:p>
      <w:pPr>
        <w:spacing w:after="0" w:line="29" w:lineRule="exact"/>
        <w:rPr>
          <w:sz w:val="20"/>
          <w:szCs w:val="20"/>
          <w:color w:val="auto"/>
        </w:rPr>
      </w:pPr>
    </w:p>
    <w:p>
      <w:pPr>
        <w:ind w:left="60"/>
        <w:spacing w:after="0"/>
        <w:rPr>
          <w:sz w:val="20"/>
          <w:szCs w:val="20"/>
          <w:color w:val="auto"/>
        </w:rPr>
      </w:pPr>
      <w:r>
        <w:rPr>
          <w:rFonts w:ascii="Arial" w:cs="Arial" w:eastAsia="Arial" w:hAnsi="Arial"/>
          <w:sz w:val="14"/>
          <w:szCs w:val="14"/>
          <w:color w:val="auto"/>
        </w:rPr>
        <w:t>ANIKA THERAPEUTICS, INC.</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9"/>
          <w:szCs w:val="19"/>
          <w:color w:val="F40413"/>
        </w:rPr>
        <w:t>DANIEL CURRAN, M.D.</w:t>
      </w:r>
    </w:p>
    <w:p>
      <w:pPr>
        <w:spacing w:after="0" w:line="28" w:lineRule="exact"/>
        <w:rPr>
          <w:sz w:val="20"/>
          <w:szCs w:val="20"/>
          <w:color w:val="auto"/>
        </w:rPr>
      </w:pPr>
    </w:p>
    <w:p>
      <w:pPr>
        <w:ind w:left="60"/>
        <w:spacing w:after="0"/>
        <w:rPr>
          <w:sz w:val="20"/>
          <w:szCs w:val="20"/>
          <w:color w:val="auto"/>
        </w:rPr>
      </w:pPr>
      <w:r>
        <w:rPr>
          <w:rFonts w:ascii="Arial" w:cs="Arial" w:eastAsia="Arial" w:hAnsi="Arial"/>
          <w:sz w:val="14"/>
          <w:szCs w:val="14"/>
          <w:color w:val="auto"/>
        </w:rPr>
        <w:t>MANAGING PARTNER AT MOUNTAINFIELD</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4"/>
          <w:szCs w:val="14"/>
          <w:color w:val="auto"/>
        </w:rPr>
        <w:t>VENTURE PARTNERS, LLC</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9"/>
          <w:szCs w:val="19"/>
          <w:color w:val="F40413"/>
        </w:rPr>
        <w:t>AOIFE BRENNAN, M.D.</w:t>
      </w:r>
    </w:p>
    <w:p>
      <w:pPr>
        <w:spacing w:after="0" w:line="28" w:lineRule="exact"/>
        <w:rPr>
          <w:sz w:val="20"/>
          <w:szCs w:val="20"/>
          <w:color w:val="auto"/>
        </w:rPr>
      </w:pPr>
    </w:p>
    <w:p>
      <w:pPr>
        <w:sectPr>
          <w:pgSz w:w="12240" w:h="15840" w:orient="portrait"/>
          <w:cols w:equalWidth="0" w:num="2">
            <w:col w:w="4640" w:space="720"/>
            <w:col w:w="5280"/>
          </w:cols>
          <w:pgMar w:left="1200" w:top="944" w:right="400" w:bottom="0" w:gutter="0" w:footer="0" w:header="0"/>
        </w:sectPr>
      </w:pPr>
    </w:p>
    <w:p>
      <w:pPr>
        <w:ind w:left="5420"/>
        <w:spacing w:after="0"/>
        <w:rPr>
          <w:sz w:val="20"/>
          <w:szCs w:val="20"/>
          <w:color w:val="auto"/>
        </w:rPr>
      </w:pPr>
      <w:r>
        <w:rPr>
          <w:rFonts w:ascii="Arial" w:cs="Arial" w:eastAsia="Arial" w:hAnsi="Arial"/>
          <w:sz w:val="14"/>
          <w:szCs w:val="14"/>
          <w:color w:val="auto"/>
        </w:rPr>
        <w:t>CHIEF EXECUTIVE OFFICER,</w:t>
      </w:r>
    </w:p>
    <w:p>
      <w:pPr>
        <w:spacing w:after="0" w:line="27" w:lineRule="exact"/>
        <w:rPr>
          <w:sz w:val="20"/>
          <w:szCs w:val="20"/>
          <w:color w:val="auto"/>
        </w:rPr>
      </w:pPr>
    </w:p>
    <w:p>
      <w:pPr>
        <w:ind w:left="5420"/>
        <w:spacing w:after="0"/>
        <w:rPr>
          <w:sz w:val="20"/>
          <w:szCs w:val="20"/>
          <w:color w:val="auto"/>
        </w:rPr>
      </w:pPr>
      <w:r>
        <w:rPr>
          <w:rFonts w:ascii="Arial" w:cs="Arial" w:eastAsia="Arial" w:hAnsi="Arial"/>
          <w:sz w:val="14"/>
          <w:szCs w:val="14"/>
          <w:color w:val="auto"/>
        </w:rPr>
        <w:t>PRESIDENT AND A MEMBER</w:t>
      </w:r>
    </w:p>
    <w:p>
      <w:pPr>
        <w:spacing w:after="0" w:line="29" w:lineRule="exact"/>
        <w:rPr>
          <w:sz w:val="20"/>
          <w:szCs w:val="20"/>
          <w:color w:val="auto"/>
        </w:rPr>
      </w:pPr>
    </w:p>
    <w:p>
      <w:pPr>
        <w:ind w:left="5420"/>
        <w:spacing w:after="0"/>
        <w:rPr>
          <w:sz w:val="20"/>
          <w:szCs w:val="20"/>
          <w:color w:val="auto"/>
        </w:rPr>
      </w:pPr>
      <w:r>
        <w:rPr>
          <w:rFonts w:ascii="Arial" w:cs="Arial" w:eastAsia="Arial" w:hAnsi="Arial"/>
          <w:sz w:val="14"/>
          <w:szCs w:val="14"/>
          <w:color w:val="auto"/>
        </w:rPr>
        <w:t>OF THE BOARD OF DIRECTORS</w:t>
      </w:r>
    </w:p>
    <w:p>
      <w:pPr>
        <w:spacing w:after="0" w:line="29" w:lineRule="exact"/>
        <w:rPr>
          <w:sz w:val="20"/>
          <w:szCs w:val="20"/>
          <w:color w:val="auto"/>
        </w:rPr>
      </w:pPr>
    </w:p>
    <w:p>
      <w:pPr>
        <w:ind w:left="5420"/>
        <w:spacing w:after="0"/>
        <w:rPr>
          <w:sz w:val="20"/>
          <w:szCs w:val="20"/>
          <w:color w:val="auto"/>
        </w:rPr>
      </w:pPr>
      <w:r>
        <w:rPr>
          <w:rFonts w:ascii="Arial" w:cs="Arial" w:eastAsia="Arial" w:hAnsi="Arial"/>
          <w:sz w:val="14"/>
          <w:szCs w:val="14"/>
          <w:color w:val="auto"/>
        </w:rPr>
        <w:t>OF CLIMB BIO, INC.</w:t>
      </w:r>
    </w:p>
    <w:p>
      <w:pPr>
        <w:spacing w:after="0" w:line="166" w:lineRule="exact"/>
        <w:rPr>
          <w:sz w:val="20"/>
          <w:szCs w:val="20"/>
          <w:color w:val="auto"/>
        </w:rPr>
      </w:pPr>
    </w:p>
    <w:p>
      <w:pPr>
        <w:ind w:left="5420"/>
        <w:spacing w:after="0"/>
        <w:rPr>
          <w:sz w:val="20"/>
          <w:szCs w:val="20"/>
          <w:color w:val="auto"/>
        </w:rPr>
      </w:pPr>
      <w:r>
        <w:rPr>
          <w:rFonts w:ascii="Arial" w:cs="Arial" w:eastAsia="Arial" w:hAnsi="Arial"/>
          <w:sz w:val="19"/>
          <w:szCs w:val="19"/>
          <w:color w:val="F40413"/>
        </w:rPr>
        <w:t>ROBERT ROSS, M.D.</w:t>
      </w:r>
    </w:p>
    <w:p>
      <w:pPr>
        <w:spacing w:after="0" w:line="28" w:lineRule="exact"/>
        <w:rPr>
          <w:sz w:val="20"/>
          <w:szCs w:val="20"/>
          <w:color w:val="auto"/>
        </w:rPr>
      </w:pPr>
    </w:p>
    <w:p>
      <w:pPr>
        <w:ind w:left="5420"/>
        <w:spacing w:after="0"/>
        <w:rPr>
          <w:sz w:val="20"/>
          <w:szCs w:val="20"/>
          <w:color w:val="auto"/>
        </w:rPr>
      </w:pPr>
      <w:r>
        <w:rPr>
          <w:rFonts w:ascii="Arial" w:cs="Arial" w:eastAsia="Arial" w:hAnsi="Arial"/>
          <w:sz w:val="14"/>
          <w:szCs w:val="14"/>
          <w:color w:val="auto"/>
        </w:rPr>
        <w:t>CHIEF EXECUTIVE OFFICER, PRESIDENT</w:t>
      </w:r>
    </w:p>
    <w:p>
      <w:pPr>
        <w:spacing w:after="0" w:line="27" w:lineRule="exact"/>
        <w:rPr>
          <w:sz w:val="20"/>
          <w:szCs w:val="20"/>
          <w:color w:val="auto"/>
        </w:rPr>
      </w:pPr>
    </w:p>
    <w:p>
      <w:pPr>
        <w:ind w:left="5420"/>
        <w:spacing w:after="0"/>
        <w:rPr>
          <w:sz w:val="20"/>
          <w:szCs w:val="20"/>
          <w:color w:val="auto"/>
        </w:rPr>
      </w:pPr>
      <w:r>
        <w:rPr>
          <w:rFonts w:ascii="Arial" w:cs="Arial" w:eastAsia="Arial" w:hAnsi="Arial"/>
          <w:sz w:val="14"/>
          <w:szCs w:val="14"/>
          <w:color w:val="auto"/>
        </w:rPr>
        <w:t>AND A MEMBER OF THE BOARD OF</w:t>
      </w:r>
    </w:p>
    <w:p>
      <w:pPr>
        <w:spacing w:after="0" w:line="29" w:lineRule="exact"/>
        <w:rPr>
          <w:sz w:val="20"/>
          <w:szCs w:val="20"/>
          <w:color w:val="auto"/>
        </w:rPr>
      </w:pPr>
    </w:p>
    <w:p>
      <w:pPr>
        <w:ind w:left="5420"/>
        <w:spacing w:after="0"/>
        <w:rPr>
          <w:sz w:val="20"/>
          <w:szCs w:val="20"/>
          <w:color w:val="auto"/>
        </w:rPr>
      </w:pPr>
      <w:r>
        <w:rPr>
          <w:rFonts w:ascii="Arial" w:cs="Arial" w:eastAsia="Arial" w:hAnsi="Arial"/>
          <w:sz w:val="14"/>
          <w:szCs w:val="14"/>
          <w:color w:val="auto"/>
        </w:rPr>
        <w:t>DIRECTORS OF CLASP THERAPEUTICS, INC.</w:t>
      </w:r>
    </w:p>
    <w:p>
      <w:pPr>
        <w:spacing w:after="0" w:line="166" w:lineRule="exact"/>
        <w:rPr>
          <w:sz w:val="20"/>
          <w:szCs w:val="20"/>
          <w:color w:val="auto"/>
        </w:rPr>
      </w:pPr>
    </w:p>
    <w:p>
      <w:pPr>
        <w:ind w:left="5420"/>
        <w:spacing w:after="0"/>
        <w:rPr>
          <w:sz w:val="20"/>
          <w:szCs w:val="20"/>
          <w:color w:val="auto"/>
        </w:rPr>
      </w:pPr>
      <w:r>
        <w:rPr>
          <w:rFonts w:ascii="Arial" w:cs="Arial" w:eastAsia="Arial" w:hAnsi="Arial"/>
          <w:sz w:val="19"/>
          <w:szCs w:val="19"/>
          <w:color w:val="F40413"/>
        </w:rPr>
        <w:t>YUAN XU, PH.D.</w:t>
      </w:r>
    </w:p>
    <w:p>
      <w:pPr>
        <w:spacing w:after="0" w:line="28" w:lineRule="exact"/>
        <w:rPr>
          <w:sz w:val="20"/>
          <w:szCs w:val="20"/>
          <w:color w:val="auto"/>
        </w:rPr>
      </w:pPr>
    </w:p>
    <w:p>
      <w:pPr>
        <w:ind w:left="5420"/>
        <w:spacing w:after="0"/>
        <w:rPr>
          <w:sz w:val="20"/>
          <w:szCs w:val="20"/>
          <w:color w:val="auto"/>
        </w:rPr>
      </w:pPr>
      <w:r>
        <w:rPr>
          <w:rFonts w:ascii="Arial" w:cs="Arial" w:eastAsia="Arial" w:hAnsi="Arial"/>
          <w:sz w:val="14"/>
          <w:szCs w:val="14"/>
          <w:color w:val="auto"/>
        </w:rPr>
        <w:t>FORMER CHIEF EXECUTIVE OFFICER</w:t>
      </w:r>
    </w:p>
    <w:p>
      <w:pPr>
        <w:spacing w:after="0" w:line="27" w:lineRule="exact"/>
        <w:rPr>
          <w:sz w:val="20"/>
          <w:szCs w:val="20"/>
          <w:color w:val="auto"/>
        </w:rPr>
      </w:pPr>
    </w:p>
    <w:p>
      <w:pPr>
        <w:ind w:left="5420"/>
        <w:spacing w:after="0"/>
        <w:rPr>
          <w:sz w:val="20"/>
          <w:szCs w:val="20"/>
          <w:color w:val="auto"/>
        </w:rPr>
      </w:pPr>
      <w:r>
        <w:rPr>
          <w:rFonts w:ascii="Arial" w:cs="Arial" w:eastAsia="Arial" w:hAnsi="Arial"/>
          <w:sz w:val="14"/>
          <w:szCs w:val="14"/>
          <w:color w:val="auto"/>
        </w:rPr>
        <w:t>AT LEGEND BIOTECH CORPORATION</w:t>
      </w:r>
    </w:p>
    <w:p>
      <w:pPr>
        <w:spacing w:after="0" w:line="166" w:lineRule="exact"/>
        <w:rPr>
          <w:sz w:val="20"/>
          <w:szCs w:val="20"/>
          <w:color w:val="auto"/>
        </w:rPr>
      </w:pPr>
    </w:p>
    <w:p>
      <w:pPr>
        <w:ind w:left="5420"/>
        <w:spacing w:after="0"/>
        <w:rPr>
          <w:sz w:val="20"/>
          <w:szCs w:val="20"/>
          <w:color w:val="auto"/>
        </w:rPr>
      </w:pPr>
      <w:r>
        <w:rPr>
          <w:rFonts w:ascii="Arial" w:cs="Arial" w:eastAsia="Arial" w:hAnsi="Arial"/>
          <w:sz w:val="19"/>
          <w:szCs w:val="19"/>
          <w:color w:val="F40413"/>
        </w:rPr>
        <w:t>JAMES SHANNON, M.D.</w:t>
      </w:r>
    </w:p>
    <w:p>
      <w:pPr>
        <w:spacing w:after="0" w:line="28" w:lineRule="exact"/>
        <w:rPr>
          <w:sz w:val="20"/>
          <w:szCs w:val="20"/>
          <w:color w:val="auto"/>
        </w:rPr>
      </w:pPr>
    </w:p>
    <w:p>
      <w:pPr>
        <w:ind w:left="5420"/>
        <w:spacing w:after="0"/>
        <w:rPr>
          <w:sz w:val="20"/>
          <w:szCs w:val="20"/>
          <w:color w:val="auto"/>
        </w:rPr>
      </w:pPr>
      <w:r>
        <w:rPr>
          <w:rFonts w:ascii="Arial" w:cs="Arial" w:eastAsia="Arial" w:hAnsi="Arial"/>
          <w:sz w:val="14"/>
          <w:szCs w:val="14"/>
          <w:color w:val="auto"/>
        </w:rPr>
        <w:t>CHAIR OF THE BOARD OF DIRECTORS</w:t>
      </w:r>
    </w:p>
    <w:p>
      <w:pPr>
        <w:spacing w:after="0" w:line="27" w:lineRule="exact"/>
        <w:rPr>
          <w:sz w:val="20"/>
          <w:szCs w:val="20"/>
          <w:color w:val="auto"/>
        </w:rPr>
      </w:pPr>
    </w:p>
    <w:p>
      <w:pPr>
        <w:ind w:left="5420"/>
        <w:spacing w:after="0"/>
        <w:rPr>
          <w:sz w:val="20"/>
          <w:szCs w:val="20"/>
          <w:color w:val="auto"/>
        </w:rPr>
      </w:pPr>
      <w:r>
        <w:rPr>
          <w:rFonts w:ascii="Arial" w:cs="Arial" w:eastAsia="Arial" w:hAnsi="Arial"/>
          <w:sz w:val="14"/>
          <w:szCs w:val="14"/>
          <w:color w:val="auto"/>
        </w:rPr>
        <w:t>OF MANNKIND CORPORATION AND</w:t>
      </w:r>
    </w:p>
    <w:p>
      <w:pPr>
        <w:spacing w:after="0" w:line="29" w:lineRule="exact"/>
        <w:rPr>
          <w:sz w:val="20"/>
          <w:szCs w:val="20"/>
          <w:color w:val="auto"/>
        </w:rPr>
      </w:pPr>
    </w:p>
    <w:p>
      <w:pPr>
        <w:ind w:left="5420"/>
        <w:spacing w:after="0"/>
        <w:rPr>
          <w:sz w:val="20"/>
          <w:szCs w:val="20"/>
          <w:color w:val="auto"/>
        </w:rPr>
      </w:pPr>
      <w:r>
        <w:rPr>
          <w:rFonts w:ascii="Arial" w:cs="Arial" w:eastAsia="Arial" w:hAnsi="Arial"/>
          <w:sz w:val="14"/>
          <w:szCs w:val="14"/>
          <w:color w:val="auto"/>
        </w:rPr>
        <w:t>PROQR THERAPEUTICS N.V.</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44"/>
          <w:szCs w:val="44"/>
          <w:color w:val="auto"/>
        </w:rPr>
        <w:t>ANNUAL MEETING OF STOCKHOLDERS</w:t>
      </w:r>
    </w:p>
    <w:p>
      <w:pPr>
        <w:spacing w:after="0" w:line="200" w:lineRule="exact"/>
        <w:rPr>
          <w:sz w:val="20"/>
          <w:szCs w:val="20"/>
          <w:color w:val="auto"/>
        </w:rPr>
      </w:pPr>
    </w:p>
    <w:p>
      <w:pPr>
        <w:spacing w:after="0" w:line="232" w:lineRule="exact"/>
        <w:rPr>
          <w:sz w:val="20"/>
          <w:szCs w:val="20"/>
          <w:color w:val="auto"/>
        </w:rPr>
      </w:pPr>
    </w:p>
    <w:p>
      <w:pPr>
        <w:jc w:val="both"/>
        <w:ind w:right="1260"/>
        <w:spacing w:after="0" w:line="312" w:lineRule="auto"/>
        <w:rPr>
          <w:sz w:val="20"/>
          <w:szCs w:val="20"/>
          <w:color w:val="auto"/>
        </w:rPr>
      </w:pPr>
      <w:r>
        <w:rPr>
          <w:rFonts w:ascii="Arial" w:cs="Arial" w:eastAsia="Arial" w:hAnsi="Arial"/>
          <w:sz w:val="23"/>
          <w:szCs w:val="23"/>
          <w:color w:val="auto"/>
        </w:rPr>
        <w:t>The 2026 annual meeting of stockholders will be held on Wednesday, June 10, 2026 at 11 a.m. EDT online at www.virtualshareholdermeeting.com/XLO2026.</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INDEPENDENT AUDITORS</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Ernst &amp; Young LLP</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SEC FORM 10-K</w:t>
      </w:r>
    </w:p>
    <w:p>
      <w:pPr>
        <w:spacing w:after="0" w:line="40" w:lineRule="exact"/>
        <w:rPr>
          <w:sz w:val="20"/>
          <w:szCs w:val="20"/>
          <w:color w:val="auto"/>
        </w:rPr>
      </w:pPr>
    </w:p>
    <w:p>
      <w:pPr>
        <w:jc w:val="both"/>
        <w:ind w:right="1260"/>
        <w:spacing w:after="0" w:line="218" w:lineRule="exact"/>
        <w:rPr>
          <w:sz w:val="20"/>
          <w:szCs w:val="20"/>
          <w:color w:val="auto"/>
        </w:rPr>
      </w:pPr>
      <w:r>
        <w:rPr>
          <w:rFonts w:ascii="Arial" w:cs="Arial" w:eastAsia="Arial" w:hAnsi="Arial"/>
          <w:sz w:val="16"/>
          <w:szCs w:val="16"/>
          <w:color w:val="auto"/>
        </w:rPr>
        <w:t>:</w:t>
      </w:r>
      <w:r>
        <w:rPr>
          <w:rFonts w:ascii="PMingLiU" w:cs="PMingLiU" w:eastAsia="PMingLiU" w:hAnsi="PMingLiU"/>
          <w:sz w:val="16"/>
          <w:szCs w:val="16"/>
          <w:color w:val="auto"/>
        </w:rPr>
        <w:t/>
      </w:r>
      <w:r>
        <w:rPr>
          <w:rFonts w:ascii="Arial" w:cs="Arial" w:eastAsia="Arial" w:hAnsi="Arial"/>
          <w:sz w:val="16"/>
          <w:szCs w:val="16"/>
          <w:color w:val="auto"/>
        </w:rPr>
        <w:t>\hir</w:t>
      </w:r>
      <w:r>
        <w:rPr>
          <w:rFonts w:ascii="PMingLiU" w:cs="PMingLiU" w:eastAsia="PMingLiU" w:hAnsi="PMingLiU"/>
          <w:sz w:val="16"/>
          <w:szCs w:val="16"/>
          <w:color w:val="auto"/>
        </w:rPr>
        <w:t/>
      </w:r>
      <w:r>
        <w:rPr>
          <w:rFonts w:ascii="Arial" w:cs="Arial" w:eastAsia="Arial" w:hAnsi="Arial"/>
          <w:sz w:val="16"/>
          <w:szCs w:val="16"/>
          <w:color w:val="auto"/>
        </w:rPr>
        <w:t>h_</w:t>
      </w:r>
      <w:r>
        <w:rPr>
          <w:rFonts w:ascii="PMingLiU" w:cs="PMingLiU" w:eastAsia="PMingLiU" w:hAnsi="PMingLiU"/>
          <w:sz w:val="16"/>
          <w:szCs w:val="16"/>
          <w:color w:val="auto"/>
        </w:rPr>
        <w:t/>
      </w:r>
      <w:r>
        <w:rPr>
          <w:rFonts w:ascii="Arial" w:cs="Arial" w:eastAsia="Arial" w:hAnsi="Arial"/>
          <w:sz w:val="16"/>
          <w:szCs w:val="16"/>
          <w:color w:val="auto"/>
        </w:rPr>
        <w:t>Qbebh</w:t>
      </w:r>
      <w:r>
        <w:rPr>
          <w:rFonts w:ascii="PMingLiU" w:cs="PMingLiU" w:eastAsia="PMingLiU" w:hAnsi="PMingLiU"/>
          <w:sz w:val="16"/>
          <w:szCs w:val="16"/>
          <w:color w:val="auto"/>
        </w:rPr>
        <w:t/>
      </w:r>
      <w:r>
        <w:rPr>
          <w:rFonts w:ascii="Arial" w:cs="Arial" w:eastAsia="Arial" w:hAnsi="Arial"/>
          <w:sz w:val="16"/>
          <w:szCs w:val="16"/>
          <w:color w:val="auto"/>
        </w:rPr>
        <w:t>Ma^kZi^nmb\l</w:t>
      </w:r>
      <w:r>
        <w:rPr>
          <w:rFonts w:ascii="PMingLiU" w:cs="PMingLiU" w:eastAsia="PMingLiU" w:hAnsi="PMingLiU"/>
          <w:sz w:val="16"/>
          <w:szCs w:val="16"/>
          <w:color w:val="auto"/>
        </w:rPr>
        <w:t/>
      </w:r>
      <w:r>
        <w:rPr>
          <w:rFonts w:ascii="Arial" w:cs="Arial" w:eastAsia="Arial" w:hAnsi="Arial"/>
          <w:sz w:val="16"/>
          <w:szCs w:val="16"/>
          <w:color w:val="auto"/>
        </w:rPr>
        <w:t>?hkf</w:t>
      </w:r>
      <w:r>
        <w:rPr>
          <w:rFonts w:ascii="PMingLiU" w:cs="PMingLiU" w:eastAsia="PMingLiU" w:hAnsi="PMingLiU"/>
          <w:sz w:val="16"/>
          <w:szCs w:val="16"/>
          <w:color w:val="auto"/>
        </w:rPr>
        <w:t/>
      </w:r>
      <w:r>
        <w:rPr>
          <w:rFonts w:ascii="Arial" w:cs="Arial" w:eastAsia="Arial" w:hAnsi="Arial"/>
          <w:sz w:val="16"/>
          <w:szCs w:val="16"/>
          <w:color w:val="auto"/>
        </w:rPr>
        <w:t>*)&amp;D</w:t>
      </w:r>
      <w:r>
        <w:rPr>
          <w:rFonts w:ascii="PMingLiU" w:cs="PMingLiU" w:eastAsia="PMingLiU" w:hAnsi="PMingLiU"/>
          <w:sz w:val="16"/>
          <w:szCs w:val="16"/>
          <w:color w:val="auto"/>
        </w:rPr>
        <w:t/>
      </w:r>
      <w:r>
        <w:rPr>
          <w:rFonts w:ascii="Arial" w:cs="Arial" w:eastAsia="Arial" w:hAnsi="Arial"/>
          <w:sz w:val="16"/>
          <w:szCs w:val="16"/>
          <w:color w:val="auto"/>
        </w:rPr>
        <w:t>_be^]</w:t>
      </w:r>
      <w:r>
        <w:rPr>
          <w:rFonts w:ascii="PMingLiU" w:cs="PMingLiU" w:eastAsia="PMingLiU" w:hAnsi="PMingLiU"/>
          <w:sz w:val="16"/>
          <w:szCs w:val="16"/>
          <w:color w:val="auto"/>
        </w:rPr>
        <w:t/>
      </w:r>
      <w:r>
        <w:rPr>
          <w:rFonts w:ascii="Arial" w:cs="Arial" w:eastAsia="Arial" w:hAnsi="Arial"/>
          <w:sz w:val="16"/>
          <w:szCs w:val="16"/>
          <w:color w:val="auto"/>
        </w:rPr>
        <w:t>pbma</w:t>
      </w:r>
      <w:r>
        <w:rPr>
          <w:rFonts w:ascii="PMingLiU" w:cs="PMingLiU" w:eastAsia="PMingLiU" w:hAnsi="PMingLiU"/>
          <w:sz w:val="16"/>
          <w:szCs w:val="16"/>
          <w:color w:val="auto"/>
        </w:rPr>
        <w:t/>
      </w:r>
      <w:r>
        <w:rPr>
          <w:rFonts w:ascii="Arial" w:cs="Arial" w:eastAsia="Arial" w:hAnsi="Arial"/>
          <w:sz w:val="16"/>
          <w:szCs w:val="16"/>
          <w:color w:val="auto"/>
        </w:rPr>
        <w:t>ma^</w:t>
      </w:r>
      <w:r>
        <w:rPr>
          <w:rFonts w:ascii="PMingLiU" w:cs="PMingLiU" w:eastAsia="PMingLiU" w:hAnsi="PMingLiU"/>
          <w:sz w:val="16"/>
          <w:szCs w:val="16"/>
          <w:color w:val="auto"/>
        </w:rPr>
        <w:t/>
      </w:r>
      <w:r>
        <w:rPr>
          <w:rFonts w:ascii="Arial" w:cs="Arial" w:eastAsia="Arial" w:hAnsi="Arial"/>
          <w:sz w:val="16"/>
          <w:szCs w:val="16"/>
          <w:color w:val="auto"/>
        </w:rPr>
        <w:t>L^\nkbmb^l</w:t>
      </w:r>
      <w:r>
        <w:rPr>
          <w:rFonts w:ascii="PMingLiU" w:cs="PMingLiU" w:eastAsia="PMingLiU" w:hAnsi="PMingLiU"/>
          <w:sz w:val="16"/>
          <w:szCs w:val="16"/>
          <w:color w:val="auto"/>
        </w:rPr>
        <w:t/>
      </w:r>
      <w:r>
        <w:rPr>
          <w:rFonts w:ascii="Arial" w:cs="Arial" w:eastAsia="Arial" w:hAnsi="Arial"/>
          <w:sz w:val="16"/>
          <w:szCs w:val="16"/>
          <w:color w:val="auto"/>
        </w:rPr>
        <w:t>Zg]</w:t>
      </w:r>
      <w:r>
        <w:rPr>
          <w:rFonts w:ascii="PMingLiU" w:cs="PMingLiU" w:eastAsia="PMingLiU" w:hAnsi="PMingLiU"/>
          <w:sz w:val="16"/>
          <w:szCs w:val="16"/>
          <w:color w:val="auto"/>
        </w:rPr>
        <w:t/>
      </w:r>
      <w:r>
        <w:rPr>
          <w:rFonts w:ascii="Arial" w:cs="Arial" w:eastAsia="Arial" w:hAnsi="Arial"/>
          <w:sz w:val="16"/>
          <w:szCs w:val="16"/>
          <w:color w:val="auto"/>
        </w:rPr>
        <w:t>&gt;q\aZg`^</w:t>
      </w:r>
      <w:r>
        <w:rPr>
          <w:rFonts w:ascii="PMingLiU" w:cs="PMingLiU" w:eastAsia="PMingLiU" w:hAnsi="PMingLiU"/>
          <w:sz w:val="16"/>
          <w:szCs w:val="16"/>
          <w:color w:val="auto"/>
        </w:rPr>
        <w:t/>
      </w:r>
      <w:r>
        <w:rPr>
          <w:rFonts w:ascii="Arial" w:cs="Arial" w:eastAsia="Arial" w:hAnsi="Arial"/>
          <w:sz w:val="16"/>
          <w:szCs w:val="16"/>
          <w:color w:val="auto"/>
        </w:rPr>
        <w:t>&lt;hffbllbhg</w:t>
      </w:r>
      <w:r>
        <w:rPr>
          <w:rFonts w:ascii="PMingLiU" w:cs="PMingLiU" w:eastAsia="PMingLiU" w:hAnsi="PMingLiU"/>
          <w:sz w:val="16"/>
          <w:szCs w:val="16"/>
          <w:color w:val="auto"/>
        </w:rPr>
        <w:t/>
      </w:r>
      <w:r>
        <w:rPr>
          <w:rFonts w:ascii="Arial" w:cs="Arial" w:eastAsia="Arial" w:hAnsi="Arial"/>
          <w:sz w:val="16"/>
          <w:szCs w:val="16"/>
          <w:color w:val="auto"/>
        </w:rPr>
        <w:t>bl</w:t>
      </w:r>
      <w:r>
        <w:rPr>
          <w:rFonts w:ascii="PMingLiU" w:cs="PMingLiU" w:eastAsia="PMingLiU" w:hAnsi="PMingLiU"/>
          <w:sz w:val="16"/>
          <w:szCs w:val="16"/>
          <w:color w:val="auto"/>
        </w:rPr>
        <w:t/>
      </w:r>
      <w:r>
        <w:rPr>
          <w:rFonts w:ascii="Arial" w:cs="Arial" w:eastAsia="Arial" w:hAnsi="Arial"/>
          <w:sz w:val="16"/>
          <w:szCs w:val="16"/>
          <w:color w:val="auto"/>
        </w:rPr>
        <w:t>ZoZbeZ[e^</w:t>
      </w:r>
      <w:r>
        <w:rPr>
          <w:rFonts w:ascii="PMingLiU" w:cs="PMingLiU" w:eastAsia="PMingLiU" w:hAnsi="PMingLiU"/>
          <w:sz w:val="16"/>
          <w:szCs w:val="16"/>
          <w:color w:val="auto"/>
        </w:rPr>
        <w:t/>
      </w:r>
      <w:r>
        <w:rPr>
          <w:rFonts w:ascii="Arial" w:cs="Arial" w:eastAsia="Arial" w:hAnsi="Arial"/>
          <w:sz w:val="16"/>
          <w:szCs w:val="16"/>
          <w:color w:val="auto"/>
        </w:rPr>
        <w:t>_k^^</w:t>
      </w:r>
      <w:r>
        <w:rPr>
          <w:rFonts w:ascii="PMingLiU" w:cs="PMingLiU" w:eastAsia="PMingLiU" w:hAnsi="PMingLiU"/>
          <w:sz w:val="16"/>
          <w:szCs w:val="16"/>
          <w:color w:val="auto"/>
        </w:rPr>
        <w:t/>
      </w:r>
      <w:r>
        <w:rPr>
          <w:rFonts w:ascii="Arial" w:cs="Arial" w:eastAsia="Arial" w:hAnsi="Arial"/>
          <w:sz w:val="16"/>
          <w:szCs w:val="16"/>
          <w:color w:val="auto"/>
        </w:rPr>
        <w:t>h_</w:t>
      </w:r>
      <w:r>
        <w:rPr>
          <w:rFonts w:ascii="PMingLiU" w:cs="PMingLiU" w:eastAsia="PMingLiU" w:hAnsi="PMingLiU"/>
          <w:sz w:val="16"/>
          <w:szCs w:val="16"/>
          <w:color w:val="auto"/>
        </w:rPr>
        <w:t/>
      </w:r>
      <w:r>
        <w:rPr>
          <w:rFonts w:ascii="Arial" w:cs="Arial" w:eastAsia="Arial" w:hAnsi="Arial"/>
          <w:sz w:val="16"/>
          <w:szCs w:val="16"/>
          <w:color w:val="auto"/>
        </w:rPr>
        <w:t>\aZk`^</w:t>
      </w:r>
      <w:r>
        <w:rPr>
          <w:rFonts w:ascii="PMingLiU" w:cs="PMingLiU" w:eastAsia="PMingLiU" w:hAnsi="PMingLiU"/>
          <w:sz w:val="16"/>
          <w:szCs w:val="16"/>
          <w:color w:val="auto"/>
        </w:rPr>
        <w:t/>
      </w:r>
      <w:r>
        <w:rPr>
          <w:rFonts w:ascii="Arial" w:cs="Arial" w:eastAsia="Arial" w:hAnsi="Arial"/>
          <w:sz w:val="16"/>
          <w:szCs w:val="16"/>
          <w:color w:val="auto"/>
        </w:rPr>
        <w:t>_khf</w:t>
      </w:r>
      <w:r>
        <w:rPr>
          <w:rFonts w:ascii="PMingLiU" w:cs="PMingLiU" w:eastAsia="PMingLiU" w:hAnsi="PMingLiU"/>
          <w:sz w:val="16"/>
          <w:szCs w:val="16"/>
          <w:color w:val="auto"/>
        </w:rPr>
        <w:t/>
      </w:r>
      <w:r>
        <w:rPr>
          <w:rFonts w:ascii="Arial" w:cs="Arial" w:eastAsia="Arial" w:hAnsi="Arial"/>
          <w:sz w:val="16"/>
          <w:szCs w:val="16"/>
          <w:color w:val="auto"/>
        </w:rPr>
        <w:t>ma^ \hfiZgr</w:t>
      </w:r>
      <w:r>
        <w:rPr>
          <w:rFonts w:ascii="PMingLiU" w:cs="PMingLiU" w:eastAsia="PMingLiU" w:hAnsi="PMingLiU"/>
          <w:sz w:val="16"/>
          <w:szCs w:val="16"/>
          <w:color w:val="auto"/>
        </w:rPr>
        <w:t/>
      </w:r>
      <w:r>
        <w:rPr>
          <w:rFonts w:ascii="Arial" w:cs="Arial" w:eastAsia="Arial" w:hAnsi="Arial"/>
          <w:sz w:val="16"/>
          <w:szCs w:val="16"/>
          <w:color w:val="auto"/>
        </w:rPr>
        <w:t>l</w:t>
      </w:r>
      <w:r>
        <w:rPr>
          <w:rFonts w:ascii="PMingLiU" w:cs="PMingLiU" w:eastAsia="PMingLiU" w:hAnsi="PMingLiU"/>
          <w:sz w:val="16"/>
          <w:szCs w:val="16"/>
          <w:color w:val="auto"/>
        </w:rPr>
        <w:t/>
      </w:r>
      <w:r>
        <w:rPr>
          <w:rFonts w:ascii="Arial" w:cs="Arial" w:eastAsia="Arial" w:hAnsi="Arial"/>
          <w:sz w:val="16"/>
          <w:szCs w:val="16"/>
          <w:color w:val="auto"/>
        </w:rPr>
        <w:t>bgo^lmhk</w:t>
      </w:r>
      <w:r>
        <w:rPr>
          <w:rFonts w:ascii="PMingLiU" w:cs="PMingLiU" w:eastAsia="PMingLiU" w:hAnsi="PMingLiU"/>
          <w:sz w:val="16"/>
          <w:szCs w:val="16"/>
          <w:color w:val="auto"/>
        </w:rPr>
        <w:t/>
      </w:r>
      <w:r>
        <w:rPr>
          <w:rFonts w:ascii="Arial" w:cs="Arial" w:eastAsia="Arial" w:hAnsi="Arial"/>
          <w:sz w:val="16"/>
          <w:szCs w:val="16"/>
          <w:color w:val="auto"/>
        </w:rPr>
        <w:t>k^eZmbhgl</w:t>
      </w:r>
      <w:r>
        <w:rPr>
          <w:rFonts w:ascii="PMingLiU" w:cs="PMingLiU" w:eastAsia="PMingLiU" w:hAnsi="PMingLiU"/>
          <w:sz w:val="16"/>
          <w:szCs w:val="16"/>
          <w:color w:val="auto"/>
        </w:rPr>
        <w:t/>
      </w:r>
      <w:r>
        <w:rPr>
          <w:rFonts w:ascii="Arial" w:cs="Arial" w:eastAsia="Arial" w:hAnsi="Arial"/>
          <w:sz w:val="16"/>
          <w:szCs w:val="16"/>
          <w:color w:val="auto"/>
        </w:rPr>
        <w:t>]^iZkmf^gm</w:t>
      </w:r>
      <w:r>
        <w:rPr>
          <w:rFonts w:ascii="PMingLiU" w:cs="PMingLiU" w:eastAsia="PMingLiU" w:hAnsi="PMingLiU"/>
          <w:sz w:val="16"/>
          <w:szCs w:val="16"/>
          <w:color w:val="auto"/>
        </w:rPr>
        <w:t/>
      </w:r>
      <w:r>
        <w:rPr>
          <w:rFonts w:ascii="Arial" w:cs="Arial" w:eastAsia="Arial" w:hAnsi="Arial"/>
          <w:sz w:val="16"/>
          <w:szCs w:val="16"/>
          <w:color w:val="auto"/>
        </w:rPr>
        <w:t>[r</w:t>
      </w:r>
      <w:r>
        <w:rPr>
          <w:rFonts w:ascii="PMingLiU" w:cs="PMingLiU" w:eastAsia="PMingLiU" w:hAnsi="PMingLiU"/>
          <w:sz w:val="16"/>
          <w:szCs w:val="16"/>
          <w:color w:val="auto"/>
        </w:rPr>
        <w:t/>
      </w:r>
      <w:r>
        <w:rPr>
          <w:rFonts w:ascii="Arial" w:cs="Arial" w:eastAsia="Arial" w:hAnsi="Arial"/>
          <w:sz w:val="16"/>
          <w:szCs w:val="16"/>
          <w:color w:val="auto"/>
        </w:rPr>
        <w:t>^fZbebg`</w:t>
      </w:r>
      <w:r>
        <w:rPr>
          <w:rFonts w:ascii="PMingLiU" w:cs="PMingLiU" w:eastAsia="PMingLiU" w:hAnsi="PMingLiU"/>
          <w:sz w:val="16"/>
          <w:szCs w:val="16"/>
          <w:color w:val="auto"/>
        </w:rPr>
        <w:t/>
      </w:r>
      <w:r>
        <w:rPr>
          <w:rFonts w:ascii="Arial" w:cs="Arial" w:eastAsia="Arial" w:hAnsi="Arial"/>
          <w:sz w:val="16"/>
          <w:szCs w:val="16"/>
          <w:color w:val="auto"/>
        </w:rPr>
        <w:t>bgo^lmhkl9qbebhmq'\hf</w:t>
      </w:r>
      <w:r>
        <w:rPr>
          <w:rFonts w:ascii="PMingLiU" w:cs="PMingLiU" w:eastAsia="PMingLiU" w:hAnsi="PMingLiU"/>
          <w:sz w:val="16"/>
          <w:szCs w:val="16"/>
          <w:color w:val="auto"/>
        </w:rPr>
        <w:t/>
      </w:r>
      <w:r>
        <w:rPr>
          <w:rFonts w:ascii="Arial" w:cs="Arial" w:eastAsia="Arial" w:hAnsi="Arial"/>
          <w:sz w:val="16"/>
          <w:szCs w:val="16"/>
          <w:color w:val="auto"/>
        </w:rPr>
        <w:t>hk</w:t>
      </w:r>
      <w:r>
        <w:rPr>
          <w:rFonts w:ascii="PMingLiU" w:cs="PMingLiU" w:eastAsia="PMingLiU" w:hAnsi="PMingLiU"/>
          <w:sz w:val="16"/>
          <w:szCs w:val="16"/>
          <w:color w:val="auto"/>
        </w:rPr>
        <w:t/>
      </w:r>
      <w:r>
        <w:rPr>
          <w:rFonts w:ascii="Arial" w:cs="Arial" w:eastAsia="Arial" w:hAnsi="Arial"/>
          <w:sz w:val="16"/>
          <w:szCs w:val="16"/>
          <w:color w:val="auto"/>
        </w:rPr>
        <w:t>l^g]bg`</w:t>
      </w:r>
      <w:r>
        <w:rPr>
          <w:rFonts w:ascii="PMingLiU" w:cs="PMingLiU" w:eastAsia="PMingLiU" w:hAnsi="PMingLiU"/>
          <w:sz w:val="16"/>
          <w:szCs w:val="16"/>
          <w:color w:val="auto"/>
        </w:rPr>
        <w:t/>
      </w:r>
      <w:r>
        <w:rPr>
          <w:rFonts w:ascii="Arial" w:cs="Arial" w:eastAsia="Arial" w:hAnsi="Arial"/>
          <w:sz w:val="16"/>
          <w:szCs w:val="16"/>
          <w:color w:val="auto"/>
        </w:rPr>
        <w:t>Z</w:t>
      </w:r>
      <w:r>
        <w:rPr>
          <w:rFonts w:ascii="PMingLiU" w:cs="PMingLiU" w:eastAsia="PMingLiU" w:hAnsi="PMingLiU"/>
          <w:sz w:val="16"/>
          <w:szCs w:val="16"/>
          <w:color w:val="auto"/>
        </w:rPr>
        <w:t/>
      </w:r>
      <w:r>
        <w:rPr>
          <w:rFonts w:ascii="Arial" w:cs="Arial" w:eastAsia="Arial" w:hAnsi="Arial"/>
          <w:sz w:val="16"/>
          <w:szCs w:val="16"/>
          <w:color w:val="auto"/>
        </w:rPr>
        <w:t>pkbmm^g</w:t>
      </w:r>
      <w:r>
        <w:rPr>
          <w:rFonts w:ascii="PMingLiU" w:cs="PMingLiU" w:eastAsia="PMingLiU" w:hAnsi="PMingLiU"/>
          <w:sz w:val="16"/>
          <w:szCs w:val="16"/>
          <w:color w:val="auto"/>
        </w:rPr>
        <w:t/>
      </w:r>
      <w:r>
        <w:rPr>
          <w:rFonts w:ascii="Arial" w:cs="Arial" w:eastAsia="Arial" w:hAnsi="Arial"/>
          <w:sz w:val="16"/>
          <w:szCs w:val="16"/>
          <w:color w:val="auto"/>
        </w:rPr>
        <w:t>k^jn^lm</w:t>
      </w:r>
      <w:r>
        <w:rPr>
          <w:rFonts w:ascii="PMingLiU" w:cs="PMingLiU" w:eastAsia="PMingLiU" w:hAnsi="PMingLiU"/>
          <w:sz w:val="16"/>
          <w:szCs w:val="16"/>
          <w:color w:val="auto"/>
        </w:rPr>
        <w:t/>
      </w:r>
      <w:r>
        <w:rPr>
          <w:rFonts w:ascii="Arial" w:cs="Arial" w:eastAsia="Arial" w:hAnsi="Arial"/>
          <w:sz w:val="16"/>
          <w:szCs w:val="16"/>
          <w:color w:val="auto"/>
        </w:rPr>
        <w:t>mh3</w:t>
      </w:r>
      <w:r>
        <w:rPr>
          <w:rFonts w:ascii="PMingLiU" w:cs="PMingLiU" w:eastAsia="PMingLiU" w:hAnsi="PMingLiU"/>
          <w:sz w:val="16"/>
          <w:szCs w:val="16"/>
          <w:color w:val="auto"/>
        </w:rPr>
        <w:t/>
      </w:r>
      <w:r>
        <w:rPr>
          <w:rFonts w:ascii="Arial" w:cs="Arial" w:eastAsia="Arial" w:hAnsi="Arial"/>
          <w:sz w:val="16"/>
          <w:szCs w:val="16"/>
          <w:color w:val="auto"/>
        </w:rPr>
        <w:t>Bgo^lmhk</w:t>
      </w:r>
      <w:r>
        <w:rPr>
          <w:rFonts w:ascii="PMingLiU" w:cs="PMingLiU" w:eastAsia="PMingLiU" w:hAnsi="PMingLiU"/>
          <w:sz w:val="16"/>
          <w:szCs w:val="16"/>
          <w:color w:val="auto"/>
        </w:rPr>
        <w:t/>
      </w:r>
      <w:r>
        <w:rPr>
          <w:rFonts w:ascii="Arial" w:cs="Arial" w:eastAsia="Arial" w:hAnsi="Arial"/>
          <w:sz w:val="16"/>
          <w:szCs w:val="16"/>
          <w:color w:val="auto"/>
        </w:rPr>
        <w:t>K^eZmbhgl% Xilio Therapeutics Inc., 828 Winter Street, Suite 300, Waltham, MA 02451.</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THE TRANSFER AGENT</w:t>
      </w:r>
    </w:p>
    <w:p>
      <w:pPr>
        <w:spacing w:after="0" w:line="40" w:lineRule="exact"/>
        <w:rPr>
          <w:sz w:val="20"/>
          <w:szCs w:val="20"/>
          <w:color w:val="auto"/>
        </w:rPr>
      </w:pPr>
    </w:p>
    <w:p>
      <w:pPr>
        <w:spacing w:after="0" w:line="194" w:lineRule="exact"/>
        <w:rPr>
          <w:sz w:val="20"/>
          <w:szCs w:val="20"/>
          <w:color w:val="auto"/>
        </w:rPr>
      </w:pPr>
      <w:r>
        <w:rPr>
          <w:rFonts w:ascii="Arial" w:cs="Arial" w:eastAsia="Arial" w:hAnsi="Arial"/>
          <w:sz w:val="16"/>
          <w:szCs w:val="16"/>
          <w:color w:val="auto"/>
        </w:rPr>
        <w:t>Ma^</w:t>
      </w:r>
      <w:r>
        <w:rPr>
          <w:rFonts w:ascii="PMingLiU" w:cs="PMingLiU" w:eastAsia="PMingLiU" w:hAnsi="PMingLiU"/>
          <w:sz w:val="16"/>
          <w:szCs w:val="16"/>
          <w:color w:val="auto"/>
        </w:rPr>
        <w:t/>
      </w:r>
      <w:r>
        <w:rPr>
          <w:rFonts w:ascii="Arial" w:cs="Arial" w:eastAsia="Arial" w:hAnsi="Arial"/>
          <w:sz w:val="16"/>
          <w:szCs w:val="16"/>
          <w:color w:val="auto"/>
        </w:rPr>
        <w:t>mkZgl_^k</w:t>
      </w:r>
      <w:r>
        <w:rPr>
          <w:rFonts w:ascii="PMingLiU" w:cs="PMingLiU" w:eastAsia="PMingLiU" w:hAnsi="PMingLiU"/>
          <w:sz w:val="16"/>
          <w:szCs w:val="16"/>
          <w:color w:val="auto"/>
        </w:rPr>
        <w:t/>
      </w:r>
      <w:r>
        <w:rPr>
          <w:rFonts w:ascii="Arial" w:cs="Arial" w:eastAsia="Arial" w:hAnsi="Arial"/>
          <w:sz w:val="16"/>
          <w:szCs w:val="16"/>
          <w:color w:val="auto"/>
        </w:rPr>
        <w:t>Z`^gm</w:t>
      </w:r>
      <w:r>
        <w:rPr>
          <w:rFonts w:ascii="PMingLiU" w:cs="PMingLiU" w:eastAsia="PMingLiU" w:hAnsi="PMingLiU"/>
          <w:sz w:val="16"/>
          <w:szCs w:val="16"/>
          <w:color w:val="auto"/>
        </w:rPr>
        <w:t/>
      </w:r>
      <w:r>
        <w:rPr>
          <w:rFonts w:ascii="Arial" w:cs="Arial" w:eastAsia="Arial" w:hAnsi="Arial"/>
          <w:sz w:val="16"/>
          <w:szCs w:val="16"/>
          <w:color w:val="auto"/>
        </w:rPr>
        <w:t>bl</w:t>
      </w:r>
      <w:r>
        <w:rPr>
          <w:rFonts w:ascii="PMingLiU" w:cs="PMingLiU" w:eastAsia="PMingLiU" w:hAnsi="PMingLiU"/>
          <w:sz w:val="16"/>
          <w:szCs w:val="16"/>
          <w:color w:val="auto"/>
        </w:rPr>
        <w:t/>
      </w:r>
      <w:r>
        <w:rPr>
          <w:rFonts w:ascii="Arial" w:cs="Arial" w:eastAsia="Arial" w:hAnsi="Arial"/>
          <w:sz w:val="16"/>
          <w:szCs w:val="16"/>
          <w:color w:val="auto"/>
        </w:rPr>
        <w:t>k^lihglb[e^%</w:t>
      </w:r>
      <w:r>
        <w:rPr>
          <w:rFonts w:ascii="PMingLiU" w:cs="PMingLiU" w:eastAsia="PMingLiU" w:hAnsi="PMingLiU"/>
          <w:sz w:val="16"/>
          <w:szCs w:val="16"/>
          <w:color w:val="auto"/>
        </w:rPr>
        <w:t/>
      </w:r>
      <w:r>
        <w:rPr>
          <w:rFonts w:ascii="Arial" w:cs="Arial" w:eastAsia="Arial" w:hAnsi="Arial"/>
          <w:sz w:val="16"/>
          <w:szCs w:val="16"/>
          <w:color w:val="auto"/>
        </w:rPr>
        <w:t>Zfhg`</w:t>
      </w:r>
      <w:r>
        <w:rPr>
          <w:rFonts w:ascii="PMingLiU" w:cs="PMingLiU" w:eastAsia="PMingLiU" w:hAnsi="PMingLiU"/>
          <w:sz w:val="16"/>
          <w:szCs w:val="16"/>
          <w:color w:val="auto"/>
        </w:rPr>
        <w:t/>
      </w:r>
      <w:r>
        <w:rPr>
          <w:rFonts w:ascii="Arial" w:cs="Arial" w:eastAsia="Arial" w:hAnsi="Arial"/>
          <w:sz w:val="16"/>
          <w:szCs w:val="16"/>
          <w:color w:val="auto"/>
        </w:rPr>
        <w:t>hma^k</w:t>
      </w:r>
      <w:r>
        <w:rPr>
          <w:rFonts w:ascii="PMingLiU" w:cs="PMingLiU" w:eastAsia="PMingLiU" w:hAnsi="PMingLiU"/>
          <w:sz w:val="16"/>
          <w:szCs w:val="16"/>
          <w:color w:val="auto"/>
        </w:rPr>
        <w:t/>
      </w:r>
      <w:r>
        <w:rPr>
          <w:rFonts w:ascii="Arial" w:cs="Arial" w:eastAsia="Arial" w:hAnsi="Arial"/>
          <w:sz w:val="16"/>
          <w:szCs w:val="16"/>
          <w:color w:val="auto"/>
        </w:rPr>
        <w:t>mabg`l%</w:t>
      </w:r>
      <w:r>
        <w:rPr>
          <w:rFonts w:ascii="PMingLiU" w:cs="PMingLiU" w:eastAsia="PMingLiU" w:hAnsi="PMingLiU"/>
          <w:sz w:val="16"/>
          <w:szCs w:val="16"/>
          <w:color w:val="auto"/>
        </w:rPr>
        <w:t/>
      </w:r>
      <w:r>
        <w:rPr>
          <w:rFonts w:ascii="Arial" w:cs="Arial" w:eastAsia="Arial" w:hAnsi="Arial"/>
          <w:sz w:val="16"/>
          <w:szCs w:val="16"/>
          <w:color w:val="auto"/>
        </w:rPr>
        <w:t>_hk</w:t>
      </w:r>
      <w:r>
        <w:rPr>
          <w:rFonts w:ascii="PMingLiU" w:cs="PMingLiU" w:eastAsia="PMingLiU" w:hAnsi="PMingLiU"/>
          <w:sz w:val="16"/>
          <w:szCs w:val="16"/>
          <w:color w:val="auto"/>
        </w:rPr>
        <w:t/>
      </w:r>
      <w:r>
        <w:rPr>
          <w:rFonts w:ascii="Arial" w:cs="Arial" w:eastAsia="Arial" w:hAnsi="Arial"/>
          <w:sz w:val="16"/>
          <w:szCs w:val="16"/>
          <w:color w:val="auto"/>
        </w:rPr>
        <w:t>aZg]ebg`</w:t>
      </w:r>
      <w:r>
        <w:rPr>
          <w:rFonts w:ascii="PMingLiU" w:cs="PMingLiU" w:eastAsia="PMingLiU" w:hAnsi="PMingLiU"/>
          <w:sz w:val="16"/>
          <w:szCs w:val="16"/>
          <w:color w:val="auto"/>
        </w:rPr>
        <w:t/>
      </w:r>
      <w:r>
        <w:rPr>
          <w:rFonts w:ascii="Arial" w:cs="Arial" w:eastAsia="Arial" w:hAnsi="Arial"/>
          <w:sz w:val="16"/>
          <w:szCs w:val="16"/>
          <w:color w:val="auto"/>
        </w:rPr>
        <w:t>lmh\dahe]^k</w:t>
      </w:r>
      <w:r>
        <w:rPr>
          <w:rFonts w:ascii="PMingLiU" w:cs="PMingLiU" w:eastAsia="PMingLiU" w:hAnsi="PMingLiU"/>
          <w:sz w:val="16"/>
          <w:szCs w:val="16"/>
          <w:color w:val="auto"/>
        </w:rPr>
        <w:t/>
      </w:r>
      <w:r>
        <w:rPr>
          <w:rFonts w:ascii="Arial" w:cs="Arial" w:eastAsia="Arial" w:hAnsi="Arial"/>
          <w:sz w:val="16"/>
          <w:szCs w:val="16"/>
          <w:color w:val="auto"/>
        </w:rPr>
        <w:t>jn^lmbhgl</w:t>
      </w:r>
      <w:r>
        <w:rPr>
          <w:rFonts w:ascii="PMingLiU" w:cs="PMingLiU" w:eastAsia="PMingLiU" w:hAnsi="PMingLiU"/>
          <w:sz w:val="16"/>
          <w:szCs w:val="16"/>
          <w:color w:val="auto"/>
        </w:rPr>
        <w:t/>
      </w:r>
      <w:r>
        <w:rPr>
          <w:rFonts w:ascii="Arial" w:cs="Arial" w:eastAsia="Arial" w:hAnsi="Arial"/>
          <w:sz w:val="16"/>
          <w:szCs w:val="16"/>
          <w:color w:val="auto"/>
        </w:rPr>
        <w:t>k^`Zk]bg`</w:t>
      </w:r>
      <w:r>
        <w:rPr>
          <w:rFonts w:ascii="PMingLiU" w:cs="PMingLiU" w:eastAsia="PMingLiU" w:hAnsi="PMingLiU"/>
          <w:sz w:val="16"/>
          <w:szCs w:val="16"/>
          <w:color w:val="auto"/>
        </w:rPr>
        <w:t/>
      </w:r>
      <w:r>
        <w:rPr>
          <w:rFonts w:ascii="Arial" w:cs="Arial" w:eastAsia="Arial" w:hAnsi="Arial"/>
          <w:sz w:val="16"/>
          <w:szCs w:val="16"/>
          <w:color w:val="auto"/>
        </w:rPr>
        <w:t>Z]]k^ll</w:t>
      </w:r>
      <w:r>
        <w:rPr>
          <w:rFonts w:ascii="PMingLiU" w:cs="PMingLiU" w:eastAsia="PMingLiU" w:hAnsi="PMingLiU"/>
          <w:sz w:val="16"/>
          <w:szCs w:val="16"/>
          <w:color w:val="auto"/>
        </w:rPr>
        <w:t/>
      </w:r>
      <w:r>
        <w:rPr>
          <w:rFonts w:ascii="Arial" w:cs="Arial" w:eastAsia="Arial" w:hAnsi="Arial"/>
          <w:sz w:val="16"/>
          <w:szCs w:val="16"/>
          <w:color w:val="auto"/>
        </w:rPr>
        <w:t>\aZg`^l%</w:t>
      </w:r>
      <w:r>
        <w:rPr>
          <w:rFonts w:ascii="PMingLiU" w:cs="PMingLiU" w:eastAsia="PMingLiU" w:hAnsi="PMingLiU"/>
          <w:sz w:val="16"/>
          <w:szCs w:val="16"/>
          <w:color w:val="auto"/>
        </w:rPr>
        <w:t/>
      </w:r>
      <w:r>
        <w:rPr>
          <w:rFonts w:ascii="Arial" w:cs="Arial" w:eastAsia="Arial" w:hAnsi="Arial"/>
          <w:sz w:val="16"/>
          <w:szCs w:val="16"/>
          <w:color w:val="auto"/>
        </w:rPr>
        <w:t>]nieb\Zm^</w:t>
      </w:r>
    </w:p>
    <w:p>
      <w:pPr>
        <w:spacing w:after="0" w:line="26" w:lineRule="exact"/>
        <w:rPr>
          <w:sz w:val="20"/>
          <w:szCs w:val="20"/>
          <w:color w:val="auto"/>
        </w:rPr>
      </w:pPr>
    </w:p>
    <w:p>
      <w:pPr>
        <w:spacing w:after="0" w:line="194" w:lineRule="exact"/>
        <w:rPr>
          <w:sz w:val="20"/>
          <w:szCs w:val="20"/>
          <w:color w:val="auto"/>
        </w:rPr>
      </w:pPr>
      <w:r>
        <w:rPr>
          <w:rFonts w:ascii="Arial" w:cs="Arial" w:eastAsia="Arial" w:hAnsi="Arial"/>
          <w:sz w:val="16"/>
          <w:szCs w:val="16"/>
          <w:color w:val="auto"/>
        </w:rPr>
        <w:t>fZbebg`l</w:t>
      </w:r>
      <w:r>
        <w:rPr>
          <w:rFonts w:ascii="PMingLiU" w:cs="PMingLiU" w:eastAsia="PMingLiU" w:hAnsi="PMingLiU"/>
          <w:sz w:val="16"/>
          <w:szCs w:val="16"/>
          <w:color w:val="auto"/>
        </w:rPr>
        <w:t/>
      </w:r>
      <w:r>
        <w:rPr>
          <w:rFonts w:ascii="Arial" w:cs="Arial" w:eastAsia="Arial" w:hAnsi="Arial"/>
          <w:sz w:val="16"/>
          <w:szCs w:val="16"/>
          <w:color w:val="auto"/>
        </w:rPr>
        <w:t>Zg]</w:t>
      </w:r>
      <w:r>
        <w:rPr>
          <w:rFonts w:ascii="PMingLiU" w:cs="PMingLiU" w:eastAsia="PMingLiU" w:hAnsi="PMingLiU"/>
          <w:sz w:val="16"/>
          <w:szCs w:val="16"/>
          <w:color w:val="auto"/>
        </w:rPr>
        <w:t/>
      </w:r>
      <w:r>
        <w:rPr>
          <w:rFonts w:ascii="Arial" w:cs="Arial" w:eastAsia="Arial" w:hAnsi="Arial"/>
          <w:sz w:val="16"/>
          <w:szCs w:val="16"/>
          <w:color w:val="auto"/>
        </w:rPr>
        <w:t>\aZg`^l</w:t>
      </w:r>
      <w:r>
        <w:rPr>
          <w:rFonts w:ascii="PMingLiU" w:cs="PMingLiU" w:eastAsia="PMingLiU" w:hAnsi="PMingLiU"/>
          <w:sz w:val="16"/>
          <w:szCs w:val="16"/>
          <w:color w:val="auto"/>
        </w:rPr>
        <w:t/>
      </w:r>
      <w:r>
        <w:rPr>
          <w:rFonts w:ascii="Arial" w:cs="Arial" w:eastAsia="Arial" w:hAnsi="Arial"/>
          <w:sz w:val="16"/>
          <w:szCs w:val="16"/>
          <w:color w:val="auto"/>
        </w:rPr>
        <w:t>bg</w:t>
      </w:r>
      <w:r>
        <w:rPr>
          <w:rFonts w:ascii="PMingLiU" w:cs="PMingLiU" w:eastAsia="PMingLiU" w:hAnsi="PMingLiU"/>
          <w:sz w:val="16"/>
          <w:szCs w:val="16"/>
          <w:color w:val="auto"/>
        </w:rPr>
        <w:t/>
      </w:r>
      <w:r>
        <w:rPr>
          <w:rFonts w:ascii="Arial" w:cs="Arial" w:eastAsia="Arial" w:hAnsi="Arial"/>
          <w:sz w:val="16"/>
          <w:szCs w:val="16"/>
          <w:color w:val="auto"/>
        </w:rPr>
        <w:t>hpg^klabi</w:t>
      </w:r>
      <w:r>
        <w:rPr>
          <w:rFonts w:ascii="PMingLiU" w:cs="PMingLiU" w:eastAsia="PMingLiU" w:hAnsi="PMingLiU"/>
          <w:sz w:val="16"/>
          <w:szCs w:val="16"/>
          <w:color w:val="auto"/>
        </w:rPr>
        <w:t/>
      </w:r>
      <w:r>
        <w:rPr>
          <w:rFonts w:ascii="Arial" w:cs="Arial" w:eastAsia="Arial" w:hAnsi="Arial"/>
          <w:sz w:val="16"/>
          <w:szCs w:val="16"/>
          <w:color w:val="auto"/>
        </w:rPr>
        <w:t>hk</w:t>
      </w:r>
      <w:r>
        <w:rPr>
          <w:rFonts w:ascii="PMingLiU" w:cs="PMingLiU" w:eastAsia="PMingLiU" w:hAnsi="PMingLiU"/>
          <w:sz w:val="16"/>
          <w:szCs w:val="16"/>
          <w:color w:val="auto"/>
        </w:rPr>
        <w:t/>
      </w:r>
      <w:r>
        <w:rPr>
          <w:rFonts w:ascii="Arial" w:cs="Arial" w:eastAsia="Arial" w:hAnsi="Arial"/>
          <w:sz w:val="16"/>
          <w:szCs w:val="16"/>
          <w:color w:val="auto"/>
        </w:rPr>
        <w:t>gZf^</w:t>
      </w:r>
      <w:r>
        <w:rPr>
          <w:rFonts w:ascii="PMingLiU" w:cs="PMingLiU" w:eastAsia="PMingLiU" w:hAnsi="PMingLiU"/>
          <w:sz w:val="16"/>
          <w:szCs w:val="16"/>
          <w:color w:val="auto"/>
        </w:rPr>
        <w:t/>
      </w:r>
      <w:r>
        <w:rPr>
          <w:rFonts w:ascii="Arial" w:cs="Arial" w:eastAsia="Arial" w:hAnsi="Arial"/>
          <w:sz w:val="16"/>
          <w:szCs w:val="16"/>
          <w:color w:val="auto"/>
        </w:rPr>
        <w:t>bg</w:t>
      </w:r>
      <w:r>
        <w:rPr>
          <w:rFonts w:ascii="PMingLiU" w:cs="PMingLiU" w:eastAsia="PMingLiU" w:hAnsi="PMingLiU"/>
          <w:sz w:val="16"/>
          <w:szCs w:val="16"/>
          <w:color w:val="auto"/>
        </w:rPr>
        <w:t/>
      </w:r>
      <w:r>
        <w:rPr>
          <w:rFonts w:ascii="Arial" w:cs="Arial" w:eastAsia="Arial" w:hAnsi="Arial"/>
          <w:sz w:val="16"/>
          <w:szCs w:val="16"/>
          <w:color w:val="auto"/>
        </w:rPr>
        <w:t>pab\a</w:t>
      </w:r>
      <w:r>
        <w:rPr>
          <w:rFonts w:ascii="PMingLiU" w:cs="PMingLiU" w:eastAsia="PMingLiU" w:hAnsi="PMingLiU"/>
          <w:sz w:val="16"/>
          <w:szCs w:val="16"/>
          <w:color w:val="auto"/>
        </w:rPr>
        <w:t/>
      </w:r>
      <w:r>
        <w:rPr>
          <w:rFonts w:ascii="Arial" w:cs="Arial" w:eastAsia="Arial" w:hAnsi="Arial"/>
          <w:sz w:val="16"/>
          <w:szCs w:val="16"/>
          <w:color w:val="auto"/>
        </w:rPr>
        <w:t>laZk^l</w:t>
      </w:r>
      <w:r>
        <w:rPr>
          <w:rFonts w:ascii="PMingLiU" w:cs="PMingLiU" w:eastAsia="PMingLiU" w:hAnsi="PMingLiU"/>
          <w:sz w:val="16"/>
          <w:szCs w:val="16"/>
          <w:color w:val="auto"/>
        </w:rPr>
        <w:t/>
      </w:r>
      <w:r>
        <w:rPr>
          <w:rFonts w:ascii="Arial" w:cs="Arial" w:eastAsia="Arial" w:hAnsi="Arial"/>
          <w:sz w:val="16"/>
          <w:szCs w:val="16"/>
          <w:color w:val="auto"/>
        </w:rPr>
        <w:t>Zk^</w:t>
      </w:r>
      <w:r>
        <w:rPr>
          <w:rFonts w:ascii="PMingLiU" w:cs="PMingLiU" w:eastAsia="PMingLiU" w:hAnsi="PMingLiU"/>
          <w:sz w:val="16"/>
          <w:szCs w:val="16"/>
          <w:color w:val="auto"/>
        </w:rPr>
        <w:t/>
      </w:r>
      <w:r>
        <w:rPr>
          <w:rFonts w:ascii="Arial" w:cs="Arial" w:eastAsia="Arial" w:hAnsi="Arial"/>
          <w:sz w:val="16"/>
          <w:szCs w:val="16"/>
          <w:color w:val="auto"/>
        </w:rPr>
        <w:t>a^e]'</w:t>
      </w:r>
      <w:r>
        <w:rPr>
          <w:rFonts w:ascii="PMingLiU" w:cs="PMingLiU" w:eastAsia="PMingLiU" w:hAnsi="PMingLiU"/>
          <w:sz w:val="16"/>
          <w:szCs w:val="16"/>
          <w:color w:val="auto"/>
        </w:rPr>
        <w:t/>
      </w:r>
      <w:r>
        <w:rPr>
          <w:rFonts w:ascii="Arial" w:cs="Arial" w:eastAsia="Arial" w:hAnsi="Arial"/>
          <w:sz w:val="16"/>
          <w:szCs w:val="16"/>
          <w:color w:val="auto"/>
        </w:rPr>
        <w:t>Ma^l^</w:t>
      </w:r>
      <w:r>
        <w:rPr>
          <w:rFonts w:ascii="PMingLiU" w:cs="PMingLiU" w:eastAsia="PMingLiU" w:hAnsi="PMingLiU"/>
          <w:sz w:val="16"/>
          <w:szCs w:val="16"/>
          <w:color w:val="auto"/>
        </w:rPr>
        <w:t/>
      </w:r>
      <w:r>
        <w:rPr>
          <w:rFonts w:ascii="Arial" w:cs="Arial" w:eastAsia="Arial" w:hAnsi="Arial"/>
          <w:sz w:val="16"/>
          <w:szCs w:val="16"/>
          <w:color w:val="auto"/>
        </w:rPr>
        <w:t>k^jn^lml</w:t>
      </w:r>
      <w:r>
        <w:rPr>
          <w:rFonts w:ascii="PMingLiU" w:cs="PMingLiU" w:eastAsia="PMingLiU" w:hAnsi="PMingLiU"/>
          <w:sz w:val="16"/>
          <w:szCs w:val="16"/>
          <w:color w:val="auto"/>
        </w:rPr>
        <w:t/>
      </w:r>
      <w:r>
        <w:rPr>
          <w:rFonts w:ascii="Arial" w:cs="Arial" w:eastAsia="Arial" w:hAnsi="Arial"/>
          <w:sz w:val="16"/>
          <w:szCs w:val="16"/>
          <w:color w:val="auto"/>
        </w:rPr>
        <w:t>fZr</w:t>
      </w:r>
      <w:r>
        <w:rPr>
          <w:rFonts w:ascii="PMingLiU" w:cs="PMingLiU" w:eastAsia="PMingLiU" w:hAnsi="PMingLiU"/>
          <w:sz w:val="16"/>
          <w:szCs w:val="16"/>
          <w:color w:val="auto"/>
        </w:rPr>
        <w:t/>
      </w:r>
      <w:r>
        <w:rPr>
          <w:rFonts w:ascii="Arial" w:cs="Arial" w:eastAsia="Arial" w:hAnsi="Arial"/>
          <w:sz w:val="16"/>
          <w:szCs w:val="16"/>
          <w:color w:val="auto"/>
        </w:rPr>
        <w:t>[^</w:t>
      </w:r>
      <w:r>
        <w:rPr>
          <w:rFonts w:ascii="PMingLiU" w:cs="PMingLiU" w:eastAsia="PMingLiU" w:hAnsi="PMingLiU"/>
          <w:sz w:val="16"/>
          <w:szCs w:val="16"/>
          <w:color w:val="auto"/>
        </w:rPr>
        <w:t/>
      </w:r>
      <w:r>
        <w:rPr>
          <w:rFonts w:ascii="Arial" w:cs="Arial" w:eastAsia="Arial" w:hAnsi="Arial"/>
          <w:sz w:val="16"/>
          <w:szCs w:val="16"/>
          <w:color w:val="auto"/>
        </w:rPr>
        <w:t>]bk^\m^]</w:t>
      </w:r>
      <w:r>
        <w:rPr>
          <w:rFonts w:ascii="PMingLiU" w:cs="PMingLiU" w:eastAsia="PMingLiU" w:hAnsi="PMingLiU"/>
          <w:sz w:val="16"/>
          <w:szCs w:val="16"/>
          <w:color w:val="auto"/>
        </w:rPr>
        <w:t/>
      </w:r>
      <w:r>
        <w:rPr>
          <w:rFonts w:ascii="Arial" w:cs="Arial" w:eastAsia="Arial" w:hAnsi="Arial"/>
          <w:sz w:val="16"/>
          <w:szCs w:val="16"/>
          <w:color w:val="auto"/>
        </w:rPr>
        <w:t>mh</w:t>
      </w:r>
      <w:r>
        <w:rPr>
          <w:rFonts w:ascii="PMingLiU" w:cs="PMingLiU" w:eastAsia="PMingLiU" w:hAnsi="PMingLiU"/>
          <w:sz w:val="16"/>
          <w:szCs w:val="16"/>
          <w:color w:val="auto"/>
        </w:rPr>
        <w:t/>
      </w:r>
      <w:r>
        <w:rPr>
          <w:rFonts w:ascii="Arial" w:cs="Arial" w:eastAsia="Arial" w:hAnsi="Arial"/>
          <w:sz w:val="16"/>
          <w:szCs w:val="16"/>
          <w:color w:val="auto"/>
        </w:rPr>
        <w:t>ma^</w:t>
      </w:r>
      <w:r>
        <w:rPr>
          <w:rFonts w:ascii="PMingLiU" w:cs="PMingLiU" w:eastAsia="PMingLiU" w:hAnsi="PMingLiU"/>
          <w:sz w:val="16"/>
          <w:szCs w:val="16"/>
          <w:color w:val="auto"/>
        </w:rPr>
        <w:t/>
      </w:r>
      <w:r>
        <w:rPr>
          <w:rFonts w:ascii="Arial" w:cs="Arial" w:eastAsia="Arial" w:hAnsi="Arial"/>
          <w:sz w:val="16"/>
          <w:szCs w:val="16"/>
          <w:color w:val="auto"/>
        </w:rPr>
        <w:t>mkZgl_^k</w:t>
      </w:r>
      <w:r>
        <w:rPr>
          <w:rFonts w:ascii="PMingLiU" w:cs="PMingLiU" w:eastAsia="PMingLiU" w:hAnsi="PMingLiU"/>
          <w:sz w:val="16"/>
          <w:szCs w:val="16"/>
          <w:color w:val="auto"/>
        </w:rPr>
        <w:t/>
      </w:r>
      <w:r>
        <w:rPr>
          <w:rFonts w:ascii="Arial" w:cs="Arial" w:eastAsia="Arial" w:hAnsi="Arial"/>
          <w:sz w:val="16"/>
          <w:szCs w:val="16"/>
          <w:color w:val="auto"/>
        </w:rPr>
        <w:t>Z`^gm</w:t>
      </w:r>
      <w:r>
        <w:rPr>
          <w:rFonts w:ascii="PMingLiU" w:cs="PMingLiU" w:eastAsia="PMingLiU" w:hAnsi="PMingLiU"/>
          <w:sz w:val="16"/>
          <w:szCs w:val="16"/>
          <w:color w:val="auto"/>
        </w:rPr>
        <w:t/>
      </w:r>
      <w:r>
        <w:rPr>
          <w:rFonts w:ascii="Arial" w:cs="Arial" w:eastAsia="Arial" w:hAnsi="Arial"/>
          <w:sz w:val="16"/>
          <w:szCs w:val="16"/>
          <w:color w:val="auto"/>
        </w:rPr>
        <w:t>Zm</w:t>
      </w:r>
    </w:p>
    <w:p>
      <w:pPr>
        <w:spacing w:after="0" w:line="26" w:lineRule="exact"/>
        <w:rPr>
          <w:sz w:val="20"/>
          <w:szCs w:val="20"/>
          <w:color w:val="auto"/>
        </w:rPr>
      </w:pPr>
    </w:p>
    <w:p>
      <w:pPr>
        <w:spacing w:after="0" w:line="194" w:lineRule="exact"/>
        <w:rPr>
          <w:sz w:val="20"/>
          <w:szCs w:val="20"/>
          <w:color w:val="auto"/>
        </w:rPr>
      </w:pPr>
      <w:r>
        <w:rPr>
          <w:rFonts w:ascii="Arial" w:cs="Arial" w:eastAsia="Arial" w:hAnsi="Arial"/>
          <w:sz w:val="16"/>
          <w:szCs w:val="16"/>
          <w:color w:val="auto"/>
        </w:rPr>
        <w:t>ma^</w:t>
      </w:r>
      <w:r>
        <w:rPr>
          <w:rFonts w:ascii="PMingLiU" w:cs="PMingLiU" w:eastAsia="PMingLiU" w:hAnsi="PMingLiU"/>
          <w:sz w:val="16"/>
          <w:szCs w:val="16"/>
          <w:color w:val="auto"/>
        </w:rPr>
        <w:t/>
      </w:r>
      <w:r>
        <w:rPr>
          <w:rFonts w:ascii="Arial" w:cs="Arial" w:eastAsia="Arial" w:hAnsi="Arial"/>
          <w:sz w:val="16"/>
          <w:szCs w:val="16"/>
          <w:color w:val="auto"/>
        </w:rPr>
        <w:t>_heehpbg`</w:t>
      </w:r>
      <w:r>
        <w:rPr>
          <w:rFonts w:ascii="PMingLiU" w:cs="PMingLiU" w:eastAsia="PMingLiU" w:hAnsi="PMingLiU"/>
          <w:sz w:val="16"/>
          <w:szCs w:val="16"/>
          <w:color w:val="auto"/>
        </w:rPr>
        <w:t/>
      </w:r>
      <w:r>
        <w:rPr>
          <w:rFonts w:ascii="Arial" w:cs="Arial" w:eastAsia="Arial" w:hAnsi="Arial"/>
          <w:sz w:val="16"/>
          <w:szCs w:val="16"/>
          <w:color w:val="auto"/>
        </w:rPr>
        <w:t>Z]]k^ll3</w:t>
      </w:r>
      <w:r>
        <w:rPr>
          <w:rFonts w:ascii="PMingLiU" w:cs="PMingLiU" w:eastAsia="PMingLiU" w:hAnsi="PMingLiU"/>
          <w:sz w:val="16"/>
          <w:szCs w:val="16"/>
          <w:color w:val="auto"/>
        </w:rPr>
        <w:t/>
      </w:r>
      <w:r>
        <w:rPr>
          <w:rFonts w:ascii="Arial" w:cs="Arial" w:eastAsia="Arial" w:hAnsi="Arial"/>
          <w:sz w:val="16"/>
          <w:szCs w:val="16"/>
          <w:color w:val="auto"/>
        </w:rPr>
        <w:t>&lt;hfinm^klaZk^</w:t>
      </w:r>
      <w:r>
        <w:rPr>
          <w:rFonts w:ascii="PMingLiU" w:cs="PMingLiU" w:eastAsia="PMingLiU" w:hAnsi="PMingLiU"/>
          <w:sz w:val="16"/>
          <w:szCs w:val="16"/>
          <w:color w:val="auto"/>
        </w:rPr>
        <w:t/>
      </w:r>
      <w:r>
        <w:rPr>
          <w:rFonts w:ascii="Arial" w:cs="Arial" w:eastAsia="Arial" w:hAnsi="Arial"/>
          <w:sz w:val="16"/>
          <w:szCs w:val="16"/>
          <w:color w:val="auto"/>
        </w:rPr>
        <w:t>Mknlm</w:t>
      </w:r>
      <w:r>
        <w:rPr>
          <w:rFonts w:ascii="PMingLiU" w:cs="PMingLiU" w:eastAsia="PMingLiU" w:hAnsi="PMingLiU"/>
          <w:sz w:val="16"/>
          <w:szCs w:val="16"/>
          <w:color w:val="auto"/>
        </w:rPr>
        <w:t/>
      </w:r>
      <w:r>
        <w:rPr>
          <w:rFonts w:ascii="Arial" w:cs="Arial" w:eastAsia="Arial" w:hAnsi="Arial"/>
          <w:sz w:val="16"/>
          <w:szCs w:val="16"/>
          <w:color w:val="auto"/>
        </w:rPr>
        <w:t>&lt;hfiZgr%</w:t>
      </w:r>
      <w:r>
        <w:rPr>
          <w:rFonts w:ascii="PMingLiU" w:cs="PMingLiU" w:eastAsia="PMingLiU" w:hAnsi="PMingLiU"/>
          <w:sz w:val="16"/>
          <w:szCs w:val="16"/>
          <w:color w:val="auto"/>
        </w:rPr>
        <w:t/>
      </w:r>
      <w:r>
        <w:rPr>
          <w:rFonts w:ascii="Arial" w:cs="Arial" w:eastAsia="Arial" w:hAnsi="Arial"/>
          <w:sz w:val="16"/>
          <w:szCs w:val="16"/>
          <w:color w:val="auto"/>
        </w:rPr>
        <w:t>G':'%</w:t>
      </w:r>
      <w:r>
        <w:rPr>
          <w:rFonts w:ascii="PMingLiU" w:cs="PMingLiU" w:eastAsia="PMingLiU" w:hAnsi="PMingLiU"/>
          <w:sz w:val="16"/>
          <w:szCs w:val="16"/>
          <w:color w:val="auto"/>
        </w:rPr>
        <w:t/>
      </w:r>
      <w:r>
        <w:rPr>
          <w:rFonts w:ascii="Arial" w:cs="Arial" w:eastAsia="Arial" w:hAnsi="Arial"/>
          <w:sz w:val="16"/>
          <w:szCs w:val="16"/>
          <w:color w:val="auto"/>
        </w:rPr>
        <w:t>*.)</w:t>
      </w:r>
      <w:r>
        <w:rPr>
          <w:rFonts w:ascii="PMingLiU" w:cs="PMingLiU" w:eastAsia="PMingLiU" w:hAnsi="PMingLiU"/>
          <w:sz w:val="16"/>
          <w:szCs w:val="16"/>
          <w:color w:val="auto"/>
        </w:rPr>
        <w:t/>
      </w:r>
      <w:r>
        <w:rPr>
          <w:rFonts w:ascii="Arial" w:cs="Arial" w:eastAsia="Arial" w:hAnsi="Arial"/>
          <w:sz w:val="16"/>
          <w:szCs w:val="16"/>
          <w:color w:val="auto"/>
        </w:rPr>
        <w:t>KhrZee</w:t>
      </w:r>
      <w:r>
        <w:rPr>
          <w:rFonts w:ascii="PMingLiU" w:cs="PMingLiU" w:eastAsia="PMingLiU" w:hAnsi="PMingLiU"/>
          <w:sz w:val="16"/>
          <w:szCs w:val="16"/>
          <w:color w:val="auto"/>
        </w:rPr>
        <w:t/>
      </w:r>
      <w:r>
        <w:rPr>
          <w:rFonts w:ascii="Arial" w:cs="Arial" w:eastAsia="Arial" w:hAnsi="Arial"/>
          <w:sz w:val="16"/>
          <w:szCs w:val="16"/>
          <w:color w:val="auto"/>
        </w:rPr>
        <w:t>Lmk^^m%</w:t>
      </w:r>
      <w:r>
        <w:rPr>
          <w:rFonts w:ascii="PMingLiU" w:cs="PMingLiU" w:eastAsia="PMingLiU" w:hAnsi="PMingLiU"/>
          <w:sz w:val="16"/>
          <w:szCs w:val="16"/>
          <w:color w:val="auto"/>
        </w:rPr>
        <w:t/>
      </w:r>
      <w:r>
        <w:rPr>
          <w:rFonts w:ascii="Arial" w:cs="Arial" w:eastAsia="Arial" w:hAnsi="Arial"/>
          <w:sz w:val="16"/>
          <w:szCs w:val="16"/>
          <w:color w:val="auto"/>
        </w:rPr>
        <w:t>Lnbm^</w:t>
      </w:r>
      <w:r>
        <w:rPr>
          <w:rFonts w:ascii="PMingLiU" w:cs="PMingLiU" w:eastAsia="PMingLiU" w:hAnsi="PMingLiU"/>
          <w:sz w:val="16"/>
          <w:szCs w:val="16"/>
          <w:color w:val="auto"/>
        </w:rPr>
        <w:t/>
      </w:r>
      <w:r>
        <w:rPr>
          <w:rFonts w:ascii="Arial" w:cs="Arial" w:eastAsia="Arial" w:hAnsi="Arial"/>
          <w:sz w:val="16"/>
          <w:szCs w:val="16"/>
          <w:color w:val="auto"/>
        </w:rPr>
        <w:t>*)*%</w:t>
      </w:r>
      <w:r>
        <w:rPr>
          <w:rFonts w:ascii="PMingLiU" w:cs="PMingLiU" w:eastAsia="PMingLiU" w:hAnsi="PMingLiU"/>
          <w:sz w:val="16"/>
          <w:szCs w:val="16"/>
          <w:color w:val="auto"/>
        </w:rPr>
        <w:t/>
      </w:r>
      <w:r>
        <w:rPr>
          <w:rFonts w:ascii="Arial" w:cs="Arial" w:eastAsia="Arial" w:hAnsi="Arial"/>
          <w:sz w:val="16"/>
          <w:szCs w:val="16"/>
          <w:color w:val="auto"/>
        </w:rPr>
        <w:t>&lt;Zgmhg%</w:t>
      </w:r>
      <w:r>
        <w:rPr>
          <w:rFonts w:ascii="PMingLiU" w:cs="PMingLiU" w:eastAsia="PMingLiU" w:hAnsi="PMingLiU"/>
          <w:sz w:val="16"/>
          <w:szCs w:val="16"/>
          <w:color w:val="auto"/>
        </w:rPr>
        <w:t/>
      </w:r>
      <w:r>
        <w:rPr>
          <w:rFonts w:ascii="Arial" w:cs="Arial" w:eastAsia="Arial" w:hAnsi="Arial"/>
          <w:sz w:val="16"/>
          <w:szCs w:val="16"/>
          <w:color w:val="auto"/>
        </w:rPr>
        <w:t>F:</w:t>
      </w:r>
      <w:r>
        <w:rPr>
          <w:rFonts w:ascii="PMingLiU" w:cs="PMingLiU" w:eastAsia="PMingLiU" w:hAnsi="PMingLiU"/>
          <w:sz w:val="16"/>
          <w:szCs w:val="16"/>
          <w:color w:val="auto"/>
        </w:rPr>
        <w:t/>
      </w:r>
      <w:r>
        <w:rPr>
          <w:rFonts w:ascii="Arial" w:cs="Arial" w:eastAsia="Arial" w:hAnsi="Arial"/>
          <w:sz w:val="16"/>
          <w:szCs w:val="16"/>
          <w:color w:val="auto"/>
        </w:rPr>
        <w:t>)+)+*%</w:t>
      </w:r>
      <w:r>
        <w:rPr>
          <w:rFonts w:ascii="PMingLiU" w:cs="PMingLiU" w:eastAsia="PMingLiU" w:hAnsi="PMingLiU"/>
          <w:sz w:val="16"/>
          <w:szCs w:val="16"/>
          <w:color w:val="auto"/>
        </w:rPr>
        <w:t/>
      </w:r>
      <w:r>
        <w:rPr>
          <w:rFonts w:ascii="Arial" w:cs="Arial" w:eastAsia="Arial" w:hAnsi="Arial"/>
          <w:sz w:val="16"/>
          <w:szCs w:val="16"/>
          <w:color w:val="auto"/>
        </w:rPr>
        <w:t>ppp'\hfinm^klaZk^'\hf%</w:t>
      </w:r>
      <w:r>
        <w:rPr>
          <w:rFonts w:ascii="PMingLiU" w:cs="PMingLiU" w:eastAsia="PMingLiU" w:hAnsi="PMingLiU"/>
          <w:sz w:val="16"/>
          <w:szCs w:val="16"/>
          <w:color w:val="auto"/>
        </w:rPr>
        <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+1800 962 4284.</w:t>
      </w:r>
    </w:p>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rFonts w:ascii="Arial" w:cs="Arial" w:eastAsia="Arial" w:hAnsi="Arial"/>
          <w:sz w:val="24"/>
          <w:szCs w:val="24"/>
          <w:color w:val="auto"/>
        </w:rPr>
        <w:t>April 28, 2026</w:t>
      </w:r>
    </w:p>
    <w:p>
      <w:pPr>
        <w:jc w:val="right"/>
        <w:spacing w:after="0"/>
        <w:rPr>
          <w:sz w:val="20"/>
          <w:szCs w:val="20"/>
          <w:color w:val="auto"/>
        </w:rPr>
      </w:pPr>
      <w:r>
        <w:rPr>
          <w:rFonts w:ascii="Arial" w:cs="Arial" w:eastAsia="Arial" w:hAnsi="Arial"/>
          <w:sz w:val="24"/>
          <w:szCs w:val="24"/>
          <w:color w:val="auto"/>
        </w:rPr>
        <w:t>© Xilio Therapeutics, Inc.</w:t>
      </w:r>
    </w:p>
    <w:sectPr>
      <w:pgSz w:w="12240" w:h="15840" w:orient="portrait"/>
      <w:cols w:equalWidth="0" w:num="1">
        <w:col w:w="10640"/>
      </w:cols>
      <w:pgMar w:left="1200" w:top="944" w:right="400"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Segoe UI">
    <w:panose1 w:val="020B0502040204020203"/>
    <w:charset w:val="00"/>
    <w:family w:val="swiss"/>
    <w:pitch w:val="variable"/>
    <w:sig w:usb0="E4002EFF" w:usb1="C000E47F" w:usb2="00000009" w:usb3="00000000" w:csb0="200001FF" w:csb1="0000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6A2342EC"/>
    <w:multiLevelType w:val="hybridMultilevel"/>
    <w:lvl w:ilvl="0">
      <w:lvlJc w:val="left"/>
      <w:lvlText w:val="շ"/>
      <w:numFmt w:val="bullet"/>
      <w:start w:val="1"/>
    </w:lvl>
  </w:abstractNum>
  <w:abstractNum w:abstractNumId="1">
    <w:nsid w:val="2A487CB0"/>
    <w:multiLevelType w:val="hybridMultilevel"/>
    <w:lvl w:ilvl="0">
      <w:lvlJc w:val="left"/>
      <w:lvlText w:val="x"/>
      <w:numFmt w:val="bullet"/>
      <w:start w:val="1"/>
    </w:lvl>
  </w:abstractNum>
  <w:abstractNum w:abstractNumId="2">
    <w:nsid w:val="1D4ED43B"/>
    <w:multiLevelType w:val="hybridMultilevel"/>
    <w:lvl w:ilvl="0">
      <w:lvlJc w:val="left"/>
      <w:lvlText w:val="x"/>
      <w:numFmt w:val="bullet"/>
      <w:start w:val="1"/>
    </w:lvl>
  </w:abstractNum>
  <w:abstractNum w:abstractNumId="3">
    <w:nsid w:val="725A06FB"/>
    <w:multiLevelType w:val="hybridMultilevel"/>
    <w:lvl w:ilvl="0">
      <w:lvlJc w:val="left"/>
      <w:lvlText w:val="x"/>
      <w:numFmt w:val="bullet"/>
      <w:start w:val="1"/>
    </w:lvl>
  </w:abstractNum>
  <w:abstractNum w:abstractNumId="4">
    <w:nsid w:val="2CD89A32"/>
    <w:multiLevelType w:val="hybridMultilevel"/>
    <w:lvl w:ilvl="0">
      <w:lvlJc w:val="left"/>
      <w:lvlText w:val="x"/>
      <w:numFmt w:val="bullet"/>
      <w:start w:val="1"/>
    </w:lvl>
  </w:abstractNum>
  <w:abstractNum w:abstractNumId="5">
    <w:nsid w:val="57E4CCAF"/>
    <w:multiLevelType w:val="hybridMultilevel"/>
    <w:lvl w:ilvl="0">
      <w:lvlJc w:val="left"/>
      <w:lvlText w:val="x"/>
      <w:numFmt w:val="bullet"/>
      <w:start w:val="1"/>
    </w:lvl>
  </w:abstractNum>
  <w:abstractNum w:abstractNumId="6">
    <w:nsid w:val="7A6D8D3C"/>
    <w:multiLevelType w:val="hybridMultilevel"/>
    <w:lvl w:ilvl="0">
      <w:lvlJc w:val="left"/>
      <w:lvlText w:val="x"/>
      <w:numFmt w:val="bullet"/>
      <w:start w:val="1"/>
    </w:lvl>
  </w:abstractNum>
  <w:abstractNum w:abstractNumId="7">
    <w:nsid w:val="4B588F54"/>
    <w:multiLevelType w:val="hybridMultilevel"/>
    <w:lvl w:ilvl="0">
      <w:lvlJc w:val="left"/>
      <w:lvlText w:val="x"/>
      <w:numFmt w:val="bullet"/>
      <w:start w:val="1"/>
    </w:lvl>
  </w:abstractNum>
  <w:abstractNum w:abstractNumId="8">
    <w:nsid w:val="542289EC"/>
    <w:multiLevelType w:val="hybridMultilevel"/>
    <w:lvl w:ilvl="0">
      <w:lvlJc w:val="left"/>
      <w:lvlText w:val="%1."/>
      <w:numFmt w:val="decimal"/>
      <w:start w:val="1"/>
    </w:lvl>
  </w:abstractNum>
  <w:abstractNum w:abstractNumId="9">
    <w:nsid w:val="6DE91B18"/>
    <w:multiLevelType w:val="hybridMultilevel"/>
    <w:lvl w:ilvl="0">
      <w:lvlJc w:val="left"/>
      <w:lvlText w:val="x"/>
      <w:numFmt w:val="bullet"/>
      <w:start w:val="1"/>
    </w:lvl>
  </w:abstractNum>
  <w:abstractNum w:abstractNumId="10">
    <w:nsid w:val="38437FDB"/>
    <w:multiLevelType w:val="hybridMultilevel"/>
    <w:lvl w:ilvl="0">
      <w:lvlJc w:val="left"/>
      <w:lvlText w:val="x"/>
      <w:numFmt w:val="bullet"/>
      <w:start w:val="1"/>
    </w:lvl>
  </w:abstractNum>
  <w:abstractNum w:abstractNumId="11">
    <w:nsid w:val="7644A45C"/>
    <w:multiLevelType w:val="hybridMultilevel"/>
    <w:lvl w:ilvl="0">
      <w:lvlJc w:val="left"/>
      <w:lvlText w:val="x"/>
      <w:numFmt w:val="bullet"/>
      <w:start w:val="1"/>
    </w:lvl>
  </w:abstractNum>
  <w:abstractNum w:abstractNumId="12">
    <w:nsid w:val="32FFF902"/>
    <w:multiLevelType w:val="hybridMultilevel"/>
    <w:lvl w:ilvl="0">
      <w:lvlJc w:val="left"/>
      <w:lvlText w:val="x"/>
      <w:numFmt w:val="bullet"/>
      <w:start w:val="1"/>
    </w:lvl>
  </w:abstractNum>
  <w:abstractNum w:abstractNumId="13">
    <w:nsid w:val="684A481A"/>
    <w:multiLevelType w:val="hybridMultilevel"/>
    <w:lvl w:ilvl="0">
      <w:lvlJc w:val="left"/>
      <w:lvlText w:val="x"/>
      <w:numFmt w:val="bullet"/>
      <w:start w:val="1"/>
    </w:lvl>
  </w:abstractNum>
  <w:abstractNum w:abstractNumId="14">
    <w:nsid w:val="579478FE"/>
    <w:multiLevelType w:val="hybridMultilevel"/>
    <w:lvl w:ilvl="0">
      <w:lvlJc w:val="left"/>
      <w:lvlText w:val="x"/>
      <w:numFmt w:val="bullet"/>
      <w:start w:val="1"/>
    </w:lvl>
  </w:abstractNum>
  <w:abstractNum w:abstractNumId="15">
    <w:nsid w:val="749ABB43"/>
    <w:multiLevelType w:val="hybridMultilevel"/>
    <w:lvl w:ilvl="0">
      <w:lvlJc w:val="left"/>
      <w:lvlText w:val="(%1)"/>
      <w:numFmt w:val="lowerLetter"/>
      <w:start w:val="1"/>
    </w:lvl>
  </w:abstractNum>
  <w:abstractNum w:abstractNumId="16">
    <w:nsid w:val="3DC240FB"/>
    <w:multiLevelType w:val="hybridMultilevel"/>
    <w:lvl w:ilvl="0">
      <w:lvlJc w:val="left"/>
      <w:lvlText w:val="x"/>
      <w:numFmt w:val="bullet"/>
      <w:start w:val="1"/>
    </w:lvl>
  </w:abstractNum>
  <w:abstractNum w:abstractNumId="17">
    <w:nsid w:val="1BA026FA"/>
    <w:multiLevelType w:val="hybridMultilevel"/>
    <w:lvl w:ilvl="0">
      <w:lvlJc w:val="left"/>
      <w:lvlText w:val="x"/>
      <w:numFmt w:val="bullet"/>
      <w:start w:val="1"/>
    </w:lvl>
  </w:abstractNum>
  <w:abstractNum w:abstractNumId="18">
    <w:nsid w:val="79A1DEAA"/>
    <w:multiLevelType w:val="hybridMultilevel"/>
    <w:lvl w:ilvl="0">
      <w:lvlJc w:val="left"/>
      <w:lvlText w:val="x"/>
      <w:numFmt w:val="bullet"/>
      <w:start w:val="1"/>
    </w:lvl>
  </w:abstractNum>
  <w:abstractNum w:abstractNumId="19">
    <w:nsid w:val="75C6C33A"/>
    <w:multiLevelType w:val="hybridMultilevel"/>
    <w:lvl w:ilvl="0">
      <w:lvlJc w:val="left"/>
      <w:lvlText w:val="x"/>
      <w:numFmt w:val="bullet"/>
      <w:start w:val="1"/>
    </w:lvl>
  </w:abstractNum>
  <w:abstractNum w:abstractNumId="20">
    <w:nsid w:val="12E685FB"/>
    <w:multiLevelType w:val="hybridMultilevel"/>
    <w:lvl w:ilvl="0">
      <w:lvlJc w:val="left"/>
      <w:lvlText w:val="x"/>
      <w:numFmt w:val="bullet"/>
      <w:start w:val="1"/>
    </w:lvl>
  </w:abstractNum>
  <w:abstractNum w:abstractNumId="21">
    <w:nsid w:val="70C6A529"/>
    <w:multiLevelType w:val="hybridMultilevel"/>
    <w:lvl w:ilvl="0">
      <w:lvlJc w:val="left"/>
      <w:lvlText w:val="x"/>
      <w:numFmt w:val="bullet"/>
      <w:start w:val="1"/>
    </w:lvl>
  </w:abstractNum>
  <w:abstractNum w:abstractNumId="22">
    <w:nsid w:val="520EEDD1"/>
    <w:multiLevelType w:val="hybridMultilevel"/>
    <w:lvl w:ilvl="0">
      <w:lvlJc w:val="left"/>
      <w:lvlText w:val="x"/>
      <w:numFmt w:val="bullet"/>
      <w:start w:val="1"/>
    </w:lvl>
  </w:abstractNum>
  <w:abstractNum w:abstractNumId="23">
    <w:nsid w:val="374A3FE6"/>
    <w:multiLevelType w:val="hybridMultilevel"/>
    <w:lvl w:ilvl="0">
      <w:lvlJc w:val="left"/>
      <w:lvlText w:val="x"/>
      <w:numFmt w:val="bullet"/>
      <w:start w:val="1"/>
    </w:lvl>
  </w:abstractNum>
  <w:abstractNum w:abstractNumId="24">
    <w:nsid w:val="4F4EF005"/>
    <w:multiLevelType w:val="hybridMultilevel"/>
    <w:lvl w:ilvl="0">
      <w:lvlJc w:val="left"/>
      <w:lvlText w:val="x"/>
      <w:numFmt w:val="bullet"/>
      <w:start w:val="1"/>
    </w:lvl>
  </w:abstractNum>
  <w:abstractNum w:abstractNumId="25">
    <w:nsid w:val="23F9C13C"/>
    <w:multiLevelType w:val="hybridMultilevel"/>
    <w:lvl w:ilvl="0">
      <w:lvlJc w:val="left"/>
      <w:lvlText w:val="x"/>
      <w:numFmt w:val="bullet"/>
      <w:start w:val="1"/>
    </w:lvl>
  </w:abstractNum>
  <w:abstractNum w:abstractNumId="26">
    <w:nsid w:val="649BB77C"/>
    <w:multiLevelType w:val="hybridMultilevel"/>
    <w:lvl w:ilvl="0">
      <w:lvlJc w:val="left"/>
      <w:lvlText w:val="x"/>
      <w:numFmt w:val="bullet"/>
      <w:start w:val="1"/>
    </w:lvl>
  </w:abstractNum>
  <w:abstractNum w:abstractNumId="27">
    <w:nsid w:val="275AC794"/>
    <w:multiLevelType w:val="hybridMultilevel"/>
    <w:lvl w:ilvl="0">
      <w:lvlJc w:val="left"/>
      <w:lvlText w:val="x"/>
      <w:numFmt w:val="bullet"/>
      <w:start w:val="1"/>
    </w:lvl>
  </w:abstractNum>
  <w:abstractNum w:abstractNumId="28">
    <w:nsid w:val="39386575"/>
    <w:multiLevelType w:val="hybridMultilevel"/>
    <w:lvl w:ilvl="0">
      <w:lvlJc w:val="left"/>
      <w:lvlText w:val="x"/>
      <w:numFmt w:val="bullet"/>
      <w:start w:val="1"/>
    </w:lvl>
  </w:abstractNum>
  <w:abstractNum w:abstractNumId="29">
    <w:nsid w:val="1CF10FD8"/>
    <w:multiLevelType w:val="hybridMultilevel"/>
    <w:lvl w:ilvl="0">
      <w:lvlJc w:val="left"/>
      <w:lvlText w:val="x"/>
      <w:numFmt w:val="bullet"/>
      <w:start w:val="1"/>
    </w:lvl>
  </w:abstractNum>
  <w:abstractNum w:abstractNumId="30">
    <w:nsid w:val="180115BE"/>
    <w:multiLevelType w:val="hybridMultilevel"/>
    <w:lvl w:ilvl="0">
      <w:lvlJc w:val="left"/>
      <w:lvlText w:val="x"/>
      <w:numFmt w:val="bullet"/>
      <w:start w:val="1"/>
    </w:lvl>
  </w:abstractNum>
  <w:abstractNum w:abstractNumId="31">
    <w:nsid w:val="235BA861"/>
    <w:multiLevelType w:val="hybridMultilevel"/>
    <w:lvl w:ilvl="0">
      <w:lvlJc w:val="left"/>
      <w:lvlText w:val="x"/>
      <w:numFmt w:val="bullet"/>
      <w:start w:val="1"/>
    </w:lvl>
  </w:abstractNum>
  <w:abstractNum w:abstractNumId="32">
    <w:nsid w:val="47398C89"/>
    <w:multiLevelType w:val="hybridMultilevel"/>
    <w:lvl w:ilvl="0">
      <w:lvlJc w:val="left"/>
      <w:lvlText w:val="x"/>
      <w:numFmt w:val="bullet"/>
      <w:start w:val="1"/>
    </w:lvl>
  </w:abstractNum>
  <w:abstractNum w:abstractNumId="33">
    <w:nsid w:val="354FE9F9"/>
    <w:multiLevelType w:val="hybridMultilevel"/>
    <w:lvl w:ilvl="0">
      <w:lvlJc w:val="left"/>
      <w:lvlText w:val="x"/>
      <w:numFmt w:val="bullet"/>
      <w:start w:val="1"/>
    </w:lvl>
  </w:abstractNum>
  <w:abstractNum w:abstractNumId="34">
    <w:nsid w:val="15B5AF5C"/>
    <w:multiLevelType w:val="hybridMultilevel"/>
    <w:lvl w:ilvl="0">
      <w:lvlJc w:val="left"/>
      <w:lvlText w:val="x"/>
      <w:numFmt w:val="bullet"/>
      <w:start w:val="1"/>
    </w:lvl>
  </w:abstractNum>
  <w:abstractNum w:abstractNumId="35">
    <w:nsid w:val="741226BB"/>
    <w:multiLevelType w:val="hybridMultilevel"/>
    <w:lvl w:ilvl="0">
      <w:lvlJc w:val="left"/>
      <w:lvlText w:val="x"/>
      <w:numFmt w:val="bullet"/>
      <w:start w:val="1"/>
    </w:lvl>
  </w:abstractNum>
  <w:abstractNum w:abstractNumId="36">
    <w:nsid w:val="D34B6A8"/>
    <w:multiLevelType w:val="hybridMultilevel"/>
    <w:lvl w:ilvl="0">
      <w:lvlJc w:val="left"/>
      <w:lvlText w:val="x"/>
      <w:numFmt w:val="bullet"/>
      <w:start w:val="1"/>
    </w:lvl>
  </w:abstractNum>
  <w:abstractNum w:abstractNumId="37">
    <w:nsid w:val="10233C99"/>
    <w:multiLevelType w:val="hybridMultilevel"/>
    <w:lvl w:ilvl="0">
      <w:lvlJc w:val="left"/>
      <w:lvlText w:val="x"/>
      <w:numFmt w:val="bullet"/>
      <w:start w:val="1"/>
    </w:lvl>
  </w:abstractNum>
  <w:abstractNum w:abstractNumId="38">
    <w:nsid w:val="3F6AB60F"/>
    <w:multiLevelType w:val="hybridMultilevel"/>
    <w:lvl w:ilvl="0">
      <w:lvlJc w:val="left"/>
      <w:lvlText w:val="x"/>
      <w:numFmt w:val="bullet"/>
      <w:start w:val="1"/>
    </w:lvl>
  </w:abstractNum>
  <w:abstractNum w:abstractNumId="39">
    <w:nsid w:val="61574095"/>
    <w:multiLevelType w:val="hybridMultilevel"/>
    <w:lvl w:ilvl="0">
      <w:lvlJc w:val="left"/>
      <w:lvlText w:val="x"/>
      <w:numFmt w:val="bullet"/>
      <w:start w:val="1"/>
    </w:lvl>
  </w:abstractNum>
  <w:abstractNum w:abstractNumId="40">
    <w:nsid w:val="7E0C57B1"/>
    <w:multiLevelType w:val="hybridMultilevel"/>
    <w:lvl w:ilvl="0">
      <w:lvlJc w:val="left"/>
      <w:lvlText w:val="x"/>
      <w:numFmt w:val="bullet"/>
      <w:start w:val="1"/>
    </w:lvl>
  </w:abstractNum>
  <w:abstractNum w:abstractNumId="41">
    <w:nsid w:val="77AE35EB"/>
    <w:multiLevelType w:val="hybridMultilevel"/>
    <w:lvl w:ilvl="0">
      <w:lvlJc w:val="left"/>
      <w:lvlText w:val="x"/>
      <w:numFmt w:val="bullet"/>
      <w:start w:val="1"/>
    </w:lvl>
  </w:abstractNum>
  <w:abstractNum w:abstractNumId="42">
    <w:nsid w:val="579BE4F1"/>
    <w:multiLevelType w:val="hybridMultilevel"/>
    <w:lvl w:ilvl="0">
      <w:lvlJc w:val="left"/>
      <w:lvlText w:val="x"/>
      <w:numFmt w:val="bullet"/>
      <w:start w:val="1"/>
    </w:lvl>
  </w:abstractNum>
  <w:abstractNum w:abstractNumId="43">
    <w:nsid w:val="310C50B3"/>
    <w:multiLevelType w:val="hybridMultilevel"/>
    <w:lvl w:ilvl="0">
      <w:lvlJc w:val="left"/>
      <w:lvlText w:val="x"/>
      <w:numFmt w:val="bullet"/>
      <w:start w:val="1"/>
    </w:lvl>
  </w:abstractNum>
  <w:abstractNum w:abstractNumId="44">
    <w:nsid w:val="5FF87E05"/>
    <w:multiLevelType w:val="hybridMultilevel"/>
    <w:lvl w:ilvl="0">
      <w:lvlJc w:val="left"/>
      <w:lvlText w:val="x"/>
      <w:numFmt w:val="bullet"/>
      <w:start w:val="1"/>
    </w:lvl>
  </w:abstractNum>
  <w:abstractNum w:abstractNumId="45">
    <w:nsid w:val="2F305DEF"/>
    <w:multiLevelType w:val="hybridMultilevel"/>
    <w:lvl w:ilvl="0">
      <w:lvlJc w:val="left"/>
      <w:lvlText w:val="x"/>
      <w:numFmt w:val="bullet"/>
      <w:start w:val="1"/>
    </w:lvl>
  </w:abstractNum>
  <w:abstractNum w:abstractNumId="46">
    <w:nsid w:val="25A70BF7"/>
    <w:multiLevelType w:val="hybridMultilevel"/>
    <w:lvl w:ilvl="0">
      <w:lvlJc w:val="left"/>
      <w:lvlText w:val="x"/>
      <w:numFmt w:val="bullet"/>
      <w:start w:val="1"/>
    </w:lvl>
  </w:abstractNum>
  <w:abstractNum w:abstractNumId="47">
    <w:nsid w:val="1DBABF00"/>
    <w:multiLevelType w:val="hybridMultilevel"/>
    <w:lvl w:ilvl="0">
      <w:lvlJc w:val="left"/>
      <w:lvlText w:val="x"/>
      <w:numFmt w:val="bullet"/>
      <w:start w:val="1"/>
    </w:lvl>
  </w:abstractNum>
  <w:abstractNum w:abstractNumId="48">
    <w:nsid w:val="4AD084E9"/>
    <w:multiLevelType w:val="hybridMultilevel"/>
    <w:lvl w:ilvl="0">
      <w:lvlJc w:val="left"/>
      <w:lvlText w:val="x"/>
      <w:numFmt w:val="bullet"/>
      <w:start w:val="1"/>
    </w:lvl>
  </w:abstractNum>
  <w:abstractNum w:abstractNumId="49">
    <w:nsid w:val="1F48EAA1"/>
    <w:multiLevelType w:val="hybridMultilevel"/>
    <w:lvl w:ilvl="0">
      <w:lvlJc w:val="left"/>
      <w:lvlText w:val="x"/>
      <w:numFmt w:val="bullet"/>
      <w:start w:val="1"/>
    </w:lvl>
  </w:abstractNum>
  <w:abstractNum w:abstractNumId="50">
    <w:nsid w:val="1381823A"/>
    <w:multiLevelType w:val="hybridMultilevel"/>
    <w:lvl w:ilvl="0">
      <w:lvlJc w:val="left"/>
      <w:lvlText w:val="x"/>
      <w:numFmt w:val="bullet"/>
      <w:start w:val="1"/>
    </w:lvl>
  </w:abstractNum>
  <w:abstractNum w:abstractNumId="51">
    <w:nsid w:val="5DB70AE5"/>
    <w:multiLevelType w:val="hybridMultilevel"/>
    <w:lvl w:ilvl="0">
      <w:lvlJc w:val="left"/>
      <w:lvlText w:val="x"/>
      <w:numFmt w:val="bullet"/>
      <w:start w:val="1"/>
    </w:lvl>
  </w:abstractNum>
  <w:abstractNum w:abstractNumId="52">
    <w:nsid w:val="100F8FCA"/>
    <w:multiLevelType w:val="hybridMultilevel"/>
    <w:lvl w:ilvl="0">
      <w:lvlJc w:val="left"/>
      <w:lvlText w:val="x"/>
      <w:numFmt w:val="bullet"/>
      <w:start w:val="1"/>
    </w:lvl>
  </w:abstractNum>
  <w:abstractNum w:abstractNumId="53">
    <w:nsid w:val="6590700B"/>
    <w:multiLevelType w:val="hybridMultilevel"/>
    <w:lvl w:ilvl="0">
      <w:lvlJc w:val="left"/>
      <w:lvlText w:val="x"/>
      <w:numFmt w:val="bullet"/>
      <w:start w:val="1"/>
    </w:lvl>
  </w:abstractNum>
  <w:abstractNum w:abstractNumId="54">
    <w:nsid w:val="15014ACB"/>
    <w:multiLevelType w:val="hybridMultilevel"/>
    <w:lvl w:ilvl="0">
      <w:lvlJc w:val="left"/>
      <w:lvlText w:val="x"/>
      <w:numFmt w:val="bullet"/>
      <w:start w:val="1"/>
    </w:lvl>
  </w:abstractNum>
  <w:abstractNum w:abstractNumId="55">
    <w:nsid w:val="5F5E7FD0"/>
    <w:multiLevelType w:val="hybridMultilevel"/>
    <w:lvl w:ilvl="0">
      <w:lvlJc w:val="left"/>
      <w:lvlText w:val="x"/>
      <w:numFmt w:val="bullet"/>
      <w:start w:val="1"/>
    </w:lvl>
  </w:abstractNum>
  <w:abstractNum w:abstractNumId="56">
    <w:nsid w:val="98A3148"/>
    <w:multiLevelType w:val="hybridMultilevel"/>
    <w:lvl w:ilvl="0">
      <w:lvlJc w:val="left"/>
      <w:lvlText w:val="x"/>
      <w:numFmt w:val="bullet"/>
      <w:start w:val="1"/>
    </w:lvl>
  </w:abstractNum>
  <w:abstractNum w:abstractNumId="57">
    <w:nsid w:val="799D0247"/>
    <w:multiLevelType w:val="hybridMultilevel"/>
    <w:lvl w:ilvl="0">
      <w:lvlJc w:val="left"/>
      <w:lvlText w:val="x"/>
      <w:numFmt w:val="bullet"/>
      <w:start w:val="1"/>
    </w:lvl>
  </w:abstractNum>
  <w:abstractNum w:abstractNumId="58">
    <w:nsid w:val="6B94764"/>
    <w:multiLevelType w:val="hybridMultilevel"/>
    <w:lvl w:ilvl="0">
      <w:lvlJc w:val="left"/>
      <w:lvlText w:val="x"/>
      <w:numFmt w:val="bullet"/>
      <w:start w:val="1"/>
    </w:lvl>
  </w:abstractNum>
  <w:abstractNum w:abstractNumId="59">
    <w:nsid w:val="42C296BD"/>
    <w:multiLevelType w:val="hybridMultilevel"/>
    <w:lvl w:ilvl="0">
      <w:lvlJc w:val="left"/>
      <w:lvlText w:val="x"/>
      <w:numFmt w:val="bullet"/>
      <w:start w:val="1"/>
    </w:lvl>
  </w:abstractNum>
  <w:abstractNum w:abstractNumId="60">
    <w:nsid w:val="168E121F"/>
    <w:multiLevelType w:val="hybridMultilevel"/>
    <w:lvl w:ilvl="0">
      <w:lvlJc w:val="left"/>
      <w:lvlText w:val="x"/>
      <w:numFmt w:val="bullet"/>
      <w:start w:val="1"/>
    </w:lvl>
  </w:abstractNum>
  <w:abstractNum w:abstractNumId="61">
    <w:nsid w:val="1EBA5D23"/>
    <w:multiLevelType w:val="hybridMultilevel"/>
    <w:lvl w:ilvl="0">
      <w:lvlJc w:val="left"/>
      <w:lvlText w:val="x"/>
      <w:numFmt w:val="bullet"/>
      <w:start w:val="1"/>
    </w:lvl>
  </w:abstractNum>
  <w:abstractNum w:abstractNumId="62">
    <w:nsid w:val="661E3F1E"/>
    <w:multiLevelType w:val="hybridMultilevel"/>
    <w:lvl w:ilvl="0">
      <w:lvlJc w:val="left"/>
      <w:lvlText w:val="x"/>
      <w:numFmt w:val="bullet"/>
      <w:start w:val="1"/>
    </w:lvl>
  </w:abstractNum>
  <w:abstractNum w:abstractNumId="63">
    <w:nsid w:val="5DC79EA8"/>
    <w:multiLevelType w:val="hybridMultilevel"/>
    <w:lvl w:ilvl="0">
      <w:lvlJc w:val="left"/>
      <w:lvlText w:val="x"/>
      <w:numFmt w:val="bullet"/>
      <w:start w:val="1"/>
    </w:lvl>
  </w:abstractNum>
  <w:abstractNum w:abstractNumId="64">
    <w:nsid w:val="540A471C"/>
    <w:multiLevelType w:val="hybridMultilevel"/>
    <w:lvl w:ilvl="0">
      <w:lvlJc w:val="left"/>
      <w:lvlText w:val="x"/>
      <w:numFmt w:val="bullet"/>
      <w:start w:val="1"/>
    </w:lvl>
  </w:abstractNum>
  <w:abstractNum w:abstractNumId="65">
    <w:nsid w:val="7BD3EE7B"/>
    <w:multiLevelType w:val="hybridMultilevel"/>
    <w:lvl w:ilvl="0">
      <w:lvlJc w:val="left"/>
      <w:lvlText w:val="x"/>
      <w:numFmt w:val="bullet"/>
      <w:start w:val="1"/>
    </w:lvl>
  </w:abstractNum>
  <w:abstractNum w:abstractNumId="66">
    <w:nsid w:val="51D9C564"/>
    <w:multiLevelType w:val="hybridMultilevel"/>
    <w:lvl w:ilvl="0">
      <w:lvlJc w:val="left"/>
      <w:lvlText w:val="x"/>
      <w:numFmt w:val="bullet"/>
      <w:start w:val="1"/>
    </w:lvl>
  </w:abstractNum>
  <w:abstractNum w:abstractNumId="67">
    <w:nsid w:val="613EFDC5"/>
    <w:multiLevelType w:val="hybridMultilevel"/>
    <w:lvl w:ilvl="0">
      <w:lvlJc w:val="left"/>
      <w:lvlText w:val="x"/>
      <w:numFmt w:val="bullet"/>
      <w:start w:val="1"/>
    </w:lvl>
  </w:abstractNum>
  <w:abstractNum w:abstractNumId="68">
    <w:nsid w:val="BF72B14"/>
    <w:multiLevelType w:val="hybridMultilevel"/>
    <w:lvl w:ilvl="0">
      <w:lvlJc w:val="left"/>
      <w:lvlText w:val="x"/>
      <w:numFmt w:val="bullet"/>
      <w:start w:val="1"/>
    </w:lvl>
  </w:abstractNum>
  <w:abstractNum w:abstractNumId="69">
    <w:nsid w:val="11447B73"/>
    <w:multiLevelType w:val="hybridMultilevel"/>
    <w:lvl w:ilvl="0">
      <w:lvlJc w:val="left"/>
      <w:lvlText w:val="(%1)"/>
      <w:numFmt w:val="lowerRoman"/>
      <w:start w:val="1"/>
    </w:lvl>
  </w:abstractNum>
  <w:abstractNum w:abstractNumId="70">
    <w:nsid w:val="42963E5A"/>
    <w:multiLevelType w:val="hybridMultilevel"/>
    <w:lvl w:ilvl="0">
      <w:lvlJc w:val="left"/>
      <w:lvlText w:val="x"/>
      <w:numFmt w:val="bullet"/>
      <w:start w:val="1"/>
    </w:lvl>
  </w:abstractNum>
  <w:abstractNum w:abstractNumId="71">
    <w:nsid w:val="A0382C5"/>
    <w:multiLevelType w:val="hybridMultilevel"/>
    <w:lvl w:ilvl="0">
      <w:lvlJc w:val="left"/>
      <w:lvlText w:val="(%1)"/>
      <w:numFmt w:val="decimal"/>
      <w:start w:val="1"/>
    </w:lvl>
  </w:abstractNum>
  <w:abstractNum w:abstractNumId="72">
    <w:nsid w:val="8F2B15E"/>
    <w:multiLevelType w:val="hybridMultilevel"/>
    <w:lvl w:ilvl="0">
      <w:lvlJc w:val="left"/>
      <w:lvlText w:val="(%1)"/>
      <w:numFmt w:val="decimal"/>
      <w:start w:val="1"/>
    </w:lvl>
  </w:abstractNum>
  <w:abstractNum w:abstractNumId="73">
    <w:nsid w:val="1A32234B"/>
    <w:multiLevelType w:val="hybridMultilevel"/>
    <w:lvl w:ilvl="0">
      <w:lvlJc w:val="left"/>
      <w:lvlText w:val="(%1)"/>
      <w:numFmt w:val="decimal"/>
      <w:start w:val="2"/>
    </w:lvl>
  </w:abstractNum>
  <w:abstractNum w:abstractNumId="74">
    <w:nsid w:val="3B0FD379"/>
    <w:multiLevelType w:val="hybridMultilevel"/>
    <w:lvl w:ilvl="0">
      <w:lvlJc w:val="left"/>
      <w:lvlText w:val="(%1)"/>
      <w:numFmt w:val="decimal"/>
      <w:start w:val="3"/>
    </w:lvl>
  </w:abstractNum>
  <w:abstractNum w:abstractNumId="75">
    <w:nsid w:val="68EB2F63"/>
    <w:multiLevelType w:val="hybridMultilevel"/>
    <w:lvl w:ilvl="0">
      <w:lvlJc w:val="left"/>
      <w:lvlText w:val="%1"/>
      <w:numFmt w:val="decimal"/>
      <w:start w:val="104"/>
    </w:lvl>
  </w:abstractNum>
  <w:abstractNum w:abstractNumId="76">
    <w:nsid w:val="4962813B"/>
    <w:multiLevelType w:val="hybridMultilevel"/>
    <w:lvl w:ilvl="0">
      <w:lvlJc w:val="left"/>
      <w:lvlText w:val="†"/>
      <w:numFmt w:val="bullet"/>
      <w:start w:val="1"/>
    </w:lvl>
  </w:abstractNum>
  <w:abstractNum w:abstractNumId="77">
    <w:nsid w:val="60B6DF70"/>
    <w:multiLevelType w:val="hybridMultilevel"/>
    <w:lvl w:ilvl="0">
      <w:lvlJc w:val="left"/>
      <w:lvlText w:val="+"/>
      <w:numFmt w:val="bullet"/>
      <w:start w:val="1"/>
    </w:lvl>
  </w:abstractNum>
  <w:abstractNum w:abstractNumId="78">
    <w:nsid w:val="6A5EE64"/>
    <w:multiLevelType w:val="hybridMultilevel"/>
    <w:lvl w:ilvl="0">
      <w:lvlJc w:val="left"/>
      <w:lvlText w:val="x"/>
      <w:numFmt w:val="bullet"/>
      <w:start w:val="1"/>
    </w:lvl>
  </w:abstractNum>
  <w:abstractNum w:abstractNumId="79">
    <w:nsid w:val="14330624"/>
    <w:multiLevelType w:val="hybridMultilevel"/>
    <w:lvl w:ilvl="0">
      <w:lvlJc w:val="left"/>
      <w:lvlText w:val="x"/>
      <w:numFmt w:val="bullet"/>
      <w:start w:val="1"/>
    </w:lvl>
  </w:abstractNum>
  <w:abstractNum w:abstractNumId="80">
    <w:nsid w:val="7FFFCA11"/>
    <w:multiLevelType w:val="hybridMultilevel"/>
    <w:lvl w:ilvl="0">
      <w:lvlJc w:val="left"/>
      <w:lvlText w:val="x"/>
      <w:numFmt w:val="bullet"/>
      <w:start w:val="1"/>
    </w:lvl>
  </w:abstractNum>
  <w:abstractNum w:abstractNumId="81">
    <w:nsid w:val="1A27709E"/>
    <w:multiLevelType w:val="hybridMultilevel"/>
    <w:lvl w:ilvl="0">
      <w:lvlJc w:val="left"/>
      <w:lvlText w:val="x"/>
      <w:numFmt w:val="bullet"/>
      <w:start w:val="1"/>
    </w:lvl>
  </w:abstractNum>
  <w:abstractNum w:abstractNumId="82">
    <w:nsid w:val="71EA1109"/>
    <w:multiLevelType w:val="hybridMultilevel"/>
    <w:lvl w:ilvl="0">
      <w:lvlJc w:val="left"/>
      <w:lvlText w:val="x"/>
      <w:numFmt w:val="bullet"/>
      <w:start w:val="1"/>
    </w:lvl>
  </w:abstractNum>
  <w:abstractNum w:abstractNumId="83">
    <w:nsid w:val="100F59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2026-04-28T18:20:04Z</dcterms:created>
  <dcterms:modified xsi:type="dcterms:W3CDTF">2026-04-28T18:20:04Z</dcterms:modified>
</cp:coreProperties>
</file>